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B92780">
        <w:rPr>
          <w:b w:val="0"/>
          <w:sz w:val="32"/>
          <w:szCs w:val="32"/>
        </w:rPr>
        <w:t>Technical Rational</w:t>
      </w:r>
      <w:r w:rsidR="006835BC">
        <w:rPr>
          <w:b w:val="0"/>
          <w:sz w:val="32"/>
          <w:szCs w:val="32"/>
        </w:rPr>
        <w:t>e</w:t>
      </w:r>
      <w:r w:rsidR="00B92780">
        <w:rPr>
          <w:b w:val="0"/>
          <w:sz w:val="32"/>
          <w:szCs w:val="32"/>
        </w:rPr>
        <w:t xml:space="preserve"> for Reliability Standards</w:t>
      </w:r>
      <w:r w:rsidR="0000166A" w:rsidRPr="00833311">
        <w:rPr>
          <w:b w:val="0"/>
          <w:sz w:val="36"/>
          <w:szCs w:val="36"/>
        </w:rPr>
        <w:br/>
      </w:r>
    </w:p>
    <w:p w:rsidR="004A60CD" w:rsidRDefault="004A60CD" w:rsidP="00D52B3D">
      <w:pPr>
        <w:ind w:right="-162"/>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271EE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271EE7">
        <w:rPr>
          <w:rStyle w:val="Strong"/>
          <w:rFonts w:ascii="Calibri" w:hAnsi="Calibri" w:cs="Arial"/>
        </w:rPr>
        <w:t xml:space="preserve">Friday, </w:t>
      </w:r>
      <w:r w:rsidR="00D52B3D">
        <w:rPr>
          <w:rStyle w:val="Strong"/>
          <w:rFonts w:ascii="Calibri" w:hAnsi="Calibri" w:cs="Arial"/>
        </w:rPr>
        <w:t>May 25</w:t>
      </w:r>
      <w:r w:rsidR="00271EE7">
        <w:rPr>
          <w:rStyle w:val="Strong"/>
          <w:rFonts w:ascii="Calibri" w:hAnsi="Calibri" w:cs="Arial"/>
        </w:rPr>
        <w:t>, 2018</w:t>
      </w:r>
      <w:r w:rsidR="00271EE7" w:rsidRPr="00271EE7">
        <w:rPr>
          <w:rStyle w:val="Strong"/>
          <w:rFonts w:ascii="Calibri" w:hAnsi="Calibri" w:cs="Arial"/>
          <w:b w:val="0"/>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2" w:history="1">
        <w:r w:rsidR="00271EE7" w:rsidRPr="00271EE7">
          <w:rPr>
            <w:rStyle w:val="Hyperlink"/>
          </w:rPr>
          <w:t>Technical Rational</w:t>
        </w:r>
        <w:r w:rsidR="006835BC">
          <w:rPr>
            <w:rStyle w:val="Hyperlink"/>
          </w:rPr>
          <w:t>e</w:t>
        </w:r>
        <w:r w:rsidR="00271EE7" w:rsidRPr="00271EE7">
          <w:rPr>
            <w:rStyle w:val="Hyperlink"/>
          </w:rPr>
          <w:t xml:space="preserve"> for Reliability Standards</w:t>
        </w:r>
      </w:hyperlink>
      <w:r>
        <w:t xml:space="preserve"> page</w:t>
      </w:r>
      <w:r w:rsidR="00833311">
        <w:t xml:space="preserve">. </w:t>
      </w:r>
      <w:r w:rsidR="00833311" w:rsidRPr="00786AD7">
        <w:t>If you have questions</w:t>
      </w:r>
      <w:r w:rsidR="00833311">
        <w:t xml:space="preserve">, </w:t>
      </w:r>
      <w:r w:rsidR="00833311" w:rsidRPr="00C74DBC">
        <w:t>contact</w:t>
      </w:r>
      <w:r w:rsidR="00833311">
        <w:t xml:space="preserve"> </w:t>
      </w:r>
      <w:hyperlink r:id="rId13" w:history="1">
        <w:r w:rsidR="006835BC" w:rsidRPr="006835BC">
          <w:rPr>
            <w:rStyle w:val="Hyperlink"/>
          </w:rPr>
          <w:t>Al McMeekin</w:t>
        </w:r>
      </w:hyperlink>
      <w:r>
        <w:t xml:space="preserve"> </w:t>
      </w:r>
      <w:r w:rsidR="00833311" w:rsidRPr="00F86A52">
        <w:t>(via email)</w:t>
      </w:r>
      <w:r w:rsidR="00833311">
        <w:t>,</w:t>
      </w:r>
      <w:r w:rsidR="00833311" w:rsidRPr="00F86A52">
        <w:t xml:space="preserve"> or at </w:t>
      </w:r>
      <w:r w:rsidR="006835BC">
        <w:t>404-446-</w:t>
      </w:r>
      <w:bookmarkStart w:id="1" w:name="_GoBack"/>
      <w:bookmarkEnd w:id="1"/>
      <w:r w:rsidR="006835BC">
        <w:t>9675</w:t>
      </w:r>
      <w:r w:rsidR="00833311">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271EE7" w:rsidRPr="00D93BFC" w:rsidRDefault="00271EE7" w:rsidP="00271EE7">
      <w:pPr>
        <w:ind w:right="370"/>
        <w:rPr>
          <w:color w:val="000000"/>
        </w:rPr>
      </w:pPr>
      <w:r>
        <w:rPr>
          <w:rStyle w:val="BoxText"/>
          <w:rFonts w:ascii="Tahoma" w:hAnsi="Tahoma" w:cs="Tahoma"/>
          <w:sz w:val="22"/>
          <w:szCs w:val="22"/>
        </w:rPr>
        <w:t>Technical Rationale for Reliability Standards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Pr>
          <w:rStyle w:val="BoxText"/>
          <w:rFonts w:asciiTheme="minorHAnsi" w:hAnsiTheme="minorHAnsi" w:cs="Arial"/>
          <w:b w:val="0"/>
          <w:sz w:val="24"/>
        </w:rPr>
        <w:t xml:space="preserve">Guidelines and Technical Basis (GTB) review teams </w:t>
      </w:r>
      <w:r>
        <w:rPr>
          <w:color w:val="000000"/>
        </w:rPr>
        <w:t xml:space="preserve">will be tasked with identifying </w:t>
      </w:r>
      <w:r w:rsidRPr="00D93BFC">
        <w:rPr>
          <w:color w:val="000000"/>
        </w:rPr>
        <w:t>GTB containing only technical guidance or Rationale information</w:t>
      </w:r>
      <w:r>
        <w:rPr>
          <w:color w:val="000000"/>
        </w:rPr>
        <w:t>,</w:t>
      </w:r>
      <w:r w:rsidRPr="00D93BFC">
        <w:rPr>
          <w:color w:val="000000"/>
        </w:rPr>
        <w:t xml:space="preserve"> and clearly</w:t>
      </w:r>
      <w:r w:rsidRPr="00D93BFC">
        <w:rPr>
          <w:i/>
          <w:color w:val="000000"/>
        </w:rPr>
        <w:t xml:space="preserve"> do not</w:t>
      </w:r>
      <w:r w:rsidRPr="00D93BFC">
        <w:rPr>
          <w:color w:val="000000"/>
        </w:rPr>
        <w:t xml:space="preserve"> contain compliance examples or approaches.</w:t>
      </w:r>
      <w:r>
        <w:rPr>
          <w:color w:val="000000"/>
        </w:rPr>
        <w:t xml:space="preserve"> In addition, they will work with NERC staff to transition those examples of GTB to Technical Rationale. Team members will be designated to the following work teams:</w:t>
      </w:r>
    </w:p>
    <w:p w:rsidR="00271EE7" w:rsidRDefault="00271EE7" w:rsidP="00271EE7">
      <w:pPr>
        <w:ind w:right="370"/>
        <w:rPr>
          <w:color w:val="000000"/>
        </w:rPr>
      </w:pP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Cyber Security – CIP</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Operations &amp; Data Exchange – BAL, INT, IRO, TOP</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Personnel &amp; Emergency Planning – COM, EOP, PER</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Modeling &amp; Long-term Planning – FAC, MOD, NUC, TPL</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System Performance – PRC, VAR</w:t>
      </w:r>
    </w:p>
    <w:p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rsidR="00565AB5" w:rsidRDefault="00240726" w:rsidP="0081601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271EE7">
              <w:rPr>
                <w:rStyle w:val="BoxText"/>
                <w:rFonts w:asciiTheme="minorHAnsi" w:hAnsiTheme="minorHAnsi" w:cs="Arial"/>
                <w:sz w:val="24"/>
              </w:rPr>
              <w:t xml:space="preserve">Review or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52B3D">
              <w:rPr>
                <w:rFonts w:cs="Arial"/>
              </w:rPr>
            </w:r>
            <w:r w:rsidR="00D52B3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52B3D">
              <w:rPr>
                <w:rFonts w:cs="Arial"/>
              </w:rPr>
            </w:r>
            <w:r w:rsidR="00D52B3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52B3D">
              <w:rPr>
                <w:rFonts w:cs="Arial"/>
              </w:rPr>
            </w:r>
            <w:r w:rsidR="00D52B3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52B3D">
              <w:rPr>
                <w:rFonts w:cs="Arial"/>
              </w:rPr>
            </w:r>
            <w:r w:rsidR="00D52B3D">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52B3D">
              <w:rPr>
                <w:rStyle w:val="BoxText"/>
                <w:rFonts w:asciiTheme="minorHAnsi" w:hAnsiTheme="minorHAnsi"/>
                <w:b w:val="0"/>
                <w:sz w:val="24"/>
              </w:rPr>
            </w:r>
            <w:r w:rsidR="00D52B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52B3D">
              <w:rPr>
                <w:rFonts w:cs="Arial"/>
              </w:rPr>
            </w:r>
            <w:r w:rsidR="00D52B3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52B3D">
              <w:rPr>
                <w:rFonts w:ascii="Verdana" w:hAnsi="Verdana" w:cs="Arial"/>
              </w:rPr>
            </w:r>
            <w:r w:rsidR="00D52B3D">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D52B3D">
              <w:rPr>
                <w:rStyle w:val="BoxText"/>
                <w:rFonts w:ascii="Verdana" w:hAnsi="Verdana"/>
                <w:b w:val="0"/>
                <w:sz w:val="24"/>
              </w:rPr>
            </w:r>
            <w:r w:rsidR="00D52B3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6835BC">
        <w:tblPrEx>
          <w:tblLook w:val="0000" w:firstRow="0" w:lastRow="0" w:firstColumn="0" w:lastColumn="0" w:noHBand="0" w:noVBand="0"/>
        </w:tblPrEx>
        <w:trPr>
          <w:cantSplit/>
          <w:trHeight w:val="621"/>
          <w:jc w:val="center"/>
        </w:trPr>
        <w:tc>
          <w:tcPr>
            <w:tcW w:w="4414" w:type="dxa"/>
            <w:gridSpan w:val="2"/>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6835BC" w:rsidRPr="00E23D20" w:rsidTr="006835BC">
        <w:tblPrEx>
          <w:tblLook w:val="0000" w:firstRow="0" w:lastRow="0" w:firstColumn="0" w:lastColumn="0" w:noHBand="0" w:noVBand="0"/>
        </w:tblPrEx>
        <w:trPr>
          <w:cantSplit/>
          <w:trHeight w:val="449"/>
          <w:jc w:val="center"/>
        </w:trPr>
        <w:tc>
          <w:tcPr>
            <w:tcW w:w="10356" w:type="dxa"/>
            <w:gridSpan w:val="3"/>
            <w:shd w:val="clear" w:color="auto" w:fill="204C81" w:themeFill="accent1"/>
          </w:tcPr>
          <w:p w:rsidR="006835BC" w:rsidRPr="00193AE7" w:rsidRDefault="006835BC" w:rsidP="006835BC">
            <w:pPr>
              <w:spacing w:before="60" w:after="60"/>
              <w:rPr>
                <w:rStyle w:val="BoxText"/>
                <w:rFonts w:asciiTheme="minorHAnsi" w:hAnsiTheme="minorHAnsi" w:cs="Arial"/>
                <w:b w:val="0"/>
                <w:sz w:val="24"/>
              </w:rPr>
            </w:pPr>
            <w:r w:rsidRPr="00081BCE">
              <w:rPr>
                <w:rStyle w:val="BoxText"/>
                <w:rFonts w:asciiTheme="minorHAnsi" w:hAnsiTheme="minorHAnsi" w:cs="Arial"/>
                <w:color w:val="FFFFFF" w:themeColor="text1"/>
                <w:sz w:val="24"/>
              </w:rPr>
              <w:t xml:space="preserve">Select </w:t>
            </w:r>
            <w:r>
              <w:rPr>
                <w:rStyle w:val="BoxText"/>
                <w:rFonts w:asciiTheme="minorHAnsi" w:hAnsiTheme="minorHAnsi" w:cs="Arial"/>
                <w:color w:val="FFFFFF" w:themeColor="text1"/>
                <w:sz w:val="24"/>
              </w:rPr>
              <w:t>one or more sub-team</w:t>
            </w:r>
            <w:r w:rsidR="009F2D6A">
              <w:rPr>
                <w:rStyle w:val="BoxText"/>
                <w:rFonts w:asciiTheme="minorHAnsi" w:hAnsiTheme="minorHAnsi" w:cs="Arial"/>
                <w:color w:val="FFFFFF" w:themeColor="text1"/>
                <w:sz w:val="24"/>
              </w:rPr>
              <w:t>(s)</w:t>
            </w:r>
            <w:r>
              <w:rPr>
                <w:rStyle w:val="BoxText"/>
                <w:rFonts w:asciiTheme="minorHAnsi" w:hAnsiTheme="minorHAnsi" w:cs="Arial"/>
                <w:color w:val="FFFFFF" w:themeColor="text1"/>
                <w:sz w:val="24"/>
              </w:rPr>
              <w:t xml:space="preserve"> that</w:t>
            </w:r>
            <w:r w:rsidRPr="00081BCE">
              <w:rPr>
                <w:rStyle w:val="BoxText"/>
                <w:rFonts w:asciiTheme="minorHAnsi" w:hAnsiTheme="minorHAnsi" w:cs="Arial"/>
                <w:color w:val="FFFFFF" w:themeColor="text1"/>
                <w:sz w:val="24"/>
              </w:rPr>
              <w:t xml:space="preserve"> you </w:t>
            </w:r>
            <w:r>
              <w:rPr>
                <w:rStyle w:val="BoxText"/>
                <w:rFonts w:asciiTheme="minorHAnsi" w:hAnsiTheme="minorHAnsi" w:cs="Arial"/>
                <w:color w:val="FFFFFF" w:themeColor="text1"/>
                <w:sz w:val="24"/>
              </w:rPr>
              <w:t>are interested in</w:t>
            </w:r>
            <w:r w:rsidRPr="00081BCE">
              <w:rPr>
                <w:rStyle w:val="BoxText"/>
                <w:rFonts w:asciiTheme="minorHAnsi" w:hAnsiTheme="minorHAnsi" w:cs="Arial"/>
                <w:color w:val="FFFFFF" w:themeColor="text1"/>
                <w:sz w:val="24"/>
              </w:rPr>
              <w:t>:</w:t>
            </w:r>
          </w:p>
        </w:tc>
      </w:tr>
      <w:tr w:rsidR="006835BC" w:rsidRPr="00E23D20" w:rsidTr="00BC5CF7">
        <w:tblPrEx>
          <w:tblLook w:val="0000" w:firstRow="0" w:lastRow="0" w:firstColumn="0" w:lastColumn="0" w:noHBand="0" w:noVBand="0"/>
        </w:tblPrEx>
        <w:trPr>
          <w:cantSplit/>
          <w:trHeight w:val="621"/>
          <w:jc w:val="center"/>
        </w:trPr>
        <w:tc>
          <w:tcPr>
            <w:tcW w:w="10356" w:type="dxa"/>
            <w:gridSpan w:val="3"/>
            <w:tcBorders>
              <w:bottom w:val="single" w:sz="4" w:space="0" w:color="auto"/>
            </w:tcBorders>
          </w:tcPr>
          <w:p w:rsidR="006835BC" w:rsidRDefault="006835BC" w:rsidP="006835BC">
            <w:pPr>
              <w:ind w:right="370"/>
              <w:rPr>
                <w:color w:val="000000"/>
              </w:rPr>
            </w:pP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Cyber Security – CIP</w:t>
            </w: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Operations &amp; Data Exchange – BAL, INT, IRO, TOP</w:t>
            </w: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Personnel &amp; Emergency Planning – COM, EOP, PER</w:t>
            </w: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Modeling &amp; Long-term Planning – FAC, MOD, NUC, TPL</w:t>
            </w:r>
          </w:p>
          <w:p w:rsidR="006835BC"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D52B3D">
              <w:rPr>
                <w:rStyle w:val="BoxText"/>
                <w:rFonts w:asciiTheme="minorHAnsi" w:hAnsiTheme="minorHAnsi" w:cs="Arial"/>
                <w:b w:val="0"/>
                <w:sz w:val="24"/>
              </w:rPr>
            </w:r>
            <w:r w:rsidR="00D52B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System Performance – PRC, VAR</w:t>
            </w:r>
          </w:p>
          <w:p w:rsidR="006835BC" w:rsidRPr="00193AE7" w:rsidRDefault="006835BC" w:rsidP="006835BC">
            <w:pPr>
              <w:pStyle w:val="Default"/>
              <w:rPr>
                <w:rStyle w:val="BoxText"/>
                <w:rFonts w:asciiTheme="minorHAnsi" w:hAnsiTheme="minorHAnsi" w:cs="Arial"/>
                <w:b w:val="0"/>
                <w:sz w:val="24"/>
              </w:rPr>
            </w:pP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B2" w:rsidRDefault="00B21FB2">
      <w:r>
        <w:separator/>
      </w:r>
    </w:p>
  </w:endnote>
  <w:endnote w:type="continuationSeparator" w:id="0">
    <w:p w:rsidR="00B21FB2" w:rsidRDefault="00B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271EE7">
      <w:t>Technical Rationale for Reliability Standards</w:t>
    </w:r>
    <w:r w:rsidR="00833311" w:rsidRPr="00833311">
      <w:t xml:space="preserve"> | </w:t>
    </w:r>
    <w:r w:rsidR="00271EE7">
      <w:t>Ma</w:t>
    </w:r>
    <w:r w:rsidR="00D52B3D">
      <w:t>y</w:t>
    </w:r>
    <w:r w:rsidR="00271EE7">
      <w:t xml:space="preserve"> 2018</w:t>
    </w:r>
    <w:r>
      <w:tab/>
    </w:r>
    <w:r w:rsidR="001F52FD">
      <w:fldChar w:fldCharType="begin"/>
    </w:r>
    <w:r w:rsidR="001F52FD">
      <w:instrText xml:space="preserve"> PAGE </w:instrText>
    </w:r>
    <w:r w:rsidR="001F52FD">
      <w:fldChar w:fldCharType="separate"/>
    </w:r>
    <w:r w:rsidR="00D52B3D">
      <w:rPr>
        <w:noProof/>
      </w:rPr>
      <w:t>2</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B2" w:rsidRDefault="00B21FB2">
      <w:r>
        <w:separator/>
      </w:r>
    </w:p>
  </w:footnote>
  <w:footnote w:type="continuationSeparator" w:id="0">
    <w:p w:rsidR="00B21FB2" w:rsidRDefault="00B21FB2">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D1278"/>
    <w:multiLevelType w:val="hybridMultilevel"/>
    <w:tmpl w:val="72FC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66EA4"/>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0085"/>
    <w:rsid w:val="00222203"/>
    <w:rsid w:val="00240726"/>
    <w:rsid w:val="00257B0C"/>
    <w:rsid w:val="00260BED"/>
    <w:rsid w:val="00271EE7"/>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835BC"/>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73329"/>
    <w:rsid w:val="009960A3"/>
    <w:rsid w:val="00997A70"/>
    <w:rsid w:val="009A4ED6"/>
    <w:rsid w:val="009E317C"/>
    <w:rsid w:val="009F2D6A"/>
    <w:rsid w:val="00A15C0A"/>
    <w:rsid w:val="00A35DA7"/>
    <w:rsid w:val="00A6738A"/>
    <w:rsid w:val="00A90754"/>
    <w:rsid w:val="00AC0C35"/>
    <w:rsid w:val="00AD1865"/>
    <w:rsid w:val="00B146D4"/>
    <w:rsid w:val="00B21FB2"/>
    <w:rsid w:val="00B240FF"/>
    <w:rsid w:val="00B375B5"/>
    <w:rsid w:val="00B62A1A"/>
    <w:rsid w:val="00B86AB0"/>
    <w:rsid w:val="00B92780"/>
    <w:rsid w:val="00BA34E0"/>
    <w:rsid w:val="00BD61A5"/>
    <w:rsid w:val="00BE5580"/>
    <w:rsid w:val="00BF7EF4"/>
    <w:rsid w:val="00C31EA1"/>
    <w:rsid w:val="00C52B81"/>
    <w:rsid w:val="00C802A9"/>
    <w:rsid w:val="00C87293"/>
    <w:rsid w:val="00C975FA"/>
    <w:rsid w:val="00CB6B5B"/>
    <w:rsid w:val="00CC7BE7"/>
    <w:rsid w:val="00CF6E4A"/>
    <w:rsid w:val="00D06D7D"/>
    <w:rsid w:val="00D228D6"/>
    <w:rsid w:val="00D34F9C"/>
    <w:rsid w:val="00D52B3D"/>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subject=Technical%20Rationale%20Tea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TechnicalRationaleforReliability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5774f5b251a4c4c87c8d728e93da9f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C9BBB1ADEFCA459D2FEF77985A6010" ma:contentTypeVersion="24" ma:contentTypeDescription="Create a new document." ma:contentTypeScope="" ma:versionID="27f03935cc91952f0895352055dac280">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1D94-8A9B-4192-90AA-CB1B56096FEE}"/>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7F06EB6A-9D25-4CD4-9BCB-13619B5351CF}"/>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2018-05-04T21:16:00Z</dcterms:created>
  <dcterms:modified xsi:type="dcterms:W3CDTF">2018-05-04T21:17:00Z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0x01010062C9BBB1ADEFCA459D2FEF77985A6010</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