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9A3A85" w:rsidRDefault="00A92B1C" w:rsidP="00D933A3">
      <w:pPr>
        <w:pStyle w:val="DocumentTitle"/>
        <w:rPr>
          <w:sz w:val="48"/>
          <w:szCs w:val="48"/>
        </w:rPr>
      </w:pPr>
      <w:r w:rsidRPr="009A3A85">
        <w:rPr>
          <w:sz w:val="48"/>
          <w:szCs w:val="48"/>
        </w:rPr>
        <w:t>Unoff</w:t>
      </w:r>
      <w:r w:rsidR="0073546A" w:rsidRPr="009A3A85">
        <w:rPr>
          <w:sz w:val="48"/>
          <w:szCs w:val="48"/>
        </w:rPr>
        <w:t>i</w:t>
      </w:r>
      <w:r w:rsidRPr="009A3A85">
        <w:rPr>
          <w:sz w:val="48"/>
          <w:szCs w:val="48"/>
        </w:rPr>
        <w:t>cial Comment Form</w:t>
      </w:r>
    </w:p>
    <w:p w:rsidR="00D933A3" w:rsidRPr="009A3A85" w:rsidRDefault="00A92B1C" w:rsidP="00D933A3">
      <w:pPr>
        <w:pStyle w:val="DocumentSubtitle"/>
        <w:rPr>
          <w:sz w:val="40"/>
          <w:szCs w:val="40"/>
        </w:rPr>
      </w:pPr>
      <w:bookmarkStart w:id="0" w:name="_Toc195946480"/>
      <w:r w:rsidRPr="009A3A85">
        <w:rPr>
          <w:sz w:val="40"/>
          <w:szCs w:val="40"/>
        </w:rPr>
        <w:t xml:space="preserve">Project </w:t>
      </w:r>
      <w:r w:rsidR="00DB168D">
        <w:rPr>
          <w:sz w:val="40"/>
          <w:szCs w:val="40"/>
        </w:rPr>
        <w:t>2007-</w:t>
      </w:r>
      <w:r w:rsidR="00BB0EDD">
        <w:rPr>
          <w:sz w:val="40"/>
          <w:szCs w:val="40"/>
        </w:rPr>
        <w:t>1</w:t>
      </w:r>
      <w:r w:rsidR="00570E48">
        <w:rPr>
          <w:sz w:val="40"/>
          <w:szCs w:val="40"/>
        </w:rPr>
        <w:t>7.3</w:t>
      </w:r>
      <w:r w:rsidRPr="009A3A85">
        <w:rPr>
          <w:sz w:val="40"/>
          <w:szCs w:val="40"/>
        </w:rPr>
        <w:t xml:space="preserve"> </w:t>
      </w:r>
      <w:r w:rsidR="00570E48">
        <w:rPr>
          <w:sz w:val="40"/>
          <w:szCs w:val="40"/>
        </w:rPr>
        <w:t>Protection System Maintenance and Testing – Phase 3 (Sudden Pressure Relays)</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2" w:history="1">
        <w:r w:rsidRPr="006B7DC6">
          <w:rPr>
            <w:rStyle w:val="Hyperlink"/>
          </w:rPr>
          <w:t>electronic form</w:t>
        </w:r>
      </w:hyperlink>
      <w:r w:rsidRPr="000B7836">
        <w:t xml:space="preserve"> to submit comments on the </w:t>
      </w:r>
      <w:r w:rsidR="005A2920">
        <w:t xml:space="preserve">draft </w:t>
      </w:r>
      <w:r w:rsidR="005D1C66">
        <w:t>PER-005-2</w:t>
      </w:r>
      <w:r w:rsidR="00685D35">
        <w:t xml:space="preserve"> </w:t>
      </w:r>
      <w:r w:rsidR="003C2871">
        <w:t>s</w:t>
      </w:r>
      <w:r>
        <w:t>tandard</w:t>
      </w:r>
      <w:r w:rsidRPr="000B7836">
        <w:t xml:space="preserve">.  The electronic comment form must be completed by </w:t>
      </w:r>
      <w:r w:rsidR="00F7641D">
        <w:t xml:space="preserve">8:00 p.m. ET </w:t>
      </w:r>
      <w:r w:rsidR="00B21462">
        <w:t xml:space="preserve">on </w:t>
      </w:r>
      <w:r w:rsidR="009A3A85">
        <w:rPr>
          <w:b/>
          <w:color w:val="FF0000"/>
        </w:rPr>
        <w:t>Friday</w:t>
      </w:r>
      <w:r w:rsidR="00A159B9" w:rsidRPr="00B21462">
        <w:rPr>
          <w:b/>
          <w:color w:val="FF0000"/>
        </w:rPr>
        <w:t xml:space="preserve">, </w:t>
      </w:r>
      <w:r w:rsidR="00570E48">
        <w:rPr>
          <w:b/>
          <w:color w:val="FF0000"/>
        </w:rPr>
        <w:t>June 2</w:t>
      </w:r>
      <w:r w:rsidR="00A80404">
        <w:rPr>
          <w:b/>
          <w:color w:val="FF0000"/>
        </w:rPr>
        <w:t>, 2014</w:t>
      </w:r>
      <w:r w:rsidR="00C64E95">
        <w:t>.</w:t>
      </w:r>
    </w:p>
    <w:p w:rsidR="0073546A" w:rsidRPr="000B7836" w:rsidRDefault="0073546A" w:rsidP="0073546A"/>
    <w:p w:rsidR="0073546A" w:rsidRDefault="0073546A" w:rsidP="0073546A">
      <w:r w:rsidRPr="000B7836">
        <w:t xml:space="preserve">If you have questions please contact </w:t>
      </w:r>
      <w:hyperlink r:id="rId13" w:history="1">
        <w:r w:rsidR="00ED3583">
          <w:rPr>
            <w:rStyle w:val="Hyperlink"/>
          </w:rPr>
          <w:t>Jordan Mallory</w:t>
        </w:r>
      </w:hyperlink>
      <w:r w:rsidR="003C2871">
        <w:t xml:space="preserve"> via</w:t>
      </w:r>
      <w:r w:rsidR="00C97D29">
        <w:t xml:space="preserve"> email </w:t>
      </w:r>
      <w:r w:rsidRPr="000B7836">
        <w:t xml:space="preserve">or by telephone at </w:t>
      </w:r>
      <w:r w:rsidR="00C64E95">
        <w:t>404-446-</w:t>
      </w:r>
      <w:r w:rsidR="00ED3583">
        <w:t>9733</w:t>
      </w:r>
      <w:r w:rsidRPr="000B7836">
        <w:t>.</w:t>
      </w:r>
    </w:p>
    <w:p w:rsidR="0073546A" w:rsidRPr="000B7836" w:rsidRDefault="0073546A" w:rsidP="0073546A"/>
    <w:p w:rsidR="0039275D" w:rsidRDefault="004739A3" w:rsidP="0073546A">
      <w:r>
        <w:t xml:space="preserve">The project page may be accessed </w:t>
      </w:r>
      <w:r w:rsidRPr="008C4BC5">
        <w:t xml:space="preserve">by </w:t>
      </w:r>
      <w:hyperlink r:id="rId14" w:history="1">
        <w:r w:rsidRPr="00570E48">
          <w:rPr>
            <w:rStyle w:val="Hyperlink"/>
          </w:rPr>
          <w:t xml:space="preserve">clicking </w:t>
        </w:r>
        <w:bookmarkStart w:id="2" w:name="_GoBack"/>
        <w:bookmarkEnd w:id="2"/>
        <w:r w:rsidRPr="00570E48">
          <w:rPr>
            <w:rStyle w:val="Hyperlink"/>
          </w:rPr>
          <w:t>h</w:t>
        </w:r>
        <w:r w:rsidRPr="00570E48">
          <w:rPr>
            <w:rStyle w:val="Hyperlink"/>
          </w:rPr>
          <w:t>ere</w:t>
        </w:r>
      </w:hyperlink>
      <w:r>
        <w:t>.</w:t>
      </w:r>
      <w:r w:rsidR="00ED5673">
        <w:tab/>
      </w:r>
    </w:p>
    <w:p w:rsidR="002F2BFE" w:rsidRPr="00136931" w:rsidRDefault="002F2BFE" w:rsidP="00D933A3"/>
    <w:bookmarkEnd w:id="1"/>
    <w:p w:rsidR="0039275D" w:rsidRPr="00102A01" w:rsidRDefault="0073546A" w:rsidP="00102A01">
      <w:pPr>
        <w:pStyle w:val="Heading2"/>
      </w:pPr>
      <w:r>
        <w:t>Background Information</w:t>
      </w:r>
    </w:p>
    <w:p w:rsidR="00570E48" w:rsidRPr="00570E48" w:rsidRDefault="00570E48" w:rsidP="00570E48">
      <w:pPr>
        <w:shd w:val="clear" w:color="auto" w:fill="FFFFFF"/>
        <w:rPr>
          <w:rFonts w:ascii="Tahoma" w:hAnsi="Tahoma" w:cs="Tahoma"/>
          <w:color w:val="000000"/>
        </w:rPr>
      </w:pPr>
      <w:bookmarkStart w:id="3" w:name="_Toc195946482"/>
      <w:r w:rsidRPr="00570E48">
        <w:rPr>
          <w:rFonts w:ascii="Calibri" w:hAnsi="Calibri" w:cs="Tahoma"/>
          <w:color w:val="000000"/>
        </w:rPr>
        <w:t>Project 2007-17.3 (PRC-005-</w:t>
      </w:r>
      <w:r w:rsidR="00074057">
        <w:rPr>
          <w:rFonts w:ascii="Calibri" w:hAnsi="Calibri" w:cs="Tahoma"/>
          <w:color w:val="000000"/>
        </w:rPr>
        <w:t>X</w:t>
      </w:r>
      <w:r w:rsidRPr="00570E48">
        <w:rPr>
          <w:rFonts w:ascii="Calibri" w:hAnsi="Calibri" w:cs="Tahoma"/>
          <w:color w:val="000000"/>
        </w:rPr>
        <w:t>) will address a directive from FERC Order No. 758, which accepted NERC’s proposal to develop a technical document, in lieu of a prescriptive FERC directive, that will provide the following information:</w:t>
      </w:r>
    </w:p>
    <w:p w:rsidR="00570E48" w:rsidRPr="00570E48" w:rsidRDefault="00570E48" w:rsidP="00570E48">
      <w:pPr>
        <w:pStyle w:val="ListParagraph"/>
        <w:numPr>
          <w:ilvl w:val="0"/>
          <w:numId w:val="26"/>
        </w:numPr>
        <w:shd w:val="clear" w:color="auto" w:fill="FFFFFF"/>
        <w:spacing w:before="120"/>
        <w:contextualSpacing w:val="0"/>
        <w:rPr>
          <w:rFonts w:ascii="Tahoma" w:hAnsi="Tahoma" w:cs="Tahoma"/>
          <w:color w:val="000000"/>
          <w:sz w:val="18"/>
          <w:szCs w:val="18"/>
        </w:rPr>
      </w:pPr>
      <w:r w:rsidRPr="00570E48">
        <w:rPr>
          <w:rFonts w:ascii="Calibri" w:hAnsi="Calibri" w:cs="Tahoma"/>
          <w:color w:val="000000"/>
        </w:rPr>
        <w:t>describe the devices and functions (to include sudden pressure relays which trip for fault conditions) that should address FERC’s concern; and</w:t>
      </w:r>
    </w:p>
    <w:p w:rsidR="00570E48" w:rsidRPr="00570E48" w:rsidRDefault="00570E48" w:rsidP="00570E48">
      <w:pPr>
        <w:pStyle w:val="ListParagraph"/>
        <w:numPr>
          <w:ilvl w:val="0"/>
          <w:numId w:val="26"/>
        </w:numPr>
        <w:shd w:val="clear" w:color="auto" w:fill="FFFFFF"/>
        <w:spacing w:before="120"/>
        <w:contextualSpacing w:val="0"/>
        <w:rPr>
          <w:rFonts w:ascii="Tahoma" w:hAnsi="Tahoma" w:cs="Tahoma"/>
          <w:color w:val="000000"/>
          <w:sz w:val="18"/>
          <w:szCs w:val="18"/>
        </w:rPr>
      </w:pPr>
      <w:proofErr w:type="gramStart"/>
      <w:r w:rsidRPr="00570E48">
        <w:rPr>
          <w:rFonts w:ascii="Calibri" w:hAnsi="Calibri" w:cs="Tahoma"/>
          <w:color w:val="000000"/>
        </w:rPr>
        <w:t>propose</w:t>
      </w:r>
      <w:proofErr w:type="gramEnd"/>
      <w:r w:rsidRPr="00570E48">
        <w:rPr>
          <w:rFonts w:ascii="Calibri" w:hAnsi="Calibri" w:cs="Tahoma"/>
          <w:color w:val="000000"/>
        </w:rPr>
        <w:t xml:space="preserve"> minimum maintenance activities for such devices and maximum maintenance intervals, including the technical basis for each. </w:t>
      </w:r>
    </w:p>
    <w:p w:rsidR="00570E48" w:rsidRDefault="00570E48" w:rsidP="00570E48">
      <w:pPr>
        <w:shd w:val="clear" w:color="auto" w:fill="FFFFFF"/>
        <w:jc w:val="both"/>
        <w:rPr>
          <w:rFonts w:ascii="Calibri" w:hAnsi="Calibri" w:cs="Tahoma"/>
          <w:color w:val="000000"/>
        </w:rPr>
      </w:pPr>
    </w:p>
    <w:p w:rsidR="00570E48" w:rsidRPr="00570E48" w:rsidRDefault="00570E48" w:rsidP="00570E48">
      <w:pPr>
        <w:shd w:val="clear" w:color="auto" w:fill="FFFFFF"/>
        <w:jc w:val="both"/>
        <w:rPr>
          <w:rFonts w:ascii="Tahoma" w:hAnsi="Tahoma" w:cs="Tahoma"/>
          <w:color w:val="000000"/>
        </w:rPr>
      </w:pPr>
      <w:r w:rsidRPr="00570E48">
        <w:rPr>
          <w:rFonts w:ascii="Calibri" w:hAnsi="Calibri" w:cs="Tahoma"/>
          <w:color w:val="000000"/>
        </w:rPr>
        <w:t>In Order No. 758, the Commission accepted NERC’s proposal, by stating as follows:</w:t>
      </w:r>
    </w:p>
    <w:p w:rsidR="00570E48" w:rsidRDefault="00570E48" w:rsidP="00074057">
      <w:pPr>
        <w:shd w:val="clear" w:color="auto" w:fill="FFFFFF"/>
        <w:spacing w:before="120"/>
        <w:ind w:left="720"/>
        <w:jc w:val="both"/>
        <w:rPr>
          <w:rFonts w:ascii="Calibri" w:hAnsi="Calibri" w:cs="Tahoma"/>
          <w:color w:val="000000"/>
        </w:rPr>
      </w:pPr>
      <w:r w:rsidRPr="00570E48">
        <w:rPr>
          <w:rFonts w:ascii="Calibri" w:hAnsi="Calibri" w:cs="Tahoma"/>
          <w:color w:val="000000"/>
        </w:rPr>
        <w:t xml:space="preserve">NERC states that these technical documents will address those protective relays that are necessary for the reliable operation of the Bulk-Power System and will allow for differentiation between protective relays that detect faults from other devices that monitor the health of the individual equipment and are advisory in nature (e.g., oil temperature). Following development of the above-referenced document(s), NERC states that it will "propose a new or revised standard (e.g. PRC-005) using the NERC Reliability Standards development process to include maintenance of such devices, including establishment of minimum maintenance activities and maximum maintenance intervals." Accordingly, NERC proposes to "add this issue to the Reliability Standards issues database for inclusion in the list of issues to address the next time the PRC-005 standard is revised." </w:t>
      </w:r>
    </w:p>
    <w:p w:rsidR="00570E48" w:rsidRDefault="00570E48" w:rsidP="00074057">
      <w:pPr>
        <w:shd w:val="clear" w:color="auto" w:fill="FFFFFF"/>
        <w:spacing w:before="120"/>
        <w:ind w:left="720"/>
        <w:jc w:val="both"/>
        <w:rPr>
          <w:rFonts w:ascii="Calibri" w:hAnsi="Calibri" w:cs="Tahoma"/>
          <w:color w:val="000000"/>
        </w:rPr>
      </w:pPr>
      <w:r w:rsidRPr="00570E48">
        <w:rPr>
          <w:rFonts w:ascii="Calibri" w:hAnsi="Calibri" w:cs="Tahoma"/>
          <w:color w:val="000000"/>
        </w:rPr>
        <w:t xml:space="preserve">The Commission accepts NERC's proposal, and directs NERC to file, within sixty days of publication of this Final Rule, a schedule for informational purposes regarding the development of the technical documents referenced above, including the identification of devices that are designed to sense or take action against any abnormal system condition that will affect reliable operation. NERC shall include in the informational filing a schedule for the development of the changes to the standard </w:t>
      </w:r>
      <w:r w:rsidRPr="00570E48">
        <w:rPr>
          <w:rFonts w:ascii="Calibri" w:hAnsi="Calibri" w:cs="Tahoma"/>
          <w:color w:val="000000"/>
        </w:rPr>
        <w:lastRenderedPageBreak/>
        <w:t xml:space="preserve">that NERC stated it would propose as a result of the above-referenced documents. NERC should update its schedule when it files its annual work plan. </w:t>
      </w:r>
    </w:p>
    <w:p w:rsidR="00570E48" w:rsidRPr="00570E48" w:rsidRDefault="00570E48" w:rsidP="00570E48">
      <w:pPr>
        <w:shd w:val="clear" w:color="auto" w:fill="FFFFFF"/>
        <w:jc w:val="both"/>
        <w:rPr>
          <w:rFonts w:ascii="Tahoma" w:hAnsi="Tahoma" w:cs="Tahoma"/>
          <w:color w:val="000000"/>
          <w:sz w:val="18"/>
          <w:szCs w:val="18"/>
        </w:rPr>
      </w:pPr>
    </w:p>
    <w:p w:rsidR="002F2BFE" w:rsidRDefault="00570E48" w:rsidP="00570E48">
      <w:r w:rsidRPr="00570E48">
        <w:rPr>
          <w:rFonts w:ascii="Calibri" w:hAnsi="Calibri" w:cs="Tahoma"/>
          <w:color w:val="000000"/>
        </w:rPr>
        <w:t>As a follow-up to this Commission ruling, the Planning Committee studied sudden pressure relays and issued the attached report, which recommends moving ahead with a Standard. Specifically, the System Protection and Control Subcommittee (SPCS) completed a technical report recommending that a standard drafting team modify PRC‐005 to explicitly address maintenance and testing of the actuator device of the sudden pressure relay when applied as a protective device that trips a facility described in the applicability section of the Reliability Standard. Additionally, the standard drafting team (SDT) intends to consider changes to the standard that provide consistency and alignment with other Reliability Standards. Lastly, the standards drafting team intends to modify the standard to address any directives issued by FERC related to the approval of PRC-005-3, which is pending filing with FERC</w:t>
      </w:r>
      <w:r>
        <w:rPr>
          <w:rFonts w:ascii="Calibri" w:hAnsi="Calibri" w:cs="Tahoma"/>
          <w:color w:val="000000"/>
        </w:rPr>
        <w:t xml:space="preserve">. </w:t>
      </w:r>
    </w:p>
    <w:bookmarkEnd w:id="3"/>
    <w:p w:rsidR="00F7641D" w:rsidRDefault="00F7641D"/>
    <w:p w:rsidR="00570E48" w:rsidRPr="00570E48" w:rsidRDefault="00570E48">
      <w:pPr>
        <w:rPr>
          <w:b/>
        </w:rPr>
      </w:pPr>
      <w:r w:rsidRPr="00570E48">
        <w:rPr>
          <w:b/>
        </w:rPr>
        <w:t xml:space="preserve">PRC-005-X Revisions for draft 1: </w:t>
      </w:r>
    </w:p>
    <w:p w:rsidR="00570E48" w:rsidRPr="00570E48" w:rsidRDefault="00570E48" w:rsidP="00570E48">
      <w:r w:rsidRPr="00570E48">
        <w:t>The Standard Drafting Team has made several significant revisions to PRC-005-3 in establishing this draft of PRC-005-X.</w:t>
      </w:r>
    </w:p>
    <w:p w:rsidR="00570E48" w:rsidRPr="00570E48" w:rsidRDefault="00570E48" w:rsidP="00570E48">
      <w:pPr>
        <w:pStyle w:val="ListParagraph"/>
        <w:numPr>
          <w:ilvl w:val="0"/>
          <w:numId w:val="28"/>
        </w:numPr>
        <w:spacing w:before="120"/>
        <w:contextualSpacing w:val="0"/>
        <w:rPr>
          <w:rFonts w:asciiTheme="minorHAnsi" w:hAnsiTheme="minorHAnsi"/>
        </w:rPr>
      </w:pPr>
      <w:r w:rsidRPr="00570E48">
        <w:rPr>
          <w:rFonts w:asciiTheme="minorHAnsi" w:hAnsiTheme="minorHAnsi"/>
        </w:rPr>
        <w:t xml:space="preserve">In response to Order 758, the Standard Drafting Team (SDT) added Sudden Pressure Relaying by: </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Defining a new term</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Modified Protection System Maintenance Program  (PSMP) definition to add Sudden Pressure Relaying</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 xml:space="preserve">Revising the Applicability elements </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Adding Table 5 to address minimum maintenance activities and maximum maintenance intervals</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 xml:space="preserve">Revising the previous Implementation Plan </w:t>
      </w:r>
    </w:p>
    <w:p w:rsidR="00570E48" w:rsidRPr="00570E48" w:rsidRDefault="00570E48" w:rsidP="00570E48">
      <w:pPr>
        <w:pStyle w:val="ListParagraph"/>
        <w:numPr>
          <w:ilvl w:val="0"/>
          <w:numId w:val="28"/>
        </w:numPr>
        <w:spacing w:before="120"/>
        <w:contextualSpacing w:val="0"/>
        <w:rPr>
          <w:rFonts w:asciiTheme="minorHAnsi" w:hAnsiTheme="minorHAnsi"/>
        </w:rPr>
      </w:pPr>
      <w:r w:rsidRPr="00570E48">
        <w:rPr>
          <w:rFonts w:asciiTheme="minorHAnsi" w:hAnsiTheme="minorHAnsi"/>
        </w:rPr>
        <w:t>The SDT reconsidered its position on including Balancing Authorities to PRC-005-4; therefore, the SDT:</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Added the Balancing Authority to the Applicability</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Added a requirement that Balancing Authorities notify their Transmission Owners, Generator Owners, and Distribution Providers of the largest BES generating unit within the Balancing Authority Area.</w:t>
      </w:r>
    </w:p>
    <w:p w:rsidR="00570E48" w:rsidRPr="00570E48" w:rsidRDefault="00570E48" w:rsidP="00570E48">
      <w:pPr>
        <w:pStyle w:val="ListParagraph"/>
        <w:numPr>
          <w:ilvl w:val="1"/>
          <w:numId w:val="28"/>
        </w:numPr>
        <w:spacing w:before="120"/>
        <w:ind w:left="1080"/>
        <w:contextualSpacing w:val="0"/>
        <w:rPr>
          <w:rFonts w:asciiTheme="minorHAnsi" w:hAnsiTheme="minorHAnsi"/>
        </w:rPr>
      </w:pPr>
      <w:r w:rsidRPr="00570E48">
        <w:rPr>
          <w:rFonts w:asciiTheme="minorHAnsi" w:hAnsiTheme="minorHAnsi"/>
        </w:rPr>
        <w:t>Revised Requirements R3 and R4 to address the obligations previously expressed in the Implementation Plan regarding initial maintenance of Automatic Reclosing that becomes newly applicable at future times, and removed these elements from the Implementation Plan.</w:t>
      </w:r>
    </w:p>
    <w:p w:rsidR="00570E48" w:rsidRPr="00570E48" w:rsidRDefault="00570E48" w:rsidP="00570E48">
      <w:pPr>
        <w:pStyle w:val="ListParagraph"/>
        <w:numPr>
          <w:ilvl w:val="0"/>
          <w:numId w:val="28"/>
        </w:numPr>
        <w:spacing w:before="120"/>
        <w:contextualSpacing w:val="0"/>
        <w:rPr>
          <w:rFonts w:asciiTheme="minorHAnsi" w:hAnsiTheme="minorHAnsi"/>
        </w:rPr>
      </w:pPr>
      <w:r w:rsidRPr="00570E48">
        <w:rPr>
          <w:rFonts w:asciiTheme="minorHAnsi" w:hAnsiTheme="minorHAnsi"/>
        </w:rPr>
        <w:t xml:space="preserve">The SDT, seeing the concerns of the U.S. Office of Management and Budget and consulting with NERC Compliance Operations, reduced the required Data Retention. </w:t>
      </w:r>
    </w:p>
    <w:p w:rsidR="00570E48" w:rsidRPr="00570E48" w:rsidRDefault="00570E48" w:rsidP="00570E48">
      <w:pPr>
        <w:pStyle w:val="ListParagraph"/>
        <w:numPr>
          <w:ilvl w:val="0"/>
          <w:numId w:val="28"/>
        </w:numPr>
        <w:spacing w:before="120"/>
        <w:contextualSpacing w:val="0"/>
        <w:rPr>
          <w:rFonts w:asciiTheme="minorHAnsi" w:hAnsiTheme="minorHAnsi"/>
        </w:rPr>
      </w:pPr>
      <w:r w:rsidRPr="00570E48">
        <w:rPr>
          <w:rFonts w:asciiTheme="minorHAnsi" w:hAnsiTheme="minorHAnsi"/>
        </w:rPr>
        <w:lastRenderedPageBreak/>
        <w:t>The SDT made changes to the Supplementary Reference and FAQ Document to reflect the changes in the Standard.</w:t>
      </w:r>
    </w:p>
    <w:p w:rsidR="00570E48" w:rsidRDefault="00570E48"/>
    <w:p w:rsidR="0039275D" w:rsidRDefault="0073546A" w:rsidP="00102A01">
      <w:pPr>
        <w:pStyle w:val="Heading2"/>
      </w:pPr>
      <w:r>
        <w:t>Question</w:t>
      </w:r>
    </w:p>
    <w:p w:rsidR="00575783" w:rsidRPr="00074057" w:rsidRDefault="00575783" w:rsidP="00575783"/>
    <w:p w:rsidR="00A80404" w:rsidRPr="00074057" w:rsidRDefault="00570E48" w:rsidP="00A80404">
      <w:pPr>
        <w:pStyle w:val="ListParagraph"/>
        <w:keepNext/>
        <w:numPr>
          <w:ilvl w:val="0"/>
          <w:numId w:val="25"/>
        </w:numPr>
        <w:ind w:left="360"/>
        <w:rPr>
          <w:rFonts w:asciiTheme="minorHAnsi" w:hAnsiTheme="minorHAnsi"/>
        </w:rPr>
      </w:pPr>
      <w:r w:rsidRPr="00074057">
        <w:rPr>
          <w:rFonts w:asciiTheme="minorHAnsi" w:hAnsiTheme="minorHAnsi"/>
        </w:rPr>
        <w:t>Do you have any comments regarding the addition of Sudden Pressure Relaying to PRC-005-X?</w:t>
      </w:r>
    </w:p>
    <w:p w:rsidR="00F006EF" w:rsidRPr="00074057" w:rsidRDefault="00F006EF" w:rsidP="0073546A">
      <w:pPr>
        <w:keepNext/>
      </w:pPr>
    </w:p>
    <w:p w:rsidR="0073546A" w:rsidRPr="00074057" w:rsidRDefault="007A61C6" w:rsidP="0073546A">
      <w:pPr>
        <w:keepNext/>
      </w:pPr>
      <w:r w:rsidRPr="00074057">
        <w:fldChar w:fldCharType="begin">
          <w:ffData>
            <w:name w:val="Check4"/>
            <w:enabled/>
            <w:calcOnExit w:val="0"/>
            <w:checkBox>
              <w:sizeAuto/>
              <w:default w:val="0"/>
            </w:checkBox>
          </w:ffData>
        </w:fldChar>
      </w:r>
      <w:r w:rsidR="0073546A" w:rsidRPr="00074057">
        <w:instrText xml:space="preserve"> FORMCHECKBOX </w:instrText>
      </w:r>
      <w:r w:rsidR="00307AAD">
        <w:fldChar w:fldCharType="separate"/>
      </w:r>
      <w:r w:rsidRPr="00074057">
        <w:fldChar w:fldCharType="end"/>
      </w:r>
      <w:r w:rsidR="0073546A" w:rsidRPr="00074057">
        <w:t xml:space="preserve"> Yes </w:t>
      </w:r>
    </w:p>
    <w:p w:rsidR="0073546A" w:rsidRPr="00074057" w:rsidRDefault="007A61C6" w:rsidP="0073546A">
      <w:pPr>
        <w:keepNext/>
      </w:pPr>
      <w:r w:rsidRPr="00074057">
        <w:fldChar w:fldCharType="begin">
          <w:ffData>
            <w:name w:val="Check4"/>
            <w:enabled/>
            <w:calcOnExit w:val="0"/>
            <w:checkBox>
              <w:sizeAuto/>
              <w:default w:val="0"/>
            </w:checkBox>
          </w:ffData>
        </w:fldChar>
      </w:r>
      <w:r w:rsidR="0073546A" w:rsidRPr="00074057">
        <w:instrText xml:space="preserve"> FORMCHECKBOX </w:instrText>
      </w:r>
      <w:r w:rsidR="00307AAD">
        <w:fldChar w:fldCharType="separate"/>
      </w:r>
      <w:r w:rsidRPr="00074057">
        <w:fldChar w:fldCharType="end"/>
      </w:r>
      <w:r w:rsidR="0073546A" w:rsidRPr="00074057">
        <w:t xml:space="preserve"> No </w:t>
      </w:r>
    </w:p>
    <w:p w:rsidR="00D9120D" w:rsidRPr="00074057" w:rsidRDefault="00D9120D" w:rsidP="0073546A">
      <w:pPr>
        <w:keepNext/>
      </w:pPr>
    </w:p>
    <w:p w:rsidR="0073546A" w:rsidRPr="00074057" w:rsidRDefault="0073546A" w:rsidP="0073546A">
      <w:r w:rsidRPr="00074057">
        <w:t xml:space="preserve">Comments: </w:t>
      </w:r>
      <w:r w:rsidR="007A61C6" w:rsidRPr="00074057">
        <w:fldChar w:fldCharType="begin">
          <w:ffData>
            <w:name w:val="Text12"/>
            <w:enabled/>
            <w:calcOnExit w:val="0"/>
            <w:textInput/>
          </w:ffData>
        </w:fldChar>
      </w:r>
      <w:r w:rsidRPr="00074057">
        <w:instrText xml:space="preserve"> FORMTEXT </w:instrText>
      </w:r>
      <w:r w:rsidR="007A61C6" w:rsidRPr="00074057">
        <w:fldChar w:fldCharType="separate"/>
      </w:r>
      <w:r w:rsidRPr="00074057">
        <w:t> </w:t>
      </w:r>
      <w:r w:rsidRPr="00074057">
        <w:t> </w:t>
      </w:r>
      <w:r w:rsidRPr="00074057">
        <w:t> </w:t>
      </w:r>
      <w:r w:rsidRPr="00074057">
        <w:t> </w:t>
      </w:r>
      <w:r w:rsidRPr="00074057">
        <w:t> </w:t>
      </w:r>
      <w:r w:rsidR="007A61C6" w:rsidRPr="00074057">
        <w:fldChar w:fldCharType="end"/>
      </w:r>
    </w:p>
    <w:p w:rsidR="0073546A" w:rsidRPr="00074057" w:rsidRDefault="0073546A" w:rsidP="0073546A"/>
    <w:p w:rsidR="00A80404" w:rsidRPr="00074057" w:rsidRDefault="00570E48" w:rsidP="00A80404">
      <w:pPr>
        <w:pStyle w:val="ListParagraph"/>
        <w:keepNext/>
        <w:numPr>
          <w:ilvl w:val="0"/>
          <w:numId w:val="25"/>
        </w:numPr>
        <w:ind w:left="360"/>
        <w:rPr>
          <w:rFonts w:asciiTheme="minorHAnsi" w:hAnsiTheme="minorHAnsi"/>
        </w:rPr>
      </w:pPr>
      <w:r w:rsidRPr="00074057">
        <w:rPr>
          <w:rFonts w:asciiTheme="minorHAnsi" w:hAnsiTheme="minorHAnsi"/>
        </w:rPr>
        <w:t>Do you have any comments regarding the addition of Balancing Authority to PRC-005-X?</w:t>
      </w:r>
    </w:p>
    <w:p w:rsidR="00A80404" w:rsidRPr="00074057" w:rsidRDefault="00A80404" w:rsidP="00A80404">
      <w:pPr>
        <w:keepNext/>
      </w:pPr>
    </w:p>
    <w:p w:rsidR="00A80404" w:rsidRPr="00074057" w:rsidRDefault="00A80404" w:rsidP="00A80404">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Yes </w:t>
      </w:r>
    </w:p>
    <w:p w:rsidR="00A80404" w:rsidRPr="00074057" w:rsidRDefault="00A80404" w:rsidP="00A80404">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No </w:t>
      </w:r>
    </w:p>
    <w:p w:rsidR="00A80404" w:rsidRPr="00074057" w:rsidRDefault="00A80404" w:rsidP="00A80404">
      <w:pPr>
        <w:keepNext/>
      </w:pPr>
    </w:p>
    <w:p w:rsidR="00A80404" w:rsidRPr="00074057" w:rsidRDefault="00A80404" w:rsidP="00A80404">
      <w:r w:rsidRPr="00074057">
        <w:t xml:space="preserve">Comments: </w:t>
      </w:r>
      <w:r w:rsidRPr="00074057">
        <w:fldChar w:fldCharType="begin">
          <w:ffData>
            <w:name w:val="Text12"/>
            <w:enabled/>
            <w:calcOnExit w:val="0"/>
            <w:textInput/>
          </w:ffData>
        </w:fldChar>
      </w:r>
      <w:r w:rsidRPr="00074057">
        <w:instrText xml:space="preserve"> FORMTEXT </w:instrText>
      </w:r>
      <w:r w:rsidRPr="00074057">
        <w:fldChar w:fldCharType="separate"/>
      </w:r>
      <w:r w:rsidRPr="00074057">
        <w:t> </w:t>
      </w:r>
      <w:r w:rsidRPr="00074057">
        <w:t> </w:t>
      </w:r>
      <w:r w:rsidRPr="00074057">
        <w:t> </w:t>
      </w:r>
      <w:r w:rsidRPr="00074057">
        <w:t> </w:t>
      </w:r>
      <w:r w:rsidRPr="00074057">
        <w:t> </w:t>
      </w:r>
      <w:r w:rsidRPr="00074057">
        <w:fldChar w:fldCharType="end"/>
      </w:r>
    </w:p>
    <w:p w:rsidR="008D0467" w:rsidRPr="00074057" w:rsidRDefault="008D0467" w:rsidP="0073546A"/>
    <w:p w:rsidR="00570E48" w:rsidRPr="00074057" w:rsidRDefault="00570E48" w:rsidP="00570E48">
      <w:pPr>
        <w:pStyle w:val="ListParagraph"/>
        <w:keepNext/>
        <w:numPr>
          <w:ilvl w:val="0"/>
          <w:numId w:val="25"/>
        </w:numPr>
        <w:ind w:left="360"/>
        <w:rPr>
          <w:rFonts w:asciiTheme="minorHAnsi" w:hAnsiTheme="minorHAnsi"/>
        </w:rPr>
      </w:pPr>
      <w:r w:rsidRPr="00074057">
        <w:rPr>
          <w:rFonts w:asciiTheme="minorHAnsi" w:hAnsiTheme="minorHAnsi"/>
        </w:rPr>
        <w:t>Do you have any comments regarding the change in data retention to PRC-005-X?</w:t>
      </w:r>
    </w:p>
    <w:p w:rsidR="00570E48" w:rsidRPr="00074057" w:rsidRDefault="00570E48" w:rsidP="00570E48">
      <w:pPr>
        <w:keepNext/>
      </w:pPr>
    </w:p>
    <w:p w:rsidR="00570E48" w:rsidRPr="00074057" w:rsidRDefault="00570E48" w:rsidP="00570E48">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Yes </w:t>
      </w:r>
    </w:p>
    <w:p w:rsidR="00570E48" w:rsidRPr="00074057" w:rsidRDefault="00570E48" w:rsidP="00570E48">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No </w:t>
      </w:r>
    </w:p>
    <w:p w:rsidR="00570E48" w:rsidRPr="00074057" w:rsidRDefault="00570E48" w:rsidP="00570E48">
      <w:pPr>
        <w:keepNext/>
      </w:pPr>
    </w:p>
    <w:p w:rsidR="00570E48" w:rsidRPr="00074057" w:rsidRDefault="00570E48" w:rsidP="00570E48">
      <w:r w:rsidRPr="00074057">
        <w:t xml:space="preserve">Comments: </w:t>
      </w:r>
      <w:r w:rsidRPr="00074057">
        <w:fldChar w:fldCharType="begin">
          <w:ffData>
            <w:name w:val="Text12"/>
            <w:enabled/>
            <w:calcOnExit w:val="0"/>
            <w:textInput/>
          </w:ffData>
        </w:fldChar>
      </w:r>
      <w:r w:rsidRPr="00074057">
        <w:instrText xml:space="preserve"> FORMTEXT </w:instrText>
      </w:r>
      <w:r w:rsidRPr="00074057">
        <w:fldChar w:fldCharType="separate"/>
      </w:r>
      <w:r w:rsidRPr="00074057">
        <w:t> </w:t>
      </w:r>
      <w:r w:rsidRPr="00074057">
        <w:t> </w:t>
      </w:r>
      <w:r w:rsidRPr="00074057">
        <w:t> </w:t>
      </w:r>
      <w:r w:rsidRPr="00074057">
        <w:t> </w:t>
      </w:r>
      <w:r w:rsidRPr="00074057">
        <w:t> </w:t>
      </w:r>
      <w:r w:rsidRPr="00074057">
        <w:fldChar w:fldCharType="end"/>
      </w:r>
    </w:p>
    <w:p w:rsidR="00570E48" w:rsidRPr="00074057" w:rsidRDefault="00570E48" w:rsidP="0073546A"/>
    <w:p w:rsidR="00570E48" w:rsidRPr="00074057" w:rsidRDefault="00570E48" w:rsidP="00570E48">
      <w:pPr>
        <w:pStyle w:val="ListParagraph"/>
        <w:keepNext/>
        <w:numPr>
          <w:ilvl w:val="0"/>
          <w:numId w:val="25"/>
        </w:numPr>
        <w:ind w:left="360"/>
        <w:rPr>
          <w:rFonts w:asciiTheme="minorHAnsi" w:hAnsiTheme="minorHAnsi"/>
        </w:rPr>
      </w:pPr>
      <w:r w:rsidRPr="00074057">
        <w:rPr>
          <w:rFonts w:asciiTheme="minorHAnsi" w:hAnsiTheme="minorHAnsi"/>
        </w:rPr>
        <w:t xml:space="preserve">Do </w:t>
      </w:r>
      <w:r w:rsidR="00074057" w:rsidRPr="00074057">
        <w:rPr>
          <w:rFonts w:asciiTheme="minorHAnsi" w:hAnsiTheme="minorHAnsi"/>
        </w:rPr>
        <w:t>you have any comments regarding the changes made to the Supplementary Reference and FAQ Document to reflect the changes to PRC-005-X?</w:t>
      </w:r>
    </w:p>
    <w:p w:rsidR="00570E48" w:rsidRPr="00074057" w:rsidRDefault="00570E48" w:rsidP="00570E48">
      <w:pPr>
        <w:keepNext/>
      </w:pPr>
    </w:p>
    <w:p w:rsidR="00570E48" w:rsidRPr="00074057" w:rsidRDefault="00570E48" w:rsidP="00570E48">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Yes </w:t>
      </w:r>
    </w:p>
    <w:p w:rsidR="00570E48" w:rsidRPr="00074057" w:rsidRDefault="00570E48" w:rsidP="00570E48">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No </w:t>
      </w:r>
    </w:p>
    <w:p w:rsidR="00570E48" w:rsidRPr="00074057" w:rsidRDefault="00570E48" w:rsidP="00570E48">
      <w:pPr>
        <w:keepNext/>
      </w:pPr>
    </w:p>
    <w:p w:rsidR="00570E48" w:rsidRDefault="00570E48" w:rsidP="00570E48">
      <w:r w:rsidRPr="00074057">
        <w:t xml:space="preserve">Comments: </w:t>
      </w:r>
      <w:r w:rsidRPr="00074057">
        <w:fldChar w:fldCharType="begin">
          <w:ffData>
            <w:name w:val="Text12"/>
            <w:enabled/>
            <w:calcOnExit w:val="0"/>
            <w:textInput/>
          </w:ffData>
        </w:fldChar>
      </w:r>
      <w:r w:rsidRPr="00074057">
        <w:instrText xml:space="preserve"> FORMTEXT </w:instrText>
      </w:r>
      <w:r w:rsidRPr="00074057">
        <w:fldChar w:fldCharType="separate"/>
      </w:r>
      <w:r w:rsidRPr="00074057">
        <w:t> </w:t>
      </w:r>
      <w:r w:rsidRPr="00074057">
        <w:t> </w:t>
      </w:r>
      <w:r w:rsidRPr="00074057">
        <w:t> </w:t>
      </w:r>
      <w:r w:rsidRPr="00074057">
        <w:t> </w:t>
      </w:r>
      <w:r w:rsidRPr="00074057">
        <w:t> </w:t>
      </w:r>
      <w:r w:rsidRPr="00074057">
        <w:fldChar w:fldCharType="end"/>
      </w:r>
    </w:p>
    <w:p w:rsidR="00074057" w:rsidRPr="00074057" w:rsidRDefault="00074057" w:rsidP="00570E48"/>
    <w:p w:rsidR="00570E48" w:rsidRPr="00074057" w:rsidRDefault="00570E48" w:rsidP="00570E48">
      <w:pPr>
        <w:pStyle w:val="ListParagraph"/>
        <w:keepNext/>
        <w:numPr>
          <w:ilvl w:val="0"/>
          <w:numId w:val="25"/>
        </w:numPr>
        <w:ind w:left="360"/>
        <w:rPr>
          <w:rFonts w:asciiTheme="minorHAnsi" w:hAnsiTheme="minorHAnsi"/>
        </w:rPr>
      </w:pPr>
      <w:r w:rsidRPr="00074057">
        <w:rPr>
          <w:rFonts w:asciiTheme="minorHAnsi" w:hAnsiTheme="minorHAnsi"/>
        </w:rPr>
        <w:t xml:space="preserve">Do you have any </w:t>
      </w:r>
      <w:r w:rsidR="00074057" w:rsidRPr="00074057">
        <w:rPr>
          <w:rFonts w:asciiTheme="minorHAnsi" w:hAnsiTheme="minorHAnsi"/>
        </w:rPr>
        <w:t>additional comments not addressed by one of the previous questions?</w:t>
      </w:r>
    </w:p>
    <w:p w:rsidR="00570E48" w:rsidRPr="00074057" w:rsidRDefault="00570E48" w:rsidP="00570E48">
      <w:pPr>
        <w:keepNext/>
      </w:pPr>
    </w:p>
    <w:p w:rsidR="00570E48" w:rsidRPr="00074057" w:rsidRDefault="00570E48" w:rsidP="00570E48">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Yes </w:t>
      </w:r>
    </w:p>
    <w:p w:rsidR="00570E48" w:rsidRPr="00074057" w:rsidRDefault="00570E48" w:rsidP="00570E48">
      <w:pPr>
        <w:keepNext/>
      </w:pPr>
      <w:r w:rsidRPr="00074057">
        <w:fldChar w:fldCharType="begin">
          <w:ffData>
            <w:name w:val="Check4"/>
            <w:enabled/>
            <w:calcOnExit w:val="0"/>
            <w:checkBox>
              <w:sizeAuto/>
              <w:default w:val="0"/>
            </w:checkBox>
          </w:ffData>
        </w:fldChar>
      </w:r>
      <w:r w:rsidRPr="00074057">
        <w:instrText xml:space="preserve"> FORMCHECKBOX </w:instrText>
      </w:r>
      <w:r w:rsidR="00307AAD">
        <w:fldChar w:fldCharType="separate"/>
      </w:r>
      <w:r w:rsidRPr="00074057">
        <w:fldChar w:fldCharType="end"/>
      </w:r>
      <w:r w:rsidRPr="00074057">
        <w:t xml:space="preserve"> No </w:t>
      </w:r>
    </w:p>
    <w:p w:rsidR="00570E48" w:rsidRPr="00074057" w:rsidRDefault="00570E48" w:rsidP="00570E48">
      <w:pPr>
        <w:keepNext/>
      </w:pPr>
    </w:p>
    <w:p w:rsidR="00570E48" w:rsidRPr="00074057" w:rsidRDefault="00570E48" w:rsidP="00570E48">
      <w:r w:rsidRPr="00074057">
        <w:t xml:space="preserve">Comments: </w:t>
      </w:r>
      <w:r w:rsidRPr="00074057">
        <w:fldChar w:fldCharType="begin">
          <w:ffData>
            <w:name w:val="Text12"/>
            <w:enabled/>
            <w:calcOnExit w:val="0"/>
            <w:textInput/>
          </w:ffData>
        </w:fldChar>
      </w:r>
      <w:r w:rsidRPr="00074057">
        <w:instrText xml:space="preserve"> FORMTEXT </w:instrText>
      </w:r>
      <w:r w:rsidRPr="00074057">
        <w:fldChar w:fldCharType="separate"/>
      </w:r>
      <w:r w:rsidRPr="00074057">
        <w:t> </w:t>
      </w:r>
      <w:r w:rsidRPr="00074057">
        <w:t> </w:t>
      </w:r>
      <w:r w:rsidRPr="00074057">
        <w:t> </w:t>
      </w:r>
      <w:r w:rsidRPr="00074057">
        <w:t> </w:t>
      </w:r>
      <w:r w:rsidRPr="00074057">
        <w:t> </w:t>
      </w:r>
      <w:r w:rsidRPr="00074057">
        <w:fldChar w:fldCharType="end"/>
      </w:r>
    </w:p>
    <w:sectPr w:rsidR="00570E48" w:rsidRPr="00074057"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AD" w:rsidRDefault="00307AAD">
      <w:r>
        <w:separator/>
      </w:r>
    </w:p>
  </w:endnote>
  <w:endnote w:type="continuationSeparator" w:id="0">
    <w:p w:rsidR="00307AAD" w:rsidRDefault="0030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48" w:rsidRPr="00855BA8" w:rsidRDefault="00570E48" w:rsidP="00575783">
    <w:pPr>
      <w:pStyle w:val="Footer"/>
      <w:tabs>
        <w:tab w:val="clear" w:pos="10354"/>
        <w:tab w:val="right" w:pos="10350"/>
      </w:tabs>
      <w:ind w:left="0" w:right="18"/>
    </w:pPr>
    <w:r>
      <w:t>Unofficial Comment Form</w:t>
    </w:r>
    <w:r>
      <w:br/>
      <w:t>Project 2010-01 PER Revisions | December 2013</w:t>
    </w:r>
    <w:r>
      <w:tab/>
    </w:r>
    <w:r>
      <w:fldChar w:fldCharType="begin"/>
    </w:r>
    <w:r>
      <w:instrText xml:space="preserve"> PAGE </w:instrText>
    </w:r>
    <w:r>
      <w:fldChar w:fldCharType="separate"/>
    </w:r>
    <w:r w:rsidR="00BB0EDD">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48" w:rsidRDefault="00570E4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AD" w:rsidRDefault="00307AAD">
      <w:r>
        <w:separator/>
      </w:r>
    </w:p>
  </w:footnote>
  <w:footnote w:type="continuationSeparator" w:id="0">
    <w:p w:rsidR="00307AAD" w:rsidRDefault="0030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48" w:rsidRDefault="00570E48">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48" w:rsidRDefault="00570E48"/>
  <w:p w:rsidR="00570E48" w:rsidRDefault="00570E4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84BAD"/>
    <w:multiLevelType w:val="hybridMultilevel"/>
    <w:tmpl w:val="F3DE45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4C483379"/>
    <w:multiLevelType w:val="hybridMultilevel"/>
    <w:tmpl w:val="08585916"/>
    <w:lvl w:ilvl="0" w:tplc="DE784BF2">
      <w:start w:val="1"/>
      <w:numFmt w:val="decimal"/>
      <w:lvlText w:val="(%1)"/>
      <w:lvlJc w:val="left"/>
      <w:pPr>
        <w:ind w:left="0" w:hanging="360"/>
      </w:pPr>
      <w:rPr>
        <w:rFonts w:ascii="Calibri" w:hAnsi="Calibri"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5A64388"/>
    <w:multiLevelType w:val="hybridMultilevel"/>
    <w:tmpl w:val="8982B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AB42509"/>
    <w:multiLevelType w:val="hybridMultilevel"/>
    <w:tmpl w:val="DAFA65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4"/>
  </w:num>
  <w:num w:numId="4">
    <w:abstractNumId w:val="1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1"/>
  </w:num>
  <w:num w:numId="21">
    <w:abstractNumId w:val="15"/>
  </w:num>
  <w:num w:numId="22">
    <w:abstractNumId w:val="10"/>
  </w:num>
  <w:num w:numId="23">
    <w:abstractNumId w:val="13"/>
  </w:num>
  <w:num w:numId="24">
    <w:abstractNumId w:val="19"/>
  </w:num>
  <w:num w:numId="25">
    <w:abstractNumId w:val="27"/>
  </w:num>
  <w:num w:numId="26">
    <w:abstractNumId w:val="20"/>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74057"/>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9A9"/>
    <w:rsid w:val="001A6FC8"/>
    <w:rsid w:val="001A7B2D"/>
    <w:rsid w:val="001D47FD"/>
    <w:rsid w:val="001E6782"/>
    <w:rsid w:val="001E7AF6"/>
    <w:rsid w:val="001F6F01"/>
    <w:rsid w:val="002038BA"/>
    <w:rsid w:val="00212C02"/>
    <w:rsid w:val="00262A2F"/>
    <w:rsid w:val="00262F32"/>
    <w:rsid w:val="00283FB4"/>
    <w:rsid w:val="002C11E1"/>
    <w:rsid w:val="002C6E45"/>
    <w:rsid w:val="002D48A8"/>
    <w:rsid w:val="002F2BFE"/>
    <w:rsid w:val="003075F3"/>
    <w:rsid w:val="00307AAD"/>
    <w:rsid w:val="003134D1"/>
    <w:rsid w:val="003316EE"/>
    <w:rsid w:val="003447B5"/>
    <w:rsid w:val="00366A96"/>
    <w:rsid w:val="0038676B"/>
    <w:rsid w:val="0039275D"/>
    <w:rsid w:val="003A039D"/>
    <w:rsid w:val="003A2C17"/>
    <w:rsid w:val="003C0FD0"/>
    <w:rsid w:val="003C2871"/>
    <w:rsid w:val="003C40A4"/>
    <w:rsid w:val="003E1C41"/>
    <w:rsid w:val="003F78BD"/>
    <w:rsid w:val="0040795F"/>
    <w:rsid w:val="00411B23"/>
    <w:rsid w:val="0042088D"/>
    <w:rsid w:val="00456B99"/>
    <w:rsid w:val="004631BF"/>
    <w:rsid w:val="004739A3"/>
    <w:rsid w:val="004800C7"/>
    <w:rsid w:val="004859C6"/>
    <w:rsid w:val="00487B7F"/>
    <w:rsid w:val="004A7BAA"/>
    <w:rsid w:val="004B7DE3"/>
    <w:rsid w:val="004D3EC5"/>
    <w:rsid w:val="004E7B5C"/>
    <w:rsid w:val="00510652"/>
    <w:rsid w:val="005240B5"/>
    <w:rsid w:val="005316C6"/>
    <w:rsid w:val="005316F3"/>
    <w:rsid w:val="00545613"/>
    <w:rsid w:val="00554CD1"/>
    <w:rsid w:val="00555F79"/>
    <w:rsid w:val="00570E48"/>
    <w:rsid w:val="00573832"/>
    <w:rsid w:val="00575783"/>
    <w:rsid w:val="00584F6D"/>
    <w:rsid w:val="00591CE2"/>
    <w:rsid w:val="00597D63"/>
    <w:rsid w:val="005A2920"/>
    <w:rsid w:val="005A721A"/>
    <w:rsid w:val="005B7382"/>
    <w:rsid w:val="005C2683"/>
    <w:rsid w:val="005D1C66"/>
    <w:rsid w:val="005D3F72"/>
    <w:rsid w:val="005E6F5D"/>
    <w:rsid w:val="00631174"/>
    <w:rsid w:val="00652754"/>
    <w:rsid w:val="00676409"/>
    <w:rsid w:val="00685D35"/>
    <w:rsid w:val="00692F16"/>
    <w:rsid w:val="006935E7"/>
    <w:rsid w:val="00694CD1"/>
    <w:rsid w:val="006B3EC7"/>
    <w:rsid w:val="006B7DC6"/>
    <w:rsid w:val="006C1F78"/>
    <w:rsid w:val="006E4ED6"/>
    <w:rsid w:val="006E67B7"/>
    <w:rsid w:val="006F6DD1"/>
    <w:rsid w:val="00723EC7"/>
    <w:rsid w:val="007254EA"/>
    <w:rsid w:val="00733724"/>
    <w:rsid w:val="0073546A"/>
    <w:rsid w:val="0074626C"/>
    <w:rsid w:val="00760B1C"/>
    <w:rsid w:val="00784EFD"/>
    <w:rsid w:val="00791651"/>
    <w:rsid w:val="007A5C7E"/>
    <w:rsid w:val="007A61C6"/>
    <w:rsid w:val="007C12E8"/>
    <w:rsid w:val="007C1AEF"/>
    <w:rsid w:val="007E0028"/>
    <w:rsid w:val="00844209"/>
    <w:rsid w:val="008542FC"/>
    <w:rsid w:val="00855BA8"/>
    <w:rsid w:val="008866E7"/>
    <w:rsid w:val="008C1A0A"/>
    <w:rsid w:val="008C2858"/>
    <w:rsid w:val="008C4BC5"/>
    <w:rsid w:val="008D0467"/>
    <w:rsid w:val="008D532D"/>
    <w:rsid w:val="00905A97"/>
    <w:rsid w:val="00905DC1"/>
    <w:rsid w:val="009124E4"/>
    <w:rsid w:val="0091530F"/>
    <w:rsid w:val="009218CA"/>
    <w:rsid w:val="009838D6"/>
    <w:rsid w:val="00990DAF"/>
    <w:rsid w:val="009A3624"/>
    <w:rsid w:val="009A3A85"/>
    <w:rsid w:val="009A4DFE"/>
    <w:rsid w:val="009C211C"/>
    <w:rsid w:val="009C777F"/>
    <w:rsid w:val="00A159B9"/>
    <w:rsid w:val="00A31945"/>
    <w:rsid w:val="00A35DA7"/>
    <w:rsid w:val="00A6738A"/>
    <w:rsid w:val="00A80404"/>
    <w:rsid w:val="00A8535E"/>
    <w:rsid w:val="00A90B26"/>
    <w:rsid w:val="00A91FB4"/>
    <w:rsid w:val="00A92B1C"/>
    <w:rsid w:val="00AA13DB"/>
    <w:rsid w:val="00AC075B"/>
    <w:rsid w:val="00AC0C35"/>
    <w:rsid w:val="00AC36AD"/>
    <w:rsid w:val="00AC42DA"/>
    <w:rsid w:val="00AD1865"/>
    <w:rsid w:val="00AD3B11"/>
    <w:rsid w:val="00B146D4"/>
    <w:rsid w:val="00B21462"/>
    <w:rsid w:val="00B36D07"/>
    <w:rsid w:val="00B375B5"/>
    <w:rsid w:val="00B67A92"/>
    <w:rsid w:val="00B90D2E"/>
    <w:rsid w:val="00B95513"/>
    <w:rsid w:val="00BA34E0"/>
    <w:rsid w:val="00BB0EDD"/>
    <w:rsid w:val="00BE5580"/>
    <w:rsid w:val="00C06FBE"/>
    <w:rsid w:val="00C31EA1"/>
    <w:rsid w:val="00C36DA2"/>
    <w:rsid w:val="00C64E95"/>
    <w:rsid w:val="00C73EF2"/>
    <w:rsid w:val="00C802A9"/>
    <w:rsid w:val="00C84D89"/>
    <w:rsid w:val="00C96AC8"/>
    <w:rsid w:val="00C97D29"/>
    <w:rsid w:val="00CA232D"/>
    <w:rsid w:val="00CA401C"/>
    <w:rsid w:val="00CB54F5"/>
    <w:rsid w:val="00CC04D5"/>
    <w:rsid w:val="00CC7BE7"/>
    <w:rsid w:val="00CF6E4A"/>
    <w:rsid w:val="00CF78A7"/>
    <w:rsid w:val="00D225E0"/>
    <w:rsid w:val="00D228D6"/>
    <w:rsid w:val="00D31B2F"/>
    <w:rsid w:val="00D35D48"/>
    <w:rsid w:val="00D56EBF"/>
    <w:rsid w:val="00D5715F"/>
    <w:rsid w:val="00D71B57"/>
    <w:rsid w:val="00D7715A"/>
    <w:rsid w:val="00D8646B"/>
    <w:rsid w:val="00D9120D"/>
    <w:rsid w:val="00D92883"/>
    <w:rsid w:val="00D933A3"/>
    <w:rsid w:val="00D93707"/>
    <w:rsid w:val="00D9670F"/>
    <w:rsid w:val="00D96A22"/>
    <w:rsid w:val="00DA634C"/>
    <w:rsid w:val="00DB168D"/>
    <w:rsid w:val="00DB62EC"/>
    <w:rsid w:val="00DB7C23"/>
    <w:rsid w:val="00DC3755"/>
    <w:rsid w:val="00DC4D2B"/>
    <w:rsid w:val="00DC63DB"/>
    <w:rsid w:val="00DC6B8D"/>
    <w:rsid w:val="00DE6954"/>
    <w:rsid w:val="00E00283"/>
    <w:rsid w:val="00E202F4"/>
    <w:rsid w:val="00E43401"/>
    <w:rsid w:val="00E43A0D"/>
    <w:rsid w:val="00E575A0"/>
    <w:rsid w:val="00E709AD"/>
    <w:rsid w:val="00E806C3"/>
    <w:rsid w:val="00EA11D3"/>
    <w:rsid w:val="00EA70E5"/>
    <w:rsid w:val="00ED3583"/>
    <w:rsid w:val="00ED5673"/>
    <w:rsid w:val="00EE4C1E"/>
    <w:rsid w:val="00EF6F41"/>
    <w:rsid w:val="00F006EF"/>
    <w:rsid w:val="00F07493"/>
    <w:rsid w:val="00F31926"/>
    <w:rsid w:val="00F55DCC"/>
    <w:rsid w:val="00F655D5"/>
    <w:rsid w:val="00F6772B"/>
    <w:rsid w:val="00F7187A"/>
    <w:rsid w:val="00F7641D"/>
    <w:rsid w:val="00F8146F"/>
    <w:rsid w:val="00F82125"/>
    <w:rsid w:val="00FA4BE5"/>
    <w:rsid w:val="00FA5D71"/>
    <w:rsid w:val="00FB5404"/>
    <w:rsid w:val="00FC2075"/>
    <w:rsid w:val="00FC3D2E"/>
    <w:rsid w:val="00FC72E9"/>
    <w:rsid w:val="00FC7B36"/>
    <w:rsid w:val="00FD74B7"/>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33209">
      <w:bodyDiv w:val="1"/>
      <w:marLeft w:val="0"/>
      <w:marRight w:val="0"/>
      <w:marTop w:val="0"/>
      <w:marBottom w:val="0"/>
      <w:divBdr>
        <w:top w:val="none" w:sz="0" w:space="0" w:color="auto"/>
        <w:left w:val="none" w:sz="0" w:space="0" w:color="auto"/>
        <w:bottom w:val="none" w:sz="0" w:space="0" w:color="auto"/>
        <w:right w:val="none" w:sz="0" w:space="0" w:color="auto"/>
      </w:divBdr>
      <w:divsChild>
        <w:div w:id="324626540">
          <w:marLeft w:val="0"/>
          <w:marRight w:val="0"/>
          <w:marTop w:val="0"/>
          <w:marBottom w:val="0"/>
          <w:divBdr>
            <w:top w:val="none" w:sz="0" w:space="0" w:color="auto"/>
            <w:left w:val="none" w:sz="0" w:space="0" w:color="auto"/>
            <w:bottom w:val="none" w:sz="0" w:space="0" w:color="auto"/>
            <w:right w:val="none" w:sz="0" w:space="0" w:color="auto"/>
          </w:divBdr>
          <w:divsChild>
            <w:div w:id="2092238792">
              <w:marLeft w:val="10"/>
              <w:marRight w:val="0"/>
              <w:marTop w:val="0"/>
              <w:marBottom w:val="0"/>
              <w:divBdr>
                <w:top w:val="single" w:sz="6" w:space="0" w:color="808080"/>
                <w:left w:val="single" w:sz="6" w:space="0" w:color="808080"/>
                <w:bottom w:val="single" w:sz="6" w:space="0" w:color="808080"/>
                <w:right w:val="single" w:sz="6" w:space="0" w:color="808080"/>
              </w:divBdr>
              <w:divsChild>
                <w:div w:id="615871099">
                  <w:marLeft w:val="0"/>
                  <w:marRight w:val="0"/>
                  <w:marTop w:val="0"/>
                  <w:marBottom w:val="0"/>
                  <w:divBdr>
                    <w:top w:val="single" w:sz="6" w:space="0" w:color="C0C0C0"/>
                    <w:left w:val="single" w:sz="6" w:space="0" w:color="C0C0C0"/>
                    <w:bottom w:val="single" w:sz="6" w:space="0" w:color="C0C0C0"/>
                    <w:right w:val="single" w:sz="6" w:space="0" w:color="C0C0C0"/>
                  </w:divBdr>
                  <w:divsChild>
                    <w:div w:id="975377617">
                      <w:marLeft w:val="0"/>
                      <w:marRight w:val="0"/>
                      <w:marTop w:val="0"/>
                      <w:marBottom w:val="0"/>
                      <w:divBdr>
                        <w:top w:val="none" w:sz="0" w:space="0" w:color="auto"/>
                        <w:left w:val="none" w:sz="0" w:space="0" w:color="auto"/>
                        <w:bottom w:val="none" w:sz="0" w:space="0" w:color="auto"/>
                        <w:right w:val="none" w:sz="0" w:space="0" w:color="auto"/>
                      </w:divBdr>
                      <w:divsChild>
                        <w:div w:id="1637564886">
                          <w:marLeft w:val="1"/>
                          <w:marRight w:val="1"/>
                          <w:marTop w:val="0"/>
                          <w:marBottom w:val="0"/>
                          <w:divBdr>
                            <w:top w:val="none" w:sz="0" w:space="0" w:color="auto"/>
                            <w:left w:val="none" w:sz="0" w:space="0" w:color="auto"/>
                            <w:bottom w:val="none" w:sz="0" w:space="0" w:color="auto"/>
                            <w:right w:val="none" w:sz="0" w:space="0" w:color="auto"/>
                          </w:divBdr>
                          <w:divsChild>
                            <w:div w:id="1308784100">
                              <w:marLeft w:val="0"/>
                              <w:marRight w:val="1"/>
                              <w:marTop w:val="0"/>
                              <w:marBottom w:val="0"/>
                              <w:divBdr>
                                <w:top w:val="single" w:sz="2" w:space="1" w:color="808080"/>
                                <w:left w:val="single" w:sz="2" w:space="1" w:color="808080"/>
                                <w:bottom w:val="single" w:sz="2" w:space="1" w:color="808080"/>
                                <w:right w:val="single" w:sz="2" w:space="1" w:color="808080"/>
                              </w:divBdr>
                              <w:divsChild>
                                <w:div w:id="1164276002">
                                  <w:marLeft w:val="0"/>
                                  <w:marRight w:val="0"/>
                                  <w:marTop w:val="0"/>
                                  <w:marBottom w:val="0"/>
                                  <w:divBdr>
                                    <w:top w:val="none" w:sz="0" w:space="0" w:color="auto"/>
                                    <w:left w:val="none" w:sz="0" w:space="0" w:color="auto"/>
                                    <w:bottom w:val="none" w:sz="0" w:space="0" w:color="auto"/>
                                    <w:right w:val="none" w:sz="0" w:space="0" w:color="auto"/>
                                  </w:divBdr>
                                  <w:divsChild>
                                    <w:div w:id="561982506">
                                      <w:marLeft w:val="0"/>
                                      <w:marRight w:val="0"/>
                                      <w:marTop w:val="0"/>
                                      <w:marBottom w:val="0"/>
                                      <w:divBdr>
                                        <w:top w:val="none" w:sz="0" w:space="0" w:color="auto"/>
                                        <w:left w:val="none" w:sz="0" w:space="0" w:color="auto"/>
                                        <w:bottom w:val="none" w:sz="0" w:space="0" w:color="auto"/>
                                        <w:right w:val="none" w:sz="0" w:space="0" w:color="auto"/>
                                      </w:divBdr>
                                    </w:div>
                                    <w:div w:id="1300959153">
                                      <w:marLeft w:val="720"/>
                                      <w:marRight w:val="0"/>
                                      <w:marTop w:val="120"/>
                                      <w:marBottom w:val="0"/>
                                      <w:divBdr>
                                        <w:top w:val="none" w:sz="0" w:space="0" w:color="auto"/>
                                        <w:left w:val="none" w:sz="0" w:space="0" w:color="auto"/>
                                        <w:bottom w:val="none" w:sz="0" w:space="0" w:color="auto"/>
                                        <w:right w:val="none" w:sz="0" w:space="0" w:color="auto"/>
                                      </w:divBdr>
                                    </w:div>
                                    <w:div w:id="175929291">
                                      <w:marLeft w:val="720"/>
                                      <w:marRight w:val="0"/>
                                      <w:marTop w:val="120"/>
                                      <w:marBottom w:val="0"/>
                                      <w:divBdr>
                                        <w:top w:val="none" w:sz="0" w:space="0" w:color="auto"/>
                                        <w:left w:val="none" w:sz="0" w:space="0" w:color="auto"/>
                                        <w:bottom w:val="none" w:sz="0" w:space="0" w:color="auto"/>
                                        <w:right w:val="none" w:sz="0" w:space="0" w:color="auto"/>
                                      </w:divBdr>
                                    </w:div>
                                    <w:div w:id="1123882289">
                                      <w:marLeft w:val="0"/>
                                      <w:marRight w:val="0"/>
                                      <w:marTop w:val="120"/>
                                      <w:marBottom w:val="0"/>
                                      <w:divBdr>
                                        <w:top w:val="none" w:sz="0" w:space="0" w:color="auto"/>
                                        <w:left w:val="none" w:sz="0" w:space="0" w:color="auto"/>
                                        <w:bottom w:val="none" w:sz="0" w:space="0" w:color="auto"/>
                                        <w:right w:val="none" w:sz="0" w:space="0" w:color="auto"/>
                                      </w:divBdr>
                                    </w:div>
                                    <w:div w:id="1955601286">
                                      <w:marLeft w:val="720"/>
                                      <w:marRight w:val="1440"/>
                                      <w:marTop w:val="0"/>
                                      <w:marBottom w:val="0"/>
                                      <w:divBdr>
                                        <w:top w:val="none" w:sz="0" w:space="0" w:color="auto"/>
                                        <w:left w:val="none" w:sz="0" w:space="0" w:color="auto"/>
                                        <w:bottom w:val="none" w:sz="0" w:space="0" w:color="auto"/>
                                        <w:right w:val="none" w:sz="0" w:space="0" w:color="auto"/>
                                      </w:divBdr>
                                    </w:div>
                                    <w:div w:id="1941983209">
                                      <w:marLeft w:val="72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dan.mallory@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7596be655a1c496880ad95026d08551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07-17_3-Protection-System-Maintenance-and-Testing-Phase-3.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ED86220E1B6B4290649EFA82DE7004" ma:contentTypeVersion="0" ma:contentTypeDescription="Create a new document." ma:contentTypeScope="" ma:versionID="969f8676e28f106a134d951b9944e57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6C68A62DEF06C41B0A79D750CF97402" ma:contentTypeVersion="40" ma:contentTypeDescription="Create a new document." ma:contentTypeScope="" ma:versionID="e13e2e31fc8ed5d878e2704cd852d5f4">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3CF739CB-0F34-45D2-B4EB-9D83E4A23BA5}"/>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86E1FEC6-DA1A-4394-B1FA-5B794D005E6B}"/>
</file>

<file path=customXml/itemProps5.xml><?xml version="1.0" encoding="utf-8"?>
<ds:datastoreItem xmlns:ds="http://schemas.openxmlformats.org/officeDocument/2006/customXml" ds:itemID="{D653FBBA-A4CE-4A61-903E-CCAB176FE6FC}"/>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2014-04-10T15:52:00Z</dcterms:created>
  <dcterms:modified xsi:type="dcterms:W3CDTF">2014-04-11T14:28:00Z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0x01010036C68A62DEF06C41B0A79D750CF97402</vt:lpwstr>
  </property>
  <property fmtid="{D5CDD505-2E9C-101B-9397-08002B2CF9AE}" pid="3" name="Document Category">
    <vt:lpwstr>Template</vt:lpwstr>
  </property>
  <property fmtid="{D5CDD505-2E9C-101B-9397-08002B2CF9AE}" pid="4" name="_dlc_DocIdItemGuid">
    <vt:lpwstr>4bafa293-d025-4de2-ad04-46bfcac74eb7</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