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5A2CA7" w:rsidP="005A2CA7">
      <w:pPr>
        <w:pStyle w:val="DocumentTitle"/>
        <w:spacing w:before="0"/>
        <w:ind w:left="-90" w:firstLine="90"/>
        <w:rPr>
          <w:sz w:val="44"/>
          <w:szCs w:val="44"/>
        </w:rPr>
      </w:pPr>
      <w:r>
        <w:rPr>
          <w:sz w:val="44"/>
          <w:szCs w:val="44"/>
        </w:rPr>
        <w:t>Unofficial Comment Form</w:t>
      </w:r>
    </w:p>
    <w:p w:rsidR="0039275D" w:rsidRDefault="005A2CA7" w:rsidP="005A2CA7">
      <w:pPr>
        <w:pStyle w:val="DocumentSubtitle"/>
        <w:spacing w:after="0"/>
        <w:ind w:left="-90" w:firstLine="90"/>
        <w:rPr>
          <w:sz w:val="24"/>
          <w:szCs w:val="24"/>
        </w:rPr>
      </w:pPr>
      <w:r>
        <w:rPr>
          <w:sz w:val="24"/>
          <w:szCs w:val="24"/>
        </w:rPr>
        <w:t>Interpretation of COM-002-2 – Communications and Coordination R2 for the</w:t>
      </w:r>
    </w:p>
    <w:p w:rsidR="005A2CA7" w:rsidRPr="00687867" w:rsidRDefault="005A2CA7" w:rsidP="005A2CA7">
      <w:pPr>
        <w:pStyle w:val="DocumentSubtitle"/>
        <w:spacing w:after="0"/>
        <w:ind w:left="-90" w:firstLine="90"/>
        <w:rPr>
          <w:sz w:val="24"/>
          <w:szCs w:val="24"/>
        </w:rPr>
      </w:pPr>
      <w:r>
        <w:rPr>
          <w:sz w:val="24"/>
          <w:szCs w:val="24"/>
        </w:rPr>
        <w:t>ISO/RTO Council (Project 2009-22)</w:t>
      </w:r>
    </w:p>
    <w:p w:rsidR="0039275D" w:rsidRPr="00687867" w:rsidRDefault="0039275D" w:rsidP="0039275D">
      <w:pPr>
        <w:pStyle w:val="Heading"/>
        <w:spacing w:before="0" w:after="0"/>
        <w:ind w:left="-90" w:firstLine="720"/>
        <w:rPr>
          <w:sz w:val="24"/>
          <w:szCs w:val="24"/>
        </w:rPr>
      </w:pPr>
      <w:bookmarkStart w:id="0" w:name="_Toc195946480"/>
    </w:p>
    <w:p w:rsidR="005A2CA7" w:rsidRPr="00164523" w:rsidRDefault="005A2CA7" w:rsidP="005A2C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</w:t>
      </w:r>
      <w:r w:rsidRPr="00164523">
        <w:rPr>
          <w:rFonts w:ascii="Verdana" w:hAnsi="Verdana"/>
          <w:b/>
          <w:sz w:val="20"/>
        </w:rPr>
        <w:t xml:space="preserve">DO </w:t>
      </w:r>
      <w:r w:rsidRPr="0067216F">
        <w:rPr>
          <w:rFonts w:ascii="Verdana" w:hAnsi="Verdana"/>
          <w:b/>
          <w:sz w:val="20"/>
        </w:rPr>
        <w:t xml:space="preserve">NOT </w:t>
      </w:r>
      <w:r>
        <w:rPr>
          <w:rFonts w:ascii="Verdana" w:hAnsi="Verdana"/>
          <w:sz w:val="20"/>
        </w:rPr>
        <w:t>use this form</w:t>
      </w:r>
      <w:r w:rsidRPr="00182CEE">
        <w:rPr>
          <w:rFonts w:ascii="Verdana" w:hAnsi="Verdana"/>
          <w:sz w:val="20"/>
        </w:rPr>
        <w:t xml:space="preserve"> to submit comments</w:t>
      </w:r>
      <w:r>
        <w:rPr>
          <w:rFonts w:ascii="Verdana" w:hAnsi="Verdana"/>
          <w:sz w:val="20"/>
        </w:rPr>
        <w:t xml:space="preserve">.  Please use the </w:t>
      </w:r>
      <w:hyperlink r:id="rId8" w:history="1">
        <w:r w:rsidRPr="004E7BCF">
          <w:rPr>
            <w:rStyle w:val="Hyperlink"/>
            <w:rFonts w:ascii="Verdana" w:hAnsi="Verdana"/>
            <w:sz w:val="20"/>
          </w:rPr>
          <w:t>electronic comment form</w:t>
        </w:r>
      </w:hyperlink>
      <w:r>
        <w:rPr>
          <w:rFonts w:ascii="Verdana" w:hAnsi="Verdana"/>
          <w:sz w:val="20"/>
        </w:rPr>
        <w:t xml:space="preserve"> </w:t>
      </w:r>
      <w:r w:rsidRPr="00BB38E7">
        <w:rPr>
          <w:rFonts w:ascii="Verdana" w:hAnsi="Verdana"/>
          <w:sz w:val="20"/>
        </w:rPr>
        <w:t>to submit comments</w:t>
      </w:r>
      <w:r w:rsidRPr="00182CEE">
        <w:rPr>
          <w:rFonts w:ascii="Verdana" w:hAnsi="Verdana"/>
          <w:sz w:val="20"/>
        </w:rPr>
        <w:t xml:space="preserve"> on the </w:t>
      </w:r>
      <w:r w:rsidRPr="00481156">
        <w:rPr>
          <w:rFonts w:ascii="Verdana" w:hAnsi="Verdana"/>
          <w:bCs/>
          <w:color w:val="333333"/>
          <w:sz w:val="20"/>
        </w:rPr>
        <w:t xml:space="preserve">Interpretation of COM-002-2 — Communications and Coordination R2 for the ISO/RTO Council </w:t>
      </w:r>
      <w:r w:rsidRPr="009607B0">
        <w:rPr>
          <w:rFonts w:ascii="Verdana" w:hAnsi="Verdana"/>
          <w:bCs/>
          <w:sz w:val="20"/>
        </w:rPr>
        <w:t xml:space="preserve">(Project </w:t>
      </w:r>
      <w:r>
        <w:rPr>
          <w:rFonts w:ascii="Verdana" w:hAnsi="Verdana"/>
          <w:bCs/>
          <w:sz w:val="20"/>
        </w:rPr>
        <w:t>2009</w:t>
      </w:r>
      <w:r w:rsidRPr="009607B0">
        <w:rPr>
          <w:rFonts w:ascii="Verdana" w:hAnsi="Verdana"/>
          <w:bCs/>
          <w:sz w:val="20"/>
        </w:rPr>
        <w:t>-</w:t>
      </w:r>
      <w:r>
        <w:rPr>
          <w:rFonts w:ascii="Verdana" w:hAnsi="Verdana"/>
          <w:bCs/>
          <w:sz w:val="20"/>
        </w:rPr>
        <w:t>22</w:t>
      </w:r>
      <w:r w:rsidRPr="009607B0">
        <w:rPr>
          <w:rFonts w:ascii="Verdana" w:hAnsi="Verdana"/>
          <w:bCs/>
          <w:sz w:val="20"/>
        </w:rPr>
        <w:t>)</w:t>
      </w:r>
      <w:r w:rsidRPr="00182CEE">
        <w:rPr>
          <w:rFonts w:ascii="Verdana" w:hAnsi="Verdana"/>
          <w:sz w:val="20"/>
        </w:rPr>
        <w:t xml:space="preserve">.  </w:t>
      </w:r>
      <w:r>
        <w:rPr>
          <w:rFonts w:ascii="Verdana" w:hAnsi="Verdana"/>
          <w:sz w:val="20"/>
        </w:rPr>
        <w:t>C</w:t>
      </w:r>
      <w:r w:rsidRPr="0067216F">
        <w:rPr>
          <w:rFonts w:ascii="Verdana" w:hAnsi="Verdana"/>
          <w:sz w:val="20"/>
        </w:rPr>
        <w:t>omment</w:t>
      </w:r>
      <w:r>
        <w:rPr>
          <w:rFonts w:ascii="Verdana" w:hAnsi="Verdana"/>
          <w:sz w:val="20"/>
        </w:rPr>
        <w:t xml:space="preserve">s </w:t>
      </w:r>
      <w:r w:rsidRPr="0067216F">
        <w:rPr>
          <w:rFonts w:ascii="Verdana" w:hAnsi="Verdana"/>
          <w:sz w:val="20"/>
        </w:rPr>
        <w:t xml:space="preserve">must be completed by </w:t>
      </w:r>
      <w:r>
        <w:rPr>
          <w:rFonts w:ascii="Verdana" w:hAnsi="Verdana"/>
          <w:b/>
          <w:color w:val="FF0000"/>
          <w:sz w:val="20"/>
        </w:rPr>
        <w:t>November 1</w:t>
      </w:r>
      <w:r w:rsidR="00862121">
        <w:rPr>
          <w:rFonts w:ascii="Verdana" w:hAnsi="Verdana"/>
          <w:b/>
          <w:color w:val="FF0000"/>
          <w:sz w:val="20"/>
        </w:rPr>
        <w:t>7</w:t>
      </w:r>
      <w:r>
        <w:rPr>
          <w:rFonts w:ascii="Verdana" w:hAnsi="Verdana"/>
          <w:b/>
          <w:color w:val="FF0000"/>
          <w:sz w:val="20"/>
        </w:rPr>
        <w:t>, 2011</w:t>
      </w:r>
      <w:r w:rsidRPr="0067216F">
        <w:rPr>
          <w:rFonts w:ascii="Verdana" w:hAnsi="Verdana"/>
          <w:b/>
          <w:color w:val="FF0000"/>
          <w:sz w:val="20"/>
        </w:rPr>
        <w:t>.</w:t>
      </w:r>
    </w:p>
    <w:p w:rsidR="005A2CA7" w:rsidRDefault="005A2CA7" w:rsidP="005A2CA7">
      <w:pPr>
        <w:rPr>
          <w:rFonts w:ascii="Verdana" w:hAnsi="Verdana"/>
          <w:sz w:val="20"/>
        </w:rPr>
      </w:pPr>
    </w:p>
    <w:p w:rsidR="005A2CA7" w:rsidRDefault="00414D6D" w:rsidP="005A2CA7">
      <w:pPr>
        <w:rPr>
          <w:rFonts w:ascii="Verdana" w:hAnsi="Verdana"/>
          <w:sz w:val="20"/>
        </w:rPr>
      </w:pPr>
      <w:hyperlink r:id="rId9" w:history="1">
        <w:r w:rsidR="00B70A93" w:rsidRPr="00B70A93">
          <w:rPr>
            <w:rStyle w:val="Hyperlink"/>
            <w:rFonts w:ascii="Verdana" w:hAnsi="Verdana"/>
            <w:sz w:val="20"/>
          </w:rPr>
          <w:t>2009-22 Project Page</w:t>
        </w:r>
      </w:hyperlink>
    </w:p>
    <w:p w:rsidR="00B70A93" w:rsidRDefault="00B70A93" w:rsidP="005A2CA7">
      <w:pPr>
        <w:rPr>
          <w:rFonts w:ascii="Verdana" w:hAnsi="Verdana"/>
          <w:sz w:val="20"/>
        </w:rPr>
      </w:pPr>
    </w:p>
    <w:p w:rsidR="005A2CA7" w:rsidRDefault="005A2CA7" w:rsidP="005A2CA7">
      <w:pPr>
        <w:rPr>
          <w:rFonts w:ascii="Verdana" w:hAnsi="Verdana"/>
          <w:sz w:val="20"/>
        </w:rPr>
      </w:pPr>
      <w:r w:rsidRPr="00182CEE">
        <w:rPr>
          <w:rFonts w:ascii="Verdana" w:hAnsi="Verdana"/>
          <w:sz w:val="20"/>
        </w:rPr>
        <w:t xml:space="preserve">If you have questions please contact </w:t>
      </w:r>
      <w:r>
        <w:rPr>
          <w:rFonts w:ascii="Verdana" w:hAnsi="Verdana"/>
          <w:sz w:val="20"/>
        </w:rPr>
        <w:t>Joseph Krisiak by email at </w:t>
      </w:r>
      <w:hyperlink r:id="rId10" w:history="1">
        <w:r w:rsidRPr="00D04BF4">
          <w:rPr>
            <w:rStyle w:val="Hyperlink"/>
            <w:rFonts w:ascii="Verdana" w:eastAsiaTheme="majorEastAsia" w:hAnsi="Verdana"/>
            <w:sz w:val="20"/>
          </w:rPr>
          <w:t xml:space="preserve"> Joseph.Krisiak@nerc.net</w:t>
        </w:r>
      </w:hyperlink>
      <w:r>
        <w:rPr>
          <w:rFonts w:ascii="Verdana" w:hAnsi="Verdana"/>
          <w:sz w:val="20"/>
        </w:rPr>
        <w:t> or by telephone at 609-651-0903</w:t>
      </w:r>
      <w:r w:rsidRPr="00182CEE">
        <w:rPr>
          <w:rFonts w:ascii="Verdana" w:hAnsi="Verdana"/>
          <w:sz w:val="20"/>
        </w:rPr>
        <w:t>.</w:t>
      </w:r>
    </w:p>
    <w:p w:rsidR="005A2CA7" w:rsidRDefault="005A2CA7" w:rsidP="005A2CA7">
      <w:pPr>
        <w:rPr>
          <w:rFonts w:ascii="Verdana" w:hAnsi="Verdana"/>
          <w:sz w:val="20"/>
        </w:rPr>
      </w:pPr>
    </w:p>
    <w:p w:rsidR="005A2CA7" w:rsidRPr="005A2CA7" w:rsidRDefault="005A2CA7" w:rsidP="005A2CA7">
      <w:pPr>
        <w:pStyle w:val="Heading3"/>
        <w:spacing w:before="0" w:after="0"/>
        <w:rPr>
          <w:rFonts w:ascii="Verdana" w:hAnsi="Verdana"/>
          <w:b w:val="0"/>
          <w:i w:val="0"/>
          <w:szCs w:val="22"/>
        </w:rPr>
      </w:pPr>
      <w:r w:rsidRPr="005A2CA7">
        <w:rPr>
          <w:rFonts w:ascii="Verdana" w:hAnsi="Verdana"/>
          <w:i w:val="0"/>
          <w:szCs w:val="22"/>
        </w:rPr>
        <w:t xml:space="preserve">Background Information </w:t>
      </w:r>
    </w:p>
    <w:p w:rsidR="005A2CA7" w:rsidRDefault="005A2CA7" w:rsidP="005A2C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October 1, 2009, clarification was requested by ISO-RTO Council on requirement R2, specifically on whether “directives” </w:t>
      </w:r>
      <w:r w:rsidRPr="00661A55">
        <w:rPr>
          <w:rFonts w:ascii="Verdana" w:hAnsi="Verdana"/>
          <w:sz w:val="20"/>
        </w:rPr>
        <w:t>are limited to actual and anticipated emergency operating conditions</w:t>
      </w:r>
      <w:r>
        <w:rPr>
          <w:rFonts w:ascii="Verdana" w:hAnsi="Verdana"/>
          <w:sz w:val="20"/>
        </w:rPr>
        <w:t>, or whether routine operating instructions are also considered “directives.”</w:t>
      </w:r>
    </w:p>
    <w:p w:rsidR="005A2CA7" w:rsidRDefault="005A2CA7" w:rsidP="005A2CA7">
      <w:pPr>
        <w:rPr>
          <w:rFonts w:ascii="Verdana" w:hAnsi="Verdana"/>
          <w:sz w:val="20"/>
        </w:rPr>
      </w:pPr>
    </w:p>
    <w:p w:rsidR="005A2CA7" w:rsidRDefault="005A2CA7" w:rsidP="005A2C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drafting team was formed and prepared a draft interpretation, which was posted for a 30-day informal comment period that ended December 18, 2010.  However, the effort was delayed following discussion with the requester based on the anticipation that more </w:t>
      </w:r>
      <w:r w:rsidRPr="001267B1">
        <w:rPr>
          <w:rFonts w:ascii="Verdana" w:hAnsi="Verdana"/>
          <w:sz w:val="20"/>
        </w:rPr>
        <w:t>clarity</w:t>
      </w:r>
      <w:r>
        <w:rPr>
          <w:rFonts w:ascii="Verdana" w:hAnsi="Verdana"/>
          <w:sz w:val="20"/>
        </w:rPr>
        <w:t xml:space="preserve"> regarding</w:t>
      </w:r>
      <w:r w:rsidRPr="001267B1">
        <w:rPr>
          <w:rFonts w:ascii="Verdana" w:hAnsi="Verdana"/>
          <w:sz w:val="20"/>
        </w:rPr>
        <w:t xml:space="preserve"> the term, “directives” would be identified through standard development work in Project</w:t>
      </w:r>
      <w:r>
        <w:rPr>
          <w:rFonts w:ascii="Verdana" w:hAnsi="Verdana"/>
          <w:sz w:val="20"/>
        </w:rPr>
        <w:t xml:space="preserve"> </w:t>
      </w:r>
      <w:r w:rsidRPr="001267B1">
        <w:rPr>
          <w:rFonts w:ascii="Verdana" w:hAnsi="Verdana"/>
          <w:sz w:val="20"/>
        </w:rPr>
        <w:t>2007</w:t>
      </w:r>
      <w:r w:rsidRPr="001267B1">
        <w:rPr>
          <w:rFonts w:ascii="Cambria Math" w:hAnsi="Cambria Math" w:cs="Cambria Math"/>
          <w:sz w:val="20"/>
        </w:rPr>
        <w:t>‐</w:t>
      </w:r>
      <w:r w:rsidRPr="001267B1">
        <w:rPr>
          <w:rFonts w:ascii="Verdana" w:hAnsi="Verdana"/>
          <w:sz w:val="20"/>
        </w:rPr>
        <w:t>02.</w:t>
      </w:r>
      <w:r>
        <w:rPr>
          <w:rFonts w:ascii="Verdana" w:hAnsi="Verdana"/>
          <w:sz w:val="20"/>
        </w:rPr>
        <w:t xml:space="preserve">  R</w:t>
      </w:r>
      <w:r w:rsidRPr="001267B1">
        <w:rPr>
          <w:rFonts w:ascii="Verdana" w:hAnsi="Verdana"/>
          <w:sz w:val="20"/>
        </w:rPr>
        <w:t xml:space="preserve">eprioritization </w:t>
      </w:r>
      <w:r>
        <w:rPr>
          <w:rFonts w:ascii="Verdana" w:hAnsi="Verdana"/>
          <w:sz w:val="20"/>
        </w:rPr>
        <w:t>of the total standards workload</w:t>
      </w:r>
      <w:r w:rsidRPr="001267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 w:rsidRPr="001267B1">
        <w:rPr>
          <w:rFonts w:ascii="Verdana" w:hAnsi="Verdana"/>
          <w:sz w:val="20"/>
        </w:rPr>
        <w:t>with</w:t>
      </w:r>
      <w:r>
        <w:rPr>
          <w:rFonts w:ascii="Verdana" w:hAnsi="Verdana"/>
          <w:sz w:val="20"/>
        </w:rPr>
        <w:t xml:space="preserve"> </w:t>
      </w:r>
      <w:r w:rsidRPr="001267B1">
        <w:rPr>
          <w:rFonts w:ascii="Verdana" w:hAnsi="Verdana"/>
          <w:sz w:val="20"/>
        </w:rPr>
        <w:t>interpretations given a lower priority than standards development in accordance with guidance</w:t>
      </w:r>
      <w:r>
        <w:rPr>
          <w:rFonts w:ascii="Verdana" w:hAnsi="Verdana"/>
          <w:sz w:val="20"/>
        </w:rPr>
        <w:t xml:space="preserve"> </w:t>
      </w:r>
      <w:r w:rsidRPr="001267B1">
        <w:rPr>
          <w:rFonts w:ascii="Verdana" w:hAnsi="Verdana"/>
          <w:sz w:val="20"/>
        </w:rPr>
        <w:t xml:space="preserve">from the NERC Board of Trustees </w:t>
      </w:r>
      <w:r>
        <w:rPr>
          <w:rFonts w:ascii="Verdana" w:hAnsi="Verdana"/>
          <w:sz w:val="20"/>
        </w:rPr>
        <w:t xml:space="preserve">issued </w:t>
      </w:r>
      <w:r w:rsidRPr="001267B1">
        <w:rPr>
          <w:rFonts w:ascii="Verdana" w:hAnsi="Verdana"/>
          <w:sz w:val="20"/>
        </w:rPr>
        <w:t>November 2009</w:t>
      </w:r>
      <w:r>
        <w:rPr>
          <w:rFonts w:ascii="Verdana" w:hAnsi="Verdana"/>
          <w:sz w:val="20"/>
        </w:rPr>
        <w:t>) resulted in further delay.  Additional delay was created as</w:t>
      </w:r>
      <w:r w:rsidRPr="001267B1">
        <w:rPr>
          <w:rFonts w:ascii="Verdana" w:hAnsi="Verdana"/>
          <w:sz w:val="20"/>
        </w:rPr>
        <w:t xml:space="preserve"> Standards Committee </w:t>
      </w:r>
      <w:r>
        <w:rPr>
          <w:rFonts w:ascii="Verdana" w:hAnsi="Verdana"/>
          <w:sz w:val="20"/>
        </w:rPr>
        <w:t>developed</w:t>
      </w:r>
      <w:r w:rsidRPr="001267B1">
        <w:rPr>
          <w:rFonts w:ascii="Verdana" w:hAnsi="Verdana"/>
          <w:sz w:val="20"/>
        </w:rPr>
        <w:t xml:space="preserve"> more formal processes </w:t>
      </w:r>
      <w:r>
        <w:rPr>
          <w:rFonts w:ascii="Verdana" w:hAnsi="Verdana"/>
          <w:sz w:val="20"/>
        </w:rPr>
        <w:t xml:space="preserve">for addressing interpretations were developed.  The Standards Committee directed that work resume on the Interpretation in </w:t>
      </w:r>
      <w:r w:rsidRPr="001267B1">
        <w:rPr>
          <w:rFonts w:ascii="Verdana" w:hAnsi="Verdana"/>
          <w:sz w:val="20"/>
        </w:rPr>
        <w:t>April 2011.</w:t>
      </w:r>
      <w:r>
        <w:rPr>
          <w:rFonts w:ascii="Verdana" w:hAnsi="Verdana"/>
          <w:sz w:val="20"/>
        </w:rPr>
        <w:t xml:space="preserve"> The OPCPSDT, which was previously working on this Interpretation, re-commenced work in June 2011 and reached consensus in September 2011. </w:t>
      </w:r>
    </w:p>
    <w:p w:rsidR="005A2CA7" w:rsidRDefault="005A2CA7" w:rsidP="005A2CA7">
      <w:pPr>
        <w:rPr>
          <w:rFonts w:ascii="Verdana" w:hAnsi="Verdana"/>
          <w:sz w:val="20"/>
        </w:rPr>
      </w:pPr>
    </w:p>
    <w:p w:rsidR="005A2CA7" w:rsidRDefault="005A2CA7" w:rsidP="005A2C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drafting team primarily based its interpretation on the purpose statement of the standard, which reads:</w:t>
      </w:r>
    </w:p>
    <w:p w:rsidR="005A2CA7" w:rsidRDefault="005A2CA7" w:rsidP="005A2CA7">
      <w:pPr>
        <w:rPr>
          <w:rFonts w:ascii="Verdana" w:hAnsi="Verdana"/>
          <w:sz w:val="20"/>
        </w:rPr>
      </w:pPr>
    </w:p>
    <w:p w:rsidR="005A2CA7" w:rsidRDefault="005A2CA7" w:rsidP="005A2CA7">
      <w:pPr>
        <w:ind w:left="720"/>
        <w:rPr>
          <w:rFonts w:ascii="Verdana" w:hAnsi="Verdana"/>
          <w:sz w:val="20"/>
        </w:rPr>
      </w:pPr>
      <w:r w:rsidRPr="00E50C67">
        <w:rPr>
          <w:rFonts w:ascii="Verdana" w:hAnsi="Verdana"/>
          <w:sz w:val="20"/>
        </w:rPr>
        <w:t>To ensure Balancing Authorities, Transmission Operators, and Generator</w:t>
      </w:r>
      <w:r>
        <w:rPr>
          <w:rFonts w:ascii="Verdana" w:hAnsi="Verdana"/>
          <w:sz w:val="20"/>
        </w:rPr>
        <w:t xml:space="preserve"> </w:t>
      </w:r>
      <w:r w:rsidRPr="00E50C67">
        <w:rPr>
          <w:rFonts w:ascii="Verdana" w:hAnsi="Verdana"/>
          <w:sz w:val="20"/>
        </w:rPr>
        <w:t>Operators have adequate communications and that these communications capabilities are</w:t>
      </w:r>
      <w:r>
        <w:rPr>
          <w:rFonts w:ascii="Verdana" w:hAnsi="Verdana"/>
          <w:sz w:val="20"/>
        </w:rPr>
        <w:t xml:space="preserve"> </w:t>
      </w:r>
      <w:r w:rsidRPr="00E50C67">
        <w:rPr>
          <w:rFonts w:ascii="Verdana" w:hAnsi="Verdana"/>
          <w:sz w:val="20"/>
        </w:rPr>
        <w:t>staffed and available for addressing a real-time emergency condition. To ensure</w:t>
      </w:r>
      <w:r>
        <w:rPr>
          <w:rFonts w:ascii="Verdana" w:hAnsi="Verdana"/>
          <w:sz w:val="20"/>
        </w:rPr>
        <w:t xml:space="preserve"> </w:t>
      </w:r>
      <w:r w:rsidRPr="00E50C67">
        <w:rPr>
          <w:rFonts w:ascii="Verdana" w:hAnsi="Verdana"/>
          <w:sz w:val="20"/>
        </w:rPr>
        <w:t>communications by operating personnel are effective.</w:t>
      </w:r>
    </w:p>
    <w:p w:rsidR="005A2CA7" w:rsidRDefault="005A2CA7" w:rsidP="005A2CA7">
      <w:pPr>
        <w:rPr>
          <w:rFonts w:ascii="Verdana" w:hAnsi="Verdana"/>
          <w:sz w:val="20"/>
        </w:rPr>
      </w:pPr>
    </w:p>
    <w:p w:rsidR="005A2CA7" w:rsidRDefault="005A2CA7" w:rsidP="005A2C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drafting team has interpreted this to mean that the standard should only apply during emergencies, and that </w:t>
      </w:r>
      <w:r w:rsidRPr="00E50C67">
        <w:rPr>
          <w:rFonts w:ascii="Verdana" w:hAnsi="Verdana"/>
          <w:sz w:val="20"/>
        </w:rPr>
        <w:t>routine operating instructions during normal operations would not require the communications protocols for repeat backs as specified in R2.</w:t>
      </w:r>
    </w:p>
    <w:p w:rsidR="005A2CA7" w:rsidRDefault="005A2CA7" w:rsidP="005A2CA7">
      <w:pPr>
        <w:rPr>
          <w:rFonts w:ascii="Verdana" w:hAnsi="Verdana"/>
          <w:sz w:val="20"/>
        </w:rPr>
      </w:pPr>
    </w:p>
    <w:p w:rsidR="005A2CA7" w:rsidRDefault="005A2CA7" w:rsidP="005A2C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the extent entities are seeking to modify the definition of the word “directive,” such changes cannot be made though the interpretation process.   However, t</w:t>
      </w:r>
      <w:r w:rsidRPr="00812753">
        <w:rPr>
          <w:rFonts w:ascii="Verdana" w:hAnsi="Verdana"/>
          <w:sz w:val="20"/>
        </w:rPr>
        <w:t>hat definition is within the scope of other drafting teams that are currently working on revision</w:t>
      </w:r>
      <w:r>
        <w:rPr>
          <w:rFonts w:ascii="Verdana" w:hAnsi="Verdana"/>
          <w:sz w:val="20"/>
        </w:rPr>
        <w:t xml:space="preserve">s to this and related standards, and comments should be provided to those teams directly.  </w:t>
      </w:r>
    </w:p>
    <w:p w:rsidR="005A2CA7" w:rsidRDefault="005A2CA7" w:rsidP="005A2CA7">
      <w:pPr>
        <w:rPr>
          <w:rFonts w:ascii="Verdana" w:hAnsi="Verdana"/>
          <w:sz w:val="20"/>
        </w:rPr>
      </w:pPr>
    </w:p>
    <w:p w:rsidR="005A2CA7" w:rsidRDefault="005A2CA7" w:rsidP="005A2C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Regarding modifications made to the interpretation since its last posting, the SDT eliminated the statement </w:t>
      </w:r>
      <w:r w:rsidRPr="003A2959">
        <w:rPr>
          <w:rFonts w:ascii="Verdana" w:hAnsi="Verdana"/>
          <w:sz w:val="20"/>
        </w:rPr>
        <w:t>“routine operating instructions can be directives</w:t>
      </w:r>
      <w:r>
        <w:rPr>
          <w:rFonts w:ascii="Verdana" w:hAnsi="Verdana"/>
          <w:sz w:val="20"/>
        </w:rPr>
        <w:t>,</w:t>
      </w:r>
      <w:r w:rsidRPr="003A2959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 xml:space="preserve"> as commenters felt it added </w:t>
      </w:r>
      <w:r>
        <w:rPr>
          <w:rFonts w:ascii="Verdana" w:hAnsi="Verdana"/>
          <w:sz w:val="20"/>
        </w:rPr>
        <w:lastRenderedPageBreak/>
        <w:t>confusion.   Additionally, some commenters suggested a sentence regarding</w:t>
      </w:r>
      <w:r w:rsidRPr="00673F8D">
        <w:rPr>
          <w:rFonts w:ascii="Verdana" w:hAnsi="Verdana"/>
          <w:sz w:val="20"/>
        </w:rPr>
        <w:t xml:space="preserve"> electronic communications </w:t>
      </w:r>
      <w:r>
        <w:rPr>
          <w:rFonts w:ascii="Verdana" w:hAnsi="Verdana"/>
          <w:sz w:val="20"/>
        </w:rPr>
        <w:t xml:space="preserve">should </w:t>
      </w:r>
      <w:r w:rsidRPr="00673F8D">
        <w:rPr>
          <w:rFonts w:ascii="Verdana" w:hAnsi="Verdana"/>
          <w:sz w:val="20"/>
        </w:rPr>
        <w:t>be removed.  The SDT</w:t>
      </w:r>
      <w:r>
        <w:rPr>
          <w:rFonts w:ascii="Verdana" w:hAnsi="Verdana"/>
          <w:sz w:val="20"/>
        </w:rPr>
        <w:t xml:space="preserve"> agreed</w:t>
      </w:r>
      <w:r w:rsidRPr="0053370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that the sentence</w:t>
      </w:r>
      <w:r w:rsidRPr="00673F8D">
        <w:rPr>
          <w:rFonts w:ascii="Verdana" w:hAnsi="Verdana"/>
          <w:sz w:val="20"/>
        </w:rPr>
        <w:t xml:space="preserve"> went beyond the question</w:t>
      </w:r>
      <w:r>
        <w:rPr>
          <w:rFonts w:ascii="Verdana" w:hAnsi="Verdana"/>
          <w:sz w:val="20"/>
        </w:rPr>
        <w:t xml:space="preserve"> asked, and </w:t>
      </w:r>
      <w:r w:rsidRPr="00673F8D">
        <w:rPr>
          <w:rFonts w:ascii="Verdana" w:hAnsi="Verdana"/>
          <w:sz w:val="20"/>
        </w:rPr>
        <w:t>removed the sentence</w:t>
      </w:r>
      <w:r>
        <w:rPr>
          <w:rFonts w:ascii="Verdana" w:hAnsi="Verdana"/>
          <w:sz w:val="20"/>
        </w:rPr>
        <w:t>. With these changes, the SDT believe it has addressed the majority of the concerns raised with the original interpretation.</w:t>
      </w:r>
    </w:p>
    <w:p w:rsidR="005A2CA7" w:rsidRDefault="005A2CA7" w:rsidP="005A2CA7">
      <w:pPr>
        <w:rPr>
          <w:rFonts w:ascii="Verdana" w:hAnsi="Verdana"/>
          <w:sz w:val="20"/>
        </w:rPr>
      </w:pPr>
    </w:p>
    <w:p w:rsidR="005A2CA7" w:rsidRPr="006A592A" w:rsidRDefault="005A2CA7" w:rsidP="005A2C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use this form to record comments for the drafting team.</w:t>
      </w:r>
    </w:p>
    <w:p w:rsidR="005A2CA7" w:rsidRPr="006A592A" w:rsidRDefault="005A2CA7" w:rsidP="005A2CA7">
      <w:pPr>
        <w:rPr>
          <w:rFonts w:ascii="Verdana" w:hAnsi="Verdana"/>
          <w:sz w:val="20"/>
        </w:rPr>
      </w:pPr>
    </w:p>
    <w:p w:rsidR="005A2CA7" w:rsidRPr="00C4478A" w:rsidRDefault="005A2CA7" w:rsidP="005A2CA7">
      <w:pPr>
        <w:rPr>
          <w:rStyle w:val="BoxText"/>
          <w:rFonts w:ascii="Verdana" w:eastAsiaTheme="majorEastAsia" w:hAnsi="Verdana"/>
        </w:rPr>
      </w:pPr>
      <w:r w:rsidRPr="00C4478A">
        <w:rPr>
          <w:rFonts w:ascii="Verdana" w:hAnsi="Verdana"/>
          <w:b/>
        </w:rPr>
        <w:t xml:space="preserve">You do not have to answer all questions.  Enter All Comments in Simple Text Format.  </w:t>
      </w:r>
    </w:p>
    <w:p w:rsidR="005A2CA7" w:rsidRPr="0038592D" w:rsidRDefault="005A2CA7" w:rsidP="005A2CA7">
      <w:pPr>
        <w:pStyle w:val="FootnoteText"/>
        <w:spacing w:before="240" w:after="120"/>
        <w:rPr>
          <w:rFonts w:ascii="Verdana" w:hAnsi="Verdana"/>
          <w:i/>
        </w:rPr>
      </w:pPr>
      <w:r w:rsidRPr="00C4478A">
        <w:rPr>
          <w:rStyle w:val="BoxText"/>
          <w:rFonts w:ascii="Verdana" w:eastAsiaTheme="majorEastAsia" w:hAnsi="Verdana"/>
          <w:i/>
        </w:rPr>
        <w:t>Insert a “check</w:t>
      </w:r>
      <w:r>
        <w:rPr>
          <w:rStyle w:val="BoxText"/>
          <w:rFonts w:ascii="Verdana" w:eastAsiaTheme="majorEastAsia" w:hAnsi="Verdana"/>
          <w:i/>
        </w:rPr>
        <w:t>”</w:t>
      </w:r>
      <w:r w:rsidRPr="00C4478A">
        <w:rPr>
          <w:rStyle w:val="BoxText"/>
          <w:rFonts w:ascii="Verdana" w:eastAsiaTheme="majorEastAsia" w:hAnsi="Verdana"/>
          <w:i/>
        </w:rPr>
        <w:t xml:space="preserve"> mark in the appropriate boxes by double-clicking the gray areas.</w:t>
      </w:r>
    </w:p>
    <w:p w:rsidR="005A2CA7" w:rsidRPr="00765358" w:rsidRDefault="005A2CA7" w:rsidP="005A2CA7">
      <w:pPr>
        <w:pStyle w:val="ListBullet2"/>
        <w:numPr>
          <w:ilvl w:val="0"/>
          <w:numId w:val="0"/>
        </w:numPr>
        <w:spacing w:before="120" w:after="120"/>
      </w:pPr>
      <w:r w:rsidRPr="00765358">
        <w:t xml:space="preserve">Please review the request for an interpretation, the associated standard, and the draft interpretation and then answer the following questions. </w:t>
      </w:r>
    </w:p>
    <w:p w:rsidR="005A2CA7" w:rsidRPr="0038592D" w:rsidRDefault="005A2CA7" w:rsidP="005A2CA7">
      <w:pPr>
        <w:pStyle w:val="ListBullet2"/>
        <w:numPr>
          <w:ilvl w:val="0"/>
          <w:numId w:val="18"/>
        </w:numPr>
        <w:spacing w:after="120"/>
        <w:rPr>
          <w:rFonts w:ascii="Verdana" w:hAnsi="Verdana"/>
          <w:sz w:val="20"/>
        </w:rPr>
      </w:pPr>
      <w:r w:rsidRPr="0038592D">
        <w:rPr>
          <w:rFonts w:ascii="Verdana" w:hAnsi="Verdana"/>
          <w:sz w:val="20"/>
        </w:rPr>
        <w:t xml:space="preserve">The NERC Board of Trustees indicated that the interpretation process </w:t>
      </w:r>
      <w:r w:rsidRPr="0038592D">
        <w:rPr>
          <w:rFonts w:ascii="Verdana" w:hAnsi="Verdana"/>
          <w:b/>
          <w:sz w:val="20"/>
        </w:rPr>
        <w:t>should not</w:t>
      </w:r>
      <w:r w:rsidRPr="0038592D">
        <w:rPr>
          <w:rFonts w:ascii="Verdana" w:hAnsi="Verdana"/>
          <w:sz w:val="20"/>
        </w:rPr>
        <w:t xml:space="preserve"> be used to address requests for a decision on </w:t>
      </w:r>
      <w:r w:rsidRPr="0038592D">
        <w:rPr>
          <w:rFonts w:ascii="Verdana" w:hAnsi="Verdana"/>
          <w:b/>
          <w:sz w:val="20"/>
        </w:rPr>
        <w:t>“how”</w:t>
      </w:r>
      <w:r w:rsidRPr="0038592D">
        <w:rPr>
          <w:rFonts w:ascii="Verdana" w:hAnsi="Verdana"/>
          <w:sz w:val="20"/>
        </w:rPr>
        <w:t xml:space="preserve"> a reliability standard applies to a registered entity’s particular facts and circumstances.  Do you believe this request for an interpretation is asking for clarity on the meaning of a requirement or clarity on the application of a requirement?</w:t>
      </w:r>
    </w:p>
    <w:p w:rsidR="005A2CA7" w:rsidRPr="0038592D" w:rsidRDefault="00414D6D" w:rsidP="005A2CA7">
      <w:pPr>
        <w:pStyle w:val="ListBullet2"/>
        <w:numPr>
          <w:ilvl w:val="0"/>
          <w:numId w:val="0"/>
        </w:numPr>
        <w:spacing w:after="120"/>
        <w:ind w:left="360"/>
        <w:rPr>
          <w:rFonts w:ascii="Verdana" w:hAnsi="Verdana"/>
          <w:sz w:val="20"/>
        </w:rPr>
      </w:pPr>
      <w:r w:rsidRPr="0038592D">
        <w:rPr>
          <w:rStyle w:val="BoxText"/>
          <w:rFonts w:ascii="Verdana" w:eastAsiaTheme="majorEastAsi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2CA7" w:rsidRPr="0038592D">
        <w:rPr>
          <w:rStyle w:val="BoxText"/>
          <w:rFonts w:ascii="Verdana" w:eastAsiaTheme="majorEastAsia" w:hAnsi="Verdana"/>
        </w:rPr>
        <w:instrText xml:space="preserve"> FORMCHECKBOX </w:instrText>
      </w:r>
      <w:r w:rsidRPr="0038592D">
        <w:rPr>
          <w:rStyle w:val="BoxText"/>
          <w:rFonts w:ascii="Verdana" w:eastAsiaTheme="majorEastAsia" w:hAnsi="Verdana"/>
        </w:rPr>
      </w:r>
      <w:r w:rsidRPr="0038592D">
        <w:rPr>
          <w:rStyle w:val="BoxText"/>
          <w:rFonts w:ascii="Verdana" w:eastAsiaTheme="majorEastAsia" w:hAnsi="Verdana"/>
        </w:rPr>
        <w:fldChar w:fldCharType="end"/>
      </w:r>
      <w:r w:rsidR="005A2CA7" w:rsidRPr="0038592D">
        <w:rPr>
          <w:rStyle w:val="BoxText"/>
          <w:rFonts w:ascii="Verdana" w:eastAsiaTheme="majorEastAsia" w:hAnsi="Verdana"/>
        </w:rPr>
        <w:t xml:space="preserve"> The request is asking for clarity on the </w:t>
      </w:r>
      <w:r w:rsidR="005A2CA7" w:rsidRPr="00FA7C30">
        <w:rPr>
          <w:rStyle w:val="BoxText"/>
          <w:rFonts w:ascii="Verdana" w:eastAsiaTheme="majorEastAsia" w:hAnsi="Verdana"/>
          <w:b/>
        </w:rPr>
        <w:t>m</w:t>
      </w:r>
      <w:r w:rsidR="005A2CA7" w:rsidRPr="0038592D">
        <w:rPr>
          <w:rFonts w:ascii="Verdana" w:hAnsi="Verdana"/>
          <w:b/>
          <w:sz w:val="20"/>
        </w:rPr>
        <w:t>eaning</w:t>
      </w:r>
      <w:r w:rsidR="005A2CA7" w:rsidRPr="0038592D">
        <w:rPr>
          <w:rFonts w:ascii="Verdana" w:hAnsi="Verdana"/>
          <w:sz w:val="20"/>
        </w:rPr>
        <w:t xml:space="preserve"> of a requirement.</w:t>
      </w:r>
    </w:p>
    <w:p w:rsidR="005A2CA7" w:rsidRPr="0038592D" w:rsidRDefault="00414D6D" w:rsidP="005A2CA7">
      <w:pPr>
        <w:pStyle w:val="ListBullet2"/>
        <w:numPr>
          <w:ilvl w:val="0"/>
          <w:numId w:val="0"/>
        </w:numPr>
        <w:spacing w:after="120"/>
        <w:ind w:left="360"/>
        <w:rPr>
          <w:rFonts w:ascii="Verdana" w:hAnsi="Verdana"/>
          <w:sz w:val="20"/>
        </w:rPr>
      </w:pPr>
      <w:r w:rsidRPr="0038592D">
        <w:rPr>
          <w:rStyle w:val="BoxText"/>
          <w:rFonts w:ascii="Verdana" w:eastAsiaTheme="majorEastAsi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2CA7" w:rsidRPr="0038592D">
        <w:rPr>
          <w:rStyle w:val="BoxText"/>
          <w:rFonts w:ascii="Verdana" w:eastAsiaTheme="majorEastAsia" w:hAnsi="Verdana"/>
        </w:rPr>
        <w:instrText xml:space="preserve"> FORMCHECKBOX </w:instrText>
      </w:r>
      <w:r w:rsidRPr="0038592D">
        <w:rPr>
          <w:rStyle w:val="BoxText"/>
          <w:rFonts w:ascii="Verdana" w:eastAsiaTheme="majorEastAsia" w:hAnsi="Verdana"/>
        </w:rPr>
      </w:r>
      <w:r w:rsidRPr="0038592D">
        <w:rPr>
          <w:rStyle w:val="BoxText"/>
          <w:rFonts w:ascii="Verdana" w:eastAsiaTheme="majorEastAsia" w:hAnsi="Verdana"/>
        </w:rPr>
        <w:fldChar w:fldCharType="end"/>
      </w:r>
      <w:r w:rsidR="005A2CA7" w:rsidRPr="0038592D">
        <w:rPr>
          <w:rStyle w:val="BoxText"/>
          <w:rFonts w:ascii="Verdana" w:eastAsiaTheme="majorEastAsia" w:hAnsi="Verdana"/>
        </w:rPr>
        <w:t xml:space="preserve"> </w:t>
      </w:r>
      <w:r w:rsidR="005A2CA7" w:rsidRPr="0038592D">
        <w:rPr>
          <w:rFonts w:ascii="Verdana" w:hAnsi="Verdana"/>
          <w:sz w:val="20"/>
        </w:rPr>
        <w:t xml:space="preserve">The request is asking for clarity on the </w:t>
      </w:r>
      <w:r w:rsidR="005A2CA7" w:rsidRPr="0038592D">
        <w:rPr>
          <w:rFonts w:ascii="Verdana" w:hAnsi="Verdana"/>
          <w:b/>
          <w:sz w:val="20"/>
        </w:rPr>
        <w:t>application</w:t>
      </w:r>
      <w:r w:rsidR="005A2CA7" w:rsidRPr="0038592D">
        <w:rPr>
          <w:rFonts w:ascii="Verdana" w:hAnsi="Verdana"/>
          <w:sz w:val="20"/>
        </w:rPr>
        <w:t xml:space="preserve"> of a requirement.</w:t>
      </w:r>
    </w:p>
    <w:p w:rsidR="005A2CA7" w:rsidRPr="0038592D" w:rsidRDefault="005A2CA7" w:rsidP="005A2CA7">
      <w:pPr>
        <w:ind w:left="360"/>
        <w:rPr>
          <w:rStyle w:val="BoxText"/>
          <w:rFonts w:ascii="Verdana" w:eastAsiaTheme="majorEastAsia" w:hAnsi="Verdana"/>
        </w:rPr>
      </w:pPr>
      <w:r w:rsidRPr="0038592D">
        <w:rPr>
          <w:rStyle w:val="BoxText"/>
          <w:rFonts w:ascii="Verdana" w:eastAsiaTheme="majorEastAsia" w:hAnsi="Verdana"/>
        </w:rPr>
        <w:t xml:space="preserve">Comments: </w:t>
      </w:r>
      <w:r w:rsidR="00414D6D" w:rsidRPr="0038592D">
        <w:rPr>
          <w:rStyle w:val="BoxText"/>
          <w:rFonts w:ascii="Verdana" w:eastAsiaTheme="majorEastAsi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592D">
        <w:rPr>
          <w:rStyle w:val="BoxText"/>
          <w:rFonts w:ascii="Verdana" w:eastAsiaTheme="majorEastAsia" w:hAnsi="Verdana"/>
        </w:rPr>
        <w:instrText xml:space="preserve"> FORMTEXT </w:instrText>
      </w:r>
      <w:r w:rsidR="00414D6D" w:rsidRPr="0038592D">
        <w:rPr>
          <w:rStyle w:val="BoxText"/>
          <w:rFonts w:ascii="Verdana" w:eastAsiaTheme="majorEastAsia" w:hAnsi="Verdana"/>
        </w:rPr>
      </w:r>
      <w:r w:rsidR="00414D6D" w:rsidRPr="0038592D">
        <w:rPr>
          <w:rStyle w:val="BoxText"/>
          <w:rFonts w:ascii="Verdana" w:eastAsiaTheme="majorEastAsia" w:hAnsi="Verdana"/>
        </w:rPr>
        <w:fldChar w:fldCharType="separate"/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="00414D6D" w:rsidRPr="0038592D">
        <w:rPr>
          <w:rStyle w:val="BoxText"/>
          <w:rFonts w:ascii="Verdana" w:eastAsiaTheme="majorEastAsia" w:hAnsi="Verdana"/>
        </w:rPr>
        <w:fldChar w:fldCharType="end"/>
      </w:r>
    </w:p>
    <w:p w:rsidR="005A2CA7" w:rsidRPr="0038592D" w:rsidRDefault="005A2CA7" w:rsidP="005A2CA7">
      <w:pPr>
        <w:pStyle w:val="ListBullet2"/>
        <w:numPr>
          <w:ilvl w:val="0"/>
          <w:numId w:val="0"/>
        </w:numPr>
        <w:spacing w:after="120"/>
        <w:ind w:left="720"/>
        <w:rPr>
          <w:rFonts w:ascii="Verdana" w:hAnsi="Verdana"/>
          <w:sz w:val="20"/>
        </w:rPr>
      </w:pPr>
    </w:p>
    <w:p w:rsidR="005A2CA7" w:rsidRPr="0038592D" w:rsidRDefault="005A2CA7" w:rsidP="005A2CA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8592D">
        <w:rPr>
          <w:rFonts w:ascii="Verdana" w:hAnsi="Verdana"/>
          <w:sz w:val="20"/>
          <w:szCs w:val="20"/>
        </w:rPr>
        <w:t>The NERC Board of Trustees indicated that in deciding whether or not to approve a proposed interpretation, it will use a standard of strict construction and not seek to expand the reach of the standard to correct a perceived gap or deficiency in the standard.  Do you believe this interpretation expands the reach of the standard?</w:t>
      </w:r>
    </w:p>
    <w:p w:rsidR="005A2CA7" w:rsidRPr="0038592D" w:rsidRDefault="00414D6D" w:rsidP="005A2CA7">
      <w:pPr>
        <w:pStyle w:val="ListBullet2"/>
        <w:numPr>
          <w:ilvl w:val="0"/>
          <w:numId w:val="0"/>
        </w:numPr>
        <w:spacing w:after="120"/>
        <w:ind w:left="360"/>
        <w:rPr>
          <w:rStyle w:val="BoxText"/>
          <w:rFonts w:ascii="Verdana" w:eastAsiaTheme="majorEastAsia" w:hAnsi="Verdana"/>
        </w:rPr>
      </w:pPr>
      <w:r w:rsidRPr="0038592D">
        <w:rPr>
          <w:rStyle w:val="BoxText"/>
          <w:rFonts w:ascii="Verdana" w:eastAsiaTheme="majorEastAsi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2CA7" w:rsidRPr="0038592D">
        <w:rPr>
          <w:rStyle w:val="BoxText"/>
          <w:rFonts w:ascii="Verdana" w:eastAsiaTheme="majorEastAsia" w:hAnsi="Verdana"/>
        </w:rPr>
        <w:instrText xml:space="preserve"> FORMCHECKBOX </w:instrText>
      </w:r>
      <w:r w:rsidRPr="0038592D">
        <w:rPr>
          <w:rStyle w:val="BoxText"/>
          <w:rFonts w:ascii="Verdana" w:eastAsiaTheme="majorEastAsia" w:hAnsi="Verdana"/>
        </w:rPr>
      </w:r>
      <w:r w:rsidRPr="0038592D">
        <w:rPr>
          <w:rStyle w:val="BoxText"/>
          <w:rFonts w:ascii="Verdana" w:eastAsiaTheme="majorEastAsia" w:hAnsi="Verdana"/>
        </w:rPr>
        <w:fldChar w:fldCharType="end"/>
      </w:r>
      <w:r w:rsidR="005A2CA7" w:rsidRPr="0038592D">
        <w:rPr>
          <w:rStyle w:val="BoxText"/>
          <w:rFonts w:ascii="Verdana" w:eastAsiaTheme="majorEastAsia" w:hAnsi="Verdana"/>
        </w:rPr>
        <w:t xml:space="preserve"> The interpretation expands the reach of the standard.</w:t>
      </w:r>
    </w:p>
    <w:p w:rsidR="005A2CA7" w:rsidRPr="0038592D" w:rsidRDefault="00414D6D" w:rsidP="005A2CA7">
      <w:pPr>
        <w:pStyle w:val="ListBullet2"/>
        <w:numPr>
          <w:ilvl w:val="0"/>
          <w:numId w:val="0"/>
        </w:numPr>
        <w:spacing w:after="120"/>
        <w:ind w:left="360"/>
        <w:rPr>
          <w:rStyle w:val="BoxText"/>
          <w:rFonts w:ascii="Verdana" w:eastAsiaTheme="majorEastAsia" w:hAnsi="Verdana"/>
        </w:rPr>
      </w:pPr>
      <w:r w:rsidRPr="0038592D">
        <w:rPr>
          <w:rStyle w:val="BoxText"/>
          <w:rFonts w:ascii="Verdana" w:eastAsiaTheme="majorEastAsi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2CA7" w:rsidRPr="0038592D">
        <w:rPr>
          <w:rStyle w:val="BoxText"/>
          <w:rFonts w:ascii="Verdana" w:eastAsiaTheme="majorEastAsia" w:hAnsi="Verdana"/>
        </w:rPr>
        <w:instrText xml:space="preserve"> FORMCHECKBOX </w:instrText>
      </w:r>
      <w:r w:rsidRPr="0038592D">
        <w:rPr>
          <w:rStyle w:val="BoxText"/>
          <w:rFonts w:ascii="Verdana" w:eastAsiaTheme="majorEastAsia" w:hAnsi="Verdana"/>
        </w:rPr>
      </w:r>
      <w:r w:rsidRPr="0038592D">
        <w:rPr>
          <w:rStyle w:val="BoxText"/>
          <w:rFonts w:ascii="Verdana" w:eastAsiaTheme="majorEastAsia" w:hAnsi="Verdana"/>
        </w:rPr>
        <w:fldChar w:fldCharType="end"/>
      </w:r>
      <w:r w:rsidR="005A2CA7" w:rsidRPr="0038592D">
        <w:rPr>
          <w:rStyle w:val="BoxText"/>
          <w:rFonts w:ascii="Verdana" w:eastAsiaTheme="majorEastAsia" w:hAnsi="Verdana"/>
        </w:rPr>
        <w:t xml:space="preserve"> The interpretation does not expand the reach of the standard.</w:t>
      </w:r>
    </w:p>
    <w:p w:rsidR="005A2CA7" w:rsidRPr="0038592D" w:rsidRDefault="005A2CA7" w:rsidP="005A2CA7">
      <w:pPr>
        <w:pStyle w:val="ListBullet2"/>
        <w:numPr>
          <w:ilvl w:val="0"/>
          <w:numId w:val="0"/>
        </w:numPr>
        <w:tabs>
          <w:tab w:val="center" w:pos="4860"/>
        </w:tabs>
        <w:spacing w:after="120"/>
        <w:ind w:left="360"/>
        <w:rPr>
          <w:rStyle w:val="BoxText"/>
          <w:rFonts w:ascii="Verdana" w:eastAsiaTheme="majorEastAsia" w:hAnsi="Verdana"/>
        </w:rPr>
      </w:pPr>
      <w:r w:rsidRPr="0038592D">
        <w:rPr>
          <w:rStyle w:val="BoxText"/>
          <w:rFonts w:ascii="Verdana" w:eastAsiaTheme="majorEastAsia" w:hAnsi="Verdana"/>
        </w:rPr>
        <w:t xml:space="preserve">Comments: </w:t>
      </w:r>
      <w:r w:rsidR="00414D6D" w:rsidRPr="0038592D">
        <w:rPr>
          <w:rStyle w:val="BoxText"/>
          <w:rFonts w:ascii="Verdana" w:eastAsiaTheme="majorEastAsi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592D">
        <w:rPr>
          <w:rStyle w:val="BoxText"/>
          <w:rFonts w:ascii="Verdana" w:eastAsiaTheme="majorEastAsia" w:hAnsi="Verdana"/>
        </w:rPr>
        <w:instrText xml:space="preserve"> FORMTEXT </w:instrText>
      </w:r>
      <w:r w:rsidR="00414D6D" w:rsidRPr="0038592D">
        <w:rPr>
          <w:rStyle w:val="BoxText"/>
          <w:rFonts w:ascii="Verdana" w:eastAsiaTheme="majorEastAsia" w:hAnsi="Verdana"/>
        </w:rPr>
      </w:r>
      <w:r w:rsidR="00414D6D" w:rsidRPr="0038592D">
        <w:rPr>
          <w:rStyle w:val="BoxText"/>
          <w:rFonts w:ascii="Verdana" w:eastAsiaTheme="majorEastAsia" w:hAnsi="Verdana"/>
        </w:rPr>
        <w:fldChar w:fldCharType="separate"/>
      </w:r>
      <w:r w:rsidRPr="0038592D">
        <w:rPr>
          <w:rStyle w:val="BoxText"/>
          <w:rFonts w:eastAsiaTheme="majorEastAsia"/>
        </w:rPr>
        <w:t> </w:t>
      </w:r>
      <w:r w:rsidRPr="0038592D">
        <w:rPr>
          <w:rStyle w:val="BoxText"/>
          <w:rFonts w:eastAsiaTheme="majorEastAsia"/>
        </w:rPr>
        <w:t> </w:t>
      </w:r>
      <w:r w:rsidRPr="0038592D">
        <w:rPr>
          <w:rStyle w:val="BoxText"/>
          <w:rFonts w:eastAsiaTheme="majorEastAsia"/>
        </w:rPr>
        <w:t> </w:t>
      </w:r>
      <w:r w:rsidRPr="0038592D">
        <w:rPr>
          <w:rStyle w:val="BoxText"/>
          <w:rFonts w:eastAsiaTheme="majorEastAsia"/>
        </w:rPr>
        <w:t> </w:t>
      </w:r>
      <w:r w:rsidRPr="0038592D">
        <w:rPr>
          <w:rStyle w:val="BoxText"/>
          <w:rFonts w:eastAsiaTheme="majorEastAsia"/>
        </w:rPr>
        <w:t> </w:t>
      </w:r>
      <w:r w:rsidR="00414D6D" w:rsidRPr="0038592D">
        <w:rPr>
          <w:rStyle w:val="BoxText"/>
          <w:rFonts w:ascii="Verdana" w:eastAsiaTheme="majorEastAsia" w:hAnsi="Verdana"/>
        </w:rPr>
        <w:fldChar w:fldCharType="end"/>
      </w:r>
      <w:r w:rsidRPr="0038592D">
        <w:rPr>
          <w:rStyle w:val="BoxText"/>
          <w:rFonts w:ascii="Verdana" w:eastAsiaTheme="majorEastAsia" w:hAnsi="Verdana"/>
        </w:rPr>
        <w:tab/>
      </w:r>
    </w:p>
    <w:p w:rsidR="005A2CA7" w:rsidRPr="0038592D" w:rsidRDefault="005A2CA7" w:rsidP="005A2CA7">
      <w:pPr>
        <w:pStyle w:val="ListBullet2"/>
        <w:numPr>
          <w:ilvl w:val="0"/>
          <w:numId w:val="18"/>
        </w:numPr>
        <w:spacing w:before="240" w:after="120"/>
        <w:rPr>
          <w:rFonts w:ascii="Verdana" w:hAnsi="Verdana"/>
          <w:sz w:val="20"/>
        </w:rPr>
      </w:pPr>
      <w:r w:rsidRPr="0038592D">
        <w:rPr>
          <w:rFonts w:ascii="Verdana" w:hAnsi="Verdana"/>
          <w:sz w:val="20"/>
        </w:rPr>
        <w:t xml:space="preserve">Do you agree with this interpretation? If not, why not. </w:t>
      </w:r>
    </w:p>
    <w:p w:rsidR="005A2CA7" w:rsidRPr="0038592D" w:rsidRDefault="00414D6D" w:rsidP="005A2CA7">
      <w:pPr>
        <w:pStyle w:val="ListBullet2"/>
        <w:numPr>
          <w:ilvl w:val="0"/>
          <w:numId w:val="0"/>
        </w:numPr>
        <w:spacing w:after="120"/>
        <w:ind w:left="720" w:hanging="360"/>
        <w:rPr>
          <w:rStyle w:val="BoxText"/>
          <w:rFonts w:ascii="Verdana" w:eastAsiaTheme="majorEastAsia" w:hAnsi="Verdana"/>
        </w:rPr>
      </w:pPr>
      <w:r w:rsidRPr="0038592D">
        <w:rPr>
          <w:rStyle w:val="BoxText"/>
          <w:rFonts w:ascii="Verdana" w:eastAsiaTheme="majorEastAsi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2CA7" w:rsidRPr="0038592D">
        <w:rPr>
          <w:rStyle w:val="BoxText"/>
          <w:rFonts w:ascii="Verdana" w:eastAsiaTheme="majorEastAsia" w:hAnsi="Verdana"/>
        </w:rPr>
        <w:instrText xml:space="preserve"> FORMCHECKBOX </w:instrText>
      </w:r>
      <w:r w:rsidRPr="0038592D">
        <w:rPr>
          <w:rStyle w:val="BoxText"/>
          <w:rFonts w:ascii="Verdana" w:eastAsiaTheme="majorEastAsia" w:hAnsi="Verdana"/>
        </w:rPr>
      </w:r>
      <w:r w:rsidRPr="0038592D">
        <w:rPr>
          <w:rStyle w:val="BoxText"/>
          <w:rFonts w:ascii="Verdana" w:eastAsiaTheme="majorEastAsia" w:hAnsi="Verdana"/>
        </w:rPr>
        <w:fldChar w:fldCharType="end"/>
      </w:r>
      <w:r w:rsidR="005A2CA7" w:rsidRPr="0038592D">
        <w:rPr>
          <w:rStyle w:val="BoxText"/>
          <w:rFonts w:ascii="Verdana" w:eastAsiaTheme="majorEastAsia" w:hAnsi="Verdana"/>
        </w:rPr>
        <w:t xml:space="preserve"> Yes</w:t>
      </w:r>
    </w:p>
    <w:p w:rsidR="005A2CA7" w:rsidRPr="0038592D" w:rsidRDefault="00414D6D" w:rsidP="005A2CA7">
      <w:pPr>
        <w:pStyle w:val="ListBullet2"/>
        <w:numPr>
          <w:ilvl w:val="0"/>
          <w:numId w:val="0"/>
        </w:numPr>
        <w:spacing w:after="120"/>
        <w:ind w:left="720" w:hanging="360"/>
        <w:rPr>
          <w:rFonts w:ascii="Verdana" w:hAnsi="Verdana"/>
          <w:sz w:val="20"/>
        </w:rPr>
      </w:pPr>
      <w:r w:rsidRPr="0038592D">
        <w:rPr>
          <w:rStyle w:val="BoxText"/>
          <w:rFonts w:ascii="Verdana" w:eastAsiaTheme="majorEastAsi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2CA7" w:rsidRPr="0038592D">
        <w:rPr>
          <w:rStyle w:val="BoxText"/>
          <w:rFonts w:ascii="Verdana" w:eastAsiaTheme="majorEastAsia" w:hAnsi="Verdana"/>
        </w:rPr>
        <w:instrText xml:space="preserve"> FORMCHECKBOX </w:instrText>
      </w:r>
      <w:r w:rsidRPr="0038592D">
        <w:rPr>
          <w:rStyle w:val="BoxText"/>
          <w:rFonts w:ascii="Verdana" w:eastAsiaTheme="majorEastAsia" w:hAnsi="Verdana"/>
        </w:rPr>
      </w:r>
      <w:r w:rsidRPr="0038592D">
        <w:rPr>
          <w:rStyle w:val="BoxText"/>
          <w:rFonts w:ascii="Verdana" w:eastAsiaTheme="majorEastAsia" w:hAnsi="Verdana"/>
        </w:rPr>
        <w:fldChar w:fldCharType="end"/>
      </w:r>
      <w:r w:rsidR="005A2CA7" w:rsidRPr="0038592D">
        <w:rPr>
          <w:rStyle w:val="BoxText"/>
          <w:rFonts w:ascii="Verdana" w:eastAsiaTheme="majorEastAsia" w:hAnsi="Verdana"/>
        </w:rPr>
        <w:t xml:space="preserve"> No</w:t>
      </w:r>
    </w:p>
    <w:p w:rsidR="005A2CA7" w:rsidRPr="0038592D" w:rsidRDefault="005A2CA7" w:rsidP="005A2CA7">
      <w:pPr>
        <w:ind w:left="360"/>
        <w:rPr>
          <w:rStyle w:val="BoxText"/>
          <w:rFonts w:ascii="Verdana" w:eastAsiaTheme="majorEastAsia" w:hAnsi="Verdana"/>
        </w:rPr>
      </w:pPr>
      <w:r w:rsidRPr="0038592D">
        <w:rPr>
          <w:rStyle w:val="BoxText"/>
          <w:rFonts w:ascii="Verdana" w:eastAsiaTheme="majorEastAsia" w:hAnsi="Verdana"/>
        </w:rPr>
        <w:t xml:space="preserve">Comments: </w:t>
      </w:r>
      <w:r w:rsidR="00414D6D" w:rsidRPr="0038592D">
        <w:rPr>
          <w:rStyle w:val="BoxText"/>
          <w:rFonts w:ascii="Verdana" w:eastAsiaTheme="majorEastAsi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38592D">
        <w:rPr>
          <w:rStyle w:val="BoxText"/>
          <w:rFonts w:ascii="Verdana" w:eastAsiaTheme="majorEastAsia" w:hAnsi="Verdana"/>
        </w:rPr>
        <w:instrText xml:space="preserve"> FORMTEXT </w:instrText>
      </w:r>
      <w:r w:rsidR="00414D6D" w:rsidRPr="0038592D">
        <w:rPr>
          <w:rStyle w:val="BoxText"/>
          <w:rFonts w:ascii="Verdana" w:eastAsiaTheme="majorEastAsia" w:hAnsi="Verdana"/>
        </w:rPr>
      </w:r>
      <w:r w:rsidR="00414D6D" w:rsidRPr="0038592D">
        <w:rPr>
          <w:rStyle w:val="BoxText"/>
          <w:rFonts w:ascii="Verdana" w:eastAsiaTheme="majorEastAsia" w:hAnsi="Verdana"/>
        </w:rPr>
        <w:fldChar w:fldCharType="separate"/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="00414D6D" w:rsidRPr="0038592D">
        <w:rPr>
          <w:rStyle w:val="BoxText"/>
          <w:rFonts w:ascii="Verdana" w:eastAsiaTheme="majorEastAsia" w:hAnsi="Verdana"/>
        </w:rPr>
        <w:fldChar w:fldCharType="end"/>
      </w:r>
      <w:bookmarkEnd w:id="1"/>
    </w:p>
    <w:p w:rsidR="005A2CA7" w:rsidRPr="00E376D0" w:rsidRDefault="005A2CA7" w:rsidP="005A2CA7">
      <w:pPr>
        <w:rPr>
          <w:rFonts w:ascii="Verdana" w:hAnsi="Verdana"/>
          <w:sz w:val="20"/>
          <w:lang w:val="fr-FR"/>
        </w:rPr>
      </w:pPr>
    </w:p>
    <w:p w:rsidR="005A2CA7" w:rsidRPr="00E376D0" w:rsidRDefault="005A2CA7" w:rsidP="005A2CA7">
      <w:pPr>
        <w:spacing w:before="240"/>
        <w:ind w:left="360" w:hanging="360"/>
        <w:rPr>
          <w:rStyle w:val="BoxText"/>
          <w:rFonts w:ascii="Verdana" w:eastAsiaTheme="majorEastAsia" w:hAnsi="Verdana"/>
          <w:lang w:val="fr-FR"/>
        </w:rPr>
      </w:pPr>
      <w:r>
        <w:rPr>
          <w:rStyle w:val="BoxText"/>
          <w:rFonts w:ascii="Verdana" w:eastAsiaTheme="majorEastAsia" w:hAnsi="Verdana"/>
          <w:lang w:val="fr-FR"/>
        </w:rPr>
        <w:t xml:space="preserve">4.  </w:t>
      </w:r>
      <w:r w:rsidR="00EB7D43">
        <w:rPr>
          <w:rStyle w:val="BoxText"/>
          <w:rFonts w:ascii="Verdana" w:eastAsiaTheme="majorEastAsia" w:hAnsi="Verdana"/>
          <w:lang w:val="fr-FR"/>
        </w:rPr>
        <w:t xml:space="preserve"> </w:t>
      </w:r>
      <w:r>
        <w:rPr>
          <w:rStyle w:val="BoxText"/>
          <w:rFonts w:ascii="Verdana" w:eastAsiaTheme="majorEastAsia" w:hAnsi="Verdana"/>
          <w:lang w:val="fr-FR"/>
        </w:rPr>
        <w:t xml:space="preserve">If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you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have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any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other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comments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that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you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have not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already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provided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in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response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to the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prior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questions,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please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provide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them</w:t>
      </w:r>
      <w:proofErr w:type="spellEnd"/>
      <w:r>
        <w:rPr>
          <w:rStyle w:val="BoxText"/>
          <w:rFonts w:ascii="Verdana" w:eastAsiaTheme="majorEastAsia" w:hAnsi="Verdana"/>
          <w:lang w:val="fr-FR"/>
        </w:rPr>
        <w:t xml:space="preserve"> </w:t>
      </w:r>
      <w:proofErr w:type="spellStart"/>
      <w:r>
        <w:rPr>
          <w:rStyle w:val="BoxText"/>
          <w:rFonts w:ascii="Verdana" w:eastAsiaTheme="majorEastAsia" w:hAnsi="Verdana"/>
          <w:lang w:val="fr-FR"/>
        </w:rPr>
        <w:t>here</w:t>
      </w:r>
      <w:proofErr w:type="spellEnd"/>
      <w:r>
        <w:rPr>
          <w:rStyle w:val="BoxText"/>
          <w:rFonts w:ascii="Verdana" w:eastAsiaTheme="majorEastAsia" w:hAnsi="Verdana"/>
          <w:lang w:val="fr-FR"/>
        </w:rPr>
        <w:t>.</w:t>
      </w:r>
    </w:p>
    <w:p w:rsidR="005A2CA7" w:rsidRDefault="005A2CA7" w:rsidP="005A2CA7">
      <w:pPr>
        <w:spacing w:before="60"/>
        <w:ind w:left="360"/>
        <w:rPr>
          <w:rFonts w:ascii="Verdana" w:hAnsi="Verdana"/>
          <w:b/>
        </w:rPr>
      </w:pPr>
      <w:r w:rsidRPr="0038592D">
        <w:rPr>
          <w:rStyle w:val="BoxText"/>
          <w:rFonts w:ascii="Verdana" w:eastAsiaTheme="majorEastAsia" w:hAnsi="Verdana"/>
        </w:rPr>
        <w:t xml:space="preserve">Comments: </w:t>
      </w:r>
      <w:r w:rsidR="00414D6D" w:rsidRPr="0038592D">
        <w:rPr>
          <w:rStyle w:val="BoxText"/>
          <w:rFonts w:ascii="Verdana" w:eastAsiaTheme="majorEastAsi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592D">
        <w:rPr>
          <w:rStyle w:val="BoxText"/>
          <w:rFonts w:ascii="Verdana" w:eastAsiaTheme="majorEastAsia" w:hAnsi="Verdana"/>
        </w:rPr>
        <w:instrText xml:space="preserve"> FORMTEXT </w:instrText>
      </w:r>
      <w:r w:rsidR="00414D6D" w:rsidRPr="0038592D">
        <w:rPr>
          <w:rStyle w:val="BoxText"/>
          <w:rFonts w:ascii="Verdana" w:eastAsiaTheme="majorEastAsia" w:hAnsi="Verdana"/>
        </w:rPr>
      </w:r>
      <w:r w:rsidR="00414D6D" w:rsidRPr="0038592D">
        <w:rPr>
          <w:rStyle w:val="BoxText"/>
          <w:rFonts w:ascii="Verdana" w:eastAsiaTheme="majorEastAsia" w:hAnsi="Verdana"/>
        </w:rPr>
        <w:fldChar w:fldCharType="separate"/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Pr="0038592D">
        <w:rPr>
          <w:rStyle w:val="BoxText"/>
          <w:rFonts w:ascii="Verdana" w:eastAsiaTheme="majorEastAsia" w:hAnsi="Verdana"/>
          <w:noProof/>
        </w:rPr>
        <w:t> </w:t>
      </w:r>
      <w:r w:rsidR="00414D6D" w:rsidRPr="0038592D">
        <w:rPr>
          <w:rStyle w:val="BoxText"/>
          <w:rFonts w:ascii="Verdana" w:eastAsiaTheme="majorEastAsia" w:hAnsi="Verdana"/>
        </w:rPr>
        <w:fldChar w:fldCharType="end"/>
      </w:r>
    </w:p>
    <w:p w:rsidR="005A2CA7" w:rsidRPr="00E346F2" w:rsidRDefault="005A2CA7" w:rsidP="005A2CA7">
      <w:pPr>
        <w:rPr>
          <w:rStyle w:val="BoxText"/>
          <w:rFonts w:ascii="Times New Roman" w:eastAsiaTheme="majorEastAsia" w:hAnsi="Times New Roman"/>
          <w:sz w:val="22"/>
        </w:rPr>
      </w:pPr>
    </w:p>
    <w:bookmarkEnd w:id="0"/>
    <w:p w:rsidR="0039275D" w:rsidRPr="00687867" w:rsidRDefault="0039275D" w:rsidP="0039275D">
      <w:pPr>
        <w:pStyle w:val="Heading"/>
        <w:spacing w:before="0" w:after="0"/>
        <w:ind w:left="-90"/>
        <w:rPr>
          <w:sz w:val="24"/>
          <w:szCs w:val="24"/>
        </w:rPr>
      </w:pPr>
    </w:p>
    <w:sectPr w:rsidR="0039275D" w:rsidRPr="00687867" w:rsidSect="005A2CA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89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30" w:rsidRDefault="00FA7C30">
      <w:r>
        <w:separator/>
      </w:r>
    </w:p>
  </w:endnote>
  <w:endnote w:type="continuationSeparator" w:id="0">
    <w:p w:rsidR="00FA7C30" w:rsidRDefault="00FA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0" w:rsidRDefault="00FA7C30" w:rsidP="00D228D6">
    <w:pPr>
      <w:rPr>
        <w:rFonts w:asciiTheme="minorHAnsi" w:hAnsiTheme="minorHAnsi"/>
        <w:b/>
        <w:color w:val="1B4C80"/>
        <w:sz w:val="18"/>
        <w:szCs w:val="18"/>
      </w:rPr>
    </w:pPr>
  </w:p>
  <w:p w:rsidR="00FA7C30" w:rsidRPr="005A2CA7" w:rsidRDefault="00414D6D" w:rsidP="00D228D6">
    <w:pPr>
      <w:rPr>
        <w:rFonts w:ascii="Tahoma" w:hAnsi="Tahoma" w:cs="Tahoma"/>
        <w:b/>
        <w:color w:val="1B4C80"/>
        <w:sz w:val="18"/>
        <w:szCs w:val="18"/>
      </w:rPr>
    </w:pPr>
    <w:r w:rsidRPr="00414D6D">
      <w:rPr>
        <w:rFonts w:ascii="Tahoma" w:hAnsi="Tahoma" w:cs="Tahom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margin-left:485.9pt;margin-top:-3.9pt;width:27pt;height:22.2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bKrUCAAC4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" filled="f" stroked="f">
          <v:textbox style="mso-next-textbox:#Text Box 2">
            <w:txbxContent>
              <w:p w:rsidR="00FA7C30" w:rsidRPr="007254EA" w:rsidRDefault="00414D6D" w:rsidP="00510652">
                <w:pPr>
                  <w:jc w:val="right"/>
                  <w:rPr>
                    <w:rFonts w:ascii="Tahoma" w:hAnsi="Tahoma" w:cs="Tahoma"/>
                    <w:color w:val="1B4C80"/>
                    <w:sz w:val="18"/>
                    <w:szCs w:val="18"/>
                  </w:rPr>
                </w:pP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FA7C30"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862121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1</w: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FA7C30" w:rsidRPr="005A2CA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8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2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C30" w:rsidRPr="005A2CA7">
      <w:rPr>
        <w:rFonts w:ascii="Tahoma" w:hAnsi="Tahoma" w:cs="Tahoma"/>
        <w:b/>
        <w:color w:val="1B4C80"/>
        <w:sz w:val="18"/>
        <w:szCs w:val="18"/>
      </w:rPr>
      <w:t>Unofficial Comment Form</w:t>
    </w:r>
  </w:p>
  <w:p w:rsidR="00FA7C30" w:rsidRPr="005A2CA7" w:rsidRDefault="00FA7C30" w:rsidP="005A2CA7">
    <w:pPr>
      <w:pStyle w:val="DocumentSubtitle"/>
      <w:spacing w:after="0"/>
      <w:ind w:left="-90" w:firstLine="90"/>
      <w:rPr>
        <w:rFonts w:cs="Tahoma"/>
        <w:sz w:val="18"/>
        <w:szCs w:val="18"/>
      </w:rPr>
    </w:pPr>
    <w:r w:rsidRPr="005A2CA7">
      <w:rPr>
        <w:rFonts w:cs="Tahoma"/>
        <w:sz w:val="18"/>
        <w:szCs w:val="18"/>
      </w:rPr>
      <w:t>Interpretation of COM-002-2 – Communications and Coordination R2 for the</w:t>
    </w:r>
  </w:p>
  <w:p w:rsidR="00FA7C30" w:rsidRPr="005A2CA7" w:rsidRDefault="00FA7C30" w:rsidP="005A2CA7">
    <w:pPr>
      <w:pStyle w:val="DocumentSubtitle"/>
      <w:spacing w:after="0"/>
      <w:ind w:left="-90" w:firstLine="90"/>
      <w:rPr>
        <w:rFonts w:cs="Tahoma"/>
        <w:b/>
        <w:color w:val="1B4C80"/>
        <w:sz w:val="18"/>
        <w:szCs w:val="18"/>
      </w:rPr>
    </w:pPr>
    <w:r w:rsidRPr="005A2CA7">
      <w:rPr>
        <w:rFonts w:cs="Tahoma"/>
        <w:sz w:val="18"/>
        <w:szCs w:val="18"/>
      </w:rPr>
      <w:t>ISO/RTO Council (Project 2009-22)</w:t>
    </w:r>
  </w:p>
  <w:p w:rsidR="00FA7C30" w:rsidRPr="007254EA" w:rsidRDefault="00FA7C30" w:rsidP="00D228D6">
    <w:pPr>
      <w:rPr>
        <w:rFonts w:ascii="Verdana" w:hAnsi="Verdan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0" w:rsidRDefault="00FA7C30">
    <w:pPr>
      <w:pStyle w:val="Footer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30" w:rsidRDefault="00FA7C30">
      <w:r>
        <w:separator/>
      </w:r>
    </w:p>
  </w:footnote>
  <w:footnote w:type="continuationSeparator" w:id="0">
    <w:p w:rsidR="00FA7C30" w:rsidRDefault="00FA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0" w:rsidRDefault="00FA7C30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0" w:rsidRDefault="00FA7C30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3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F03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161AF4"/>
    <w:multiLevelType w:val="hybridMultilevel"/>
    <w:tmpl w:val="183C2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D01FB"/>
    <w:multiLevelType w:val="singleLevel"/>
    <w:tmpl w:val="4D8C5906"/>
    <w:lvl w:ilvl="0">
      <w:numFmt w:val="bullet"/>
      <w:pStyle w:val="ListBullet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EA"/>
    <w:rsid w:val="00011D42"/>
    <w:rsid w:val="000334DF"/>
    <w:rsid w:val="000A70BC"/>
    <w:rsid w:val="000B36CB"/>
    <w:rsid w:val="000B7A04"/>
    <w:rsid w:val="000D7162"/>
    <w:rsid w:val="000E3AB0"/>
    <w:rsid w:val="00136931"/>
    <w:rsid w:val="001574EA"/>
    <w:rsid w:val="00283FB4"/>
    <w:rsid w:val="002C4D7E"/>
    <w:rsid w:val="00366A96"/>
    <w:rsid w:val="0039275D"/>
    <w:rsid w:val="003E1C41"/>
    <w:rsid w:val="00414D6D"/>
    <w:rsid w:val="004631BF"/>
    <w:rsid w:val="00476F25"/>
    <w:rsid w:val="004800C7"/>
    <w:rsid w:val="004B7DE3"/>
    <w:rsid w:val="004E7B5C"/>
    <w:rsid w:val="004E7BCF"/>
    <w:rsid w:val="00510652"/>
    <w:rsid w:val="005316C6"/>
    <w:rsid w:val="005316F3"/>
    <w:rsid w:val="00573832"/>
    <w:rsid w:val="005A2CA7"/>
    <w:rsid w:val="005A721A"/>
    <w:rsid w:val="005D3F72"/>
    <w:rsid w:val="006164A5"/>
    <w:rsid w:val="00652754"/>
    <w:rsid w:val="00694CD1"/>
    <w:rsid w:val="006B3EC7"/>
    <w:rsid w:val="006C1F78"/>
    <w:rsid w:val="007254EA"/>
    <w:rsid w:val="0074626C"/>
    <w:rsid w:val="00791651"/>
    <w:rsid w:val="00862121"/>
    <w:rsid w:val="00A35DA7"/>
    <w:rsid w:val="00A6738A"/>
    <w:rsid w:val="00A81D53"/>
    <w:rsid w:val="00B375B5"/>
    <w:rsid w:val="00B70A93"/>
    <w:rsid w:val="00BA34E0"/>
    <w:rsid w:val="00BE5580"/>
    <w:rsid w:val="00CC7BE7"/>
    <w:rsid w:val="00D228D6"/>
    <w:rsid w:val="00DA634C"/>
    <w:rsid w:val="00DB62EC"/>
    <w:rsid w:val="00EB7D43"/>
    <w:rsid w:val="00FA7C30"/>
    <w:rsid w:val="00FC7B36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autoRedefine/>
    <w:rsid w:val="005A2CA7"/>
    <w:pPr>
      <w:numPr>
        <w:numId w:val="17"/>
      </w:numPr>
    </w:pPr>
    <w:rPr>
      <w:sz w:val="22"/>
      <w:szCs w:val="20"/>
    </w:rPr>
  </w:style>
  <w:style w:type="character" w:styleId="Hyperlink">
    <w:name w:val="Hyperlink"/>
    <w:basedOn w:val="DefaultParagraphFont"/>
    <w:rsid w:val="005A2CA7"/>
    <w:rPr>
      <w:color w:val="0000FF"/>
      <w:u w:val="single"/>
    </w:rPr>
  </w:style>
  <w:style w:type="character" w:customStyle="1" w:styleId="BoxText">
    <w:name w:val="Box Text"/>
    <w:basedOn w:val="DefaultParagraphFont"/>
    <w:rsid w:val="005A2CA7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sid w:val="005A2CA7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2CA7"/>
  </w:style>
  <w:style w:type="paragraph" w:styleId="ListParagraph">
    <w:name w:val="List Paragraph"/>
    <w:basedOn w:val="Normal"/>
    <w:uiPriority w:val="34"/>
    <w:qFormat/>
    <w:rsid w:val="005A2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A7C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net/nercsurvey/Survey.aspx?s=2972d654deb5414fabfc421d362b0876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Joseph.Krisiak@ner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rc.com/filez/standards/Project2009-22_RFI_COM-002-2_R2_IRC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83E682A09B439D6F56C55AE3B19D" ma:contentTypeVersion="26" ma:contentTypeDescription="Create a new document." ma:contentTypeScope="" ma:versionID="2f2de60a20ca48631db8d1e8eb22ac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F13D4-41DD-465E-A450-1FCD58ED0D6D}"/>
</file>

<file path=customXml/itemProps2.xml><?xml version="1.0" encoding="utf-8"?>
<ds:datastoreItem xmlns:ds="http://schemas.openxmlformats.org/officeDocument/2006/customXml" ds:itemID="{91729DB2-9D63-42B6-9BE2-E50599AF57D4}"/>
</file>

<file path=customXml/itemProps3.xml><?xml version="1.0" encoding="utf-8"?>
<ds:datastoreItem xmlns:ds="http://schemas.openxmlformats.org/officeDocument/2006/customXml" ds:itemID="{C9BFF144-6F4A-46D4-850C-E54B769AEF5B}"/>
</file>

<file path=customXml/itemProps4.xml><?xml version="1.0" encoding="utf-8"?>
<ds:datastoreItem xmlns:ds="http://schemas.openxmlformats.org/officeDocument/2006/customXml" ds:itemID="{93F5905F-3787-48EE-BD8F-6E2F1FFE3618}"/>
</file>

<file path=customXml/itemProps5.xml><?xml version="1.0" encoding="utf-8"?>
<ds:datastoreItem xmlns:ds="http://schemas.openxmlformats.org/officeDocument/2006/customXml" ds:itemID="{F307FDC8-BB4E-4B6D-8B61-2FDD285A9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734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Spolar</dc:creator>
  <cp:lastModifiedBy>Monica Benson</cp:lastModifiedBy>
  <cp:revision>8</cp:revision>
  <cp:lastPrinted>2011-03-01T17:03:00Z</cp:lastPrinted>
  <dcterms:created xsi:type="dcterms:W3CDTF">2011-08-30T17:15:00Z</dcterms:created>
  <dcterms:modified xsi:type="dcterms:W3CDTF">2011-10-04T14:41:00Z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_ReviewingToolsShownOnce">
    <vt:lpwstr/>
  </property>
  <property fmtid="{D5CDD505-2E9C-101B-9397-08002B2CF9AE}" pid="7" name="ContentTypeId">
    <vt:lpwstr>0x010100C38283E682A09B439D6F56C55AE3B19D</vt:lpwstr>
  </property>
  <property fmtid="{D5CDD505-2E9C-101B-9397-08002B2CF9AE}" pid="8" name="_dlc_DocIdItemGuid">
    <vt:lpwstr>096809f4-af8a-40d3-a7e7-dd5fc1ef36b3</vt:lpwstr>
  </property>
</Properties>
</file>