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07327044" w:rsidR="00D07095" w:rsidRPr="00402C3E" w:rsidRDefault="003818D1" w:rsidP="004005B5">
      <w:pPr>
        <w:pStyle w:val="Heading"/>
        <w:tabs>
          <w:tab w:val="left" w:pos="0"/>
        </w:tabs>
        <w:spacing w:before="0" w:after="0"/>
        <w:ind w:firstLine="1"/>
        <w:rPr>
          <w:sz w:val="22"/>
          <w:szCs w:val="22"/>
        </w:rPr>
      </w:pPr>
      <w:r>
        <w:rPr>
          <w:szCs w:val="22"/>
        </w:rPr>
        <w:t>VAR-002-4.1</w:t>
      </w:r>
      <w:r w:rsidR="00741FFF" w:rsidRPr="00F548BE">
        <w:rPr>
          <w:szCs w:val="22"/>
        </w:rPr>
        <w:t xml:space="preserve"> </w:t>
      </w:r>
      <w:r w:rsidR="0043375A" w:rsidRPr="00F548BE">
        <w:rPr>
          <w:szCs w:val="22"/>
        </w:rPr>
        <w:t xml:space="preserve">– </w:t>
      </w:r>
      <w:r w:rsidR="00FB4078">
        <w:rPr>
          <w:szCs w:val="22"/>
        </w:rPr>
        <w:t>Generator Operation for Maintaining Network Voltage</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06330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06330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06330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063301">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06330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063301">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063301">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063301">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063301">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063301">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063301">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063301">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063301">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660E3803"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tblGrid>
      <w:tr w:rsidR="003818D1" w:rsidRPr="00171071" w14:paraId="2331BECA" w14:textId="77777777" w:rsidTr="00FE4A7A">
        <w:tc>
          <w:tcPr>
            <w:tcW w:w="605" w:type="dxa"/>
            <w:shd w:val="clear" w:color="auto" w:fill="DCDCFF"/>
          </w:tcPr>
          <w:p w14:paraId="44EAFC9D" w14:textId="77777777" w:rsidR="003818D1" w:rsidRPr="00171071" w:rsidRDefault="003818D1" w:rsidP="00171071">
            <w:pPr>
              <w:jc w:val="center"/>
              <w:rPr>
                <w:rFonts w:asciiTheme="minorHAnsi" w:hAnsiTheme="minorHAnsi"/>
                <w:b/>
                <w:sz w:val="20"/>
                <w:szCs w:val="20"/>
              </w:rPr>
            </w:pPr>
          </w:p>
        </w:tc>
        <w:tc>
          <w:tcPr>
            <w:tcW w:w="605" w:type="dxa"/>
            <w:shd w:val="clear" w:color="auto" w:fill="DCDCFF"/>
          </w:tcPr>
          <w:p w14:paraId="05E9EF80" w14:textId="77777777" w:rsidR="003818D1" w:rsidRPr="00171071" w:rsidRDefault="003818D1"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818D1" w:rsidRPr="00171071" w:rsidRDefault="003818D1"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818D1" w:rsidRPr="00171071" w:rsidRDefault="003818D1"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818D1" w:rsidRPr="00171071" w:rsidRDefault="003818D1"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34576F87" w14:textId="77777777" w:rsidR="003818D1" w:rsidRPr="00171071" w:rsidRDefault="003818D1"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54992839" w14:textId="77777777" w:rsidR="003818D1" w:rsidRPr="00171071" w:rsidRDefault="003818D1"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818D1" w:rsidRPr="00171071" w:rsidRDefault="003818D1"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818D1" w:rsidRPr="00171071" w:rsidRDefault="003818D1"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818D1" w:rsidRPr="00171071" w:rsidRDefault="003818D1"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818D1" w:rsidRPr="00171071" w:rsidRDefault="003818D1"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818D1" w:rsidRPr="00171071" w:rsidRDefault="003818D1"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818D1" w:rsidRPr="00171071" w:rsidRDefault="003818D1" w:rsidP="00171071">
            <w:pPr>
              <w:jc w:val="center"/>
              <w:rPr>
                <w:rFonts w:asciiTheme="minorHAnsi" w:hAnsiTheme="minorHAnsi"/>
                <w:b/>
                <w:sz w:val="20"/>
                <w:szCs w:val="20"/>
              </w:rPr>
            </w:pPr>
            <w:r w:rsidRPr="00171071">
              <w:rPr>
                <w:rFonts w:asciiTheme="minorHAnsi" w:hAnsiTheme="minorHAnsi"/>
                <w:b/>
                <w:sz w:val="20"/>
                <w:szCs w:val="20"/>
              </w:rPr>
              <w:t>TSP</w:t>
            </w:r>
          </w:p>
        </w:tc>
      </w:tr>
      <w:tr w:rsidR="003818D1" w:rsidRPr="00171071" w14:paraId="432E350B" w14:textId="77777777" w:rsidTr="00FE4A7A">
        <w:tc>
          <w:tcPr>
            <w:tcW w:w="605" w:type="dxa"/>
            <w:shd w:val="clear" w:color="auto" w:fill="DCDCFF"/>
          </w:tcPr>
          <w:p w14:paraId="467103F4" w14:textId="77777777" w:rsidR="003818D1" w:rsidRPr="00171071" w:rsidRDefault="003818D1"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58F5C8AC" w:rsidR="003818D1" w:rsidRPr="00171071" w:rsidRDefault="003818D1" w:rsidP="00171071">
            <w:pPr>
              <w:jc w:val="center"/>
              <w:rPr>
                <w:rFonts w:asciiTheme="minorHAnsi" w:hAnsiTheme="minorHAnsi"/>
                <w:sz w:val="20"/>
                <w:szCs w:val="20"/>
              </w:rPr>
            </w:pPr>
          </w:p>
        </w:tc>
        <w:tc>
          <w:tcPr>
            <w:tcW w:w="605" w:type="dxa"/>
            <w:shd w:val="clear" w:color="auto" w:fill="DCDCFF"/>
          </w:tcPr>
          <w:p w14:paraId="4D8D342C" w14:textId="77777777" w:rsidR="003818D1" w:rsidRPr="00171071" w:rsidRDefault="003818D1" w:rsidP="00171071">
            <w:pPr>
              <w:jc w:val="center"/>
              <w:rPr>
                <w:rFonts w:asciiTheme="minorHAnsi" w:hAnsiTheme="minorHAnsi"/>
                <w:sz w:val="20"/>
                <w:szCs w:val="20"/>
              </w:rPr>
            </w:pPr>
          </w:p>
        </w:tc>
        <w:tc>
          <w:tcPr>
            <w:tcW w:w="605" w:type="dxa"/>
            <w:shd w:val="clear" w:color="auto" w:fill="DCDCFF"/>
          </w:tcPr>
          <w:p w14:paraId="3D1763C3" w14:textId="321B3610" w:rsidR="003818D1" w:rsidRPr="00171071" w:rsidRDefault="003818D1" w:rsidP="00171071">
            <w:pPr>
              <w:jc w:val="center"/>
              <w:rPr>
                <w:rFonts w:asciiTheme="minorHAnsi" w:hAnsiTheme="minorHAnsi"/>
                <w:sz w:val="20"/>
                <w:szCs w:val="20"/>
              </w:rPr>
            </w:pPr>
          </w:p>
        </w:tc>
        <w:tc>
          <w:tcPr>
            <w:tcW w:w="605" w:type="dxa"/>
            <w:shd w:val="clear" w:color="auto" w:fill="DCDCFF"/>
          </w:tcPr>
          <w:p w14:paraId="455AF945" w14:textId="097355E5" w:rsidR="003818D1" w:rsidRPr="00171071" w:rsidRDefault="003818D1"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0A5BF98" w14:textId="77777777" w:rsidR="003818D1" w:rsidRPr="00171071" w:rsidRDefault="003818D1" w:rsidP="00171071">
            <w:pPr>
              <w:jc w:val="center"/>
              <w:rPr>
                <w:rFonts w:asciiTheme="minorHAnsi" w:hAnsiTheme="minorHAnsi"/>
                <w:sz w:val="20"/>
                <w:szCs w:val="20"/>
              </w:rPr>
            </w:pPr>
          </w:p>
        </w:tc>
        <w:tc>
          <w:tcPr>
            <w:tcW w:w="605" w:type="dxa"/>
            <w:shd w:val="clear" w:color="auto" w:fill="DCDCFF"/>
          </w:tcPr>
          <w:p w14:paraId="40887695" w14:textId="77777777" w:rsidR="003818D1" w:rsidRPr="00171071" w:rsidRDefault="003818D1" w:rsidP="00171071">
            <w:pPr>
              <w:jc w:val="center"/>
              <w:rPr>
                <w:rFonts w:asciiTheme="minorHAnsi" w:hAnsiTheme="minorHAnsi"/>
                <w:sz w:val="20"/>
                <w:szCs w:val="20"/>
              </w:rPr>
            </w:pPr>
          </w:p>
        </w:tc>
        <w:tc>
          <w:tcPr>
            <w:tcW w:w="605" w:type="dxa"/>
            <w:shd w:val="clear" w:color="auto" w:fill="DCDCFF"/>
          </w:tcPr>
          <w:p w14:paraId="4E39F869" w14:textId="77777777" w:rsidR="003818D1" w:rsidRPr="00171071" w:rsidRDefault="003818D1" w:rsidP="00171071">
            <w:pPr>
              <w:jc w:val="center"/>
              <w:rPr>
                <w:rFonts w:asciiTheme="minorHAnsi" w:hAnsiTheme="minorHAnsi"/>
                <w:sz w:val="20"/>
                <w:szCs w:val="20"/>
              </w:rPr>
            </w:pPr>
          </w:p>
        </w:tc>
        <w:tc>
          <w:tcPr>
            <w:tcW w:w="605" w:type="dxa"/>
            <w:shd w:val="clear" w:color="auto" w:fill="DCDCFF"/>
          </w:tcPr>
          <w:p w14:paraId="20FBBC86" w14:textId="77777777" w:rsidR="003818D1" w:rsidRPr="00171071" w:rsidRDefault="003818D1" w:rsidP="00171071">
            <w:pPr>
              <w:jc w:val="center"/>
              <w:rPr>
                <w:rFonts w:asciiTheme="minorHAnsi" w:hAnsiTheme="minorHAnsi"/>
                <w:sz w:val="20"/>
                <w:szCs w:val="20"/>
              </w:rPr>
            </w:pPr>
          </w:p>
        </w:tc>
        <w:tc>
          <w:tcPr>
            <w:tcW w:w="605" w:type="dxa"/>
            <w:shd w:val="clear" w:color="auto" w:fill="DCDCFF"/>
          </w:tcPr>
          <w:p w14:paraId="747C1520" w14:textId="77777777" w:rsidR="003818D1" w:rsidRPr="00171071" w:rsidRDefault="003818D1" w:rsidP="00171071">
            <w:pPr>
              <w:jc w:val="center"/>
              <w:rPr>
                <w:rFonts w:asciiTheme="minorHAnsi" w:hAnsiTheme="minorHAnsi"/>
                <w:sz w:val="20"/>
                <w:szCs w:val="20"/>
              </w:rPr>
            </w:pPr>
          </w:p>
        </w:tc>
        <w:tc>
          <w:tcPr>
            <w:tcW w:w="605" w:type="dxa"/>
            <w:shd w:val="clear" w:color="auto" w:fill="DCDCFF"/>
          </w:tcPr>
          <w:p w14:paraId="57437285" w14:textId="6D679440" w:rsidR="003818D1" w:rsidRPr="00171071" w:rsidRDefault="003818D1" w:rsidP="00171071">
            <w:pPr>
              <w:jc w:val="center"/>
              <w:rPr>
                <w:rFonts w:asciiTheme="minorHAnsi" w:hAnsiTheme="minorHAnsi"/>
                <w:sz w:val="20"/>
                <w:szCs w:val="20"/>
              </w:rPr>
            </w:pPr>
          </w:p>
        </w:tc>
        <w:tc>
          <w:tcPr>
            <w:tcW w:w="605" w:type="dxa"/>
            <w:shd w:val="clear" w:color="auto" w:fill="DCDCFF"/>
          </w:tcPr>
          <w:p w14:paraId="518D48EF" w14:textId="77777777" w:rsidR="003818D1" w:rsidRPr="00171071" w:rsidRDefault="003818D1" w:rsidP="00171071">
            <w:pPr>
              <w:jc w:val="center"/>
              <w:rPr>
                <w:rFonts w:asciiTheme="minorHAnsi" w:hAnsiTheme="minorHAnsi"/>
                <w:sz w:val="20"/>
                <w:szCs w:val="20"/>
              </w:rPr>
            </w:pPr>
          </w:p>
        </w:tc>
        <w:tc>
          <w:tcPr>
            <w:tcW w:w="605" w:type="dxa"/>
            <w:shd w:val="clear" w:color="auto" w:fill="DCDCFF"/>
          </w:tcPr>
          <w:p w14:paraId="3433D2E4" w14:textId="77777777" w:rsidR="003818D1" w:rsidRPr="00171071" w:rsidRDefault="003818D1" w:rsidP="00171071">
            <w:pPr>
              <w:jc w:val="center"/>
              <w:rPr>
                <w:rFonts w:asciiTheme="minorHAnsi" w:hAnsiTheme="minorHAnsi"/>
                <w:sz w:val="20"/>
                <w:szCs w:val="20"/>
              </w:rPr>
            </w:pPr>
          </w:p>
        </w:tc>
      </w:tr>
      <w:tr w:rsidR="003818D1" w:rsidRPr="00171071" w14:paraId="53781A6C" w14:textId="77777777" w:rsidTr="00FE4A7A">
        <w:tc>
          <w:tcPr>
            <w:tcW w:w="605" w:type="dxa"/>
            <w:shd w:val="clear" w:color="auto" w:fill="DCDCFF"/>
          </w:tcPr>
          <w:p w14:paraId="5EB5B405" w14:textId="77777777" w:rsidR="003818D1" w:rsidRPr="00171071" w:rsidRDefault="003818D1" w:rsidP="00D25D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46883798"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72C99D41" w14:textId="68205C8D" w:rsidR="003818D1" w:rsidRPr="00171071" w:rsidRDefault="003818D1" w:rsidP="00D25D7C">
            <w:pPr>
              <w:jc w:val="center"/>
              <w:rPr>
                <w:rFonts w:asciiTheme="minorHAnsi" w:hAnsiTheme="minorHAnsi"/>
                <w:sz w:val="20"/>
                <w:szCs w:val="20"/>
              </w:rPr>
            </w:pPr>
          </w:p>
        </w:tc>
        <w:tc>
          <w:tcPr>
            <w:tcW w:w="605" w:type="dxa"/>
            <w:shd w:val="clear" w:color="auto" w:fill="DCDCFF"/>
          </w:tcPr>
          <w:p w14:paraId="3BA2BB0D" w14:textId="28B2FA59" w:rsidR="003818D1" w:rsidRPr="00171071" w:rsidRDefault="003818D1" w:rsidP="00D25D7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CB109C8"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5334FAB3"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328290A0"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55F31DAB"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6AC61743"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4C7765FE" w14:textId="39AF4AAB" w:rsidR="003818D1" w:rsidRPr="00171071" w:rsidRDefault="003818D1" w:rsidP="00D25D7C">
            <w:pPr>
              <w:jc w:val="center"/>
              <w:rPr>
                <w:rFonts w:asciiTheme="minorHAnsi" w:hAnsiTheme="minorHAnsi"/>
                <w:sz w:val="20"/>
                <w:szCs w:val="20"/>
              </w:rPr>
            </w:pPr>
          </w:p>
        </w:tc>
        <w:tc>
          <w:tcPr>
            <w:tcW w:w="605" w:type="dxa"/>
            <w:shd w:val="clear" w:color="auto" w:fill="DCDCFF"/>
          </w:tcPr>
          <w:p w14:paraId="1B909678"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14E9413A" w14:textId="77777777" w:rsidR="003818D1" w:rsidRPr="00171071" w:rsidRDefault="003818D1" w:rsidP="00D25D7C">
            <w:pPr>
              <w:jc w:val="center"/>
              <w:rPr>
                <w:rFonts w:asciiTheme="minorHAnsi" w:hAnsiTheme="minorHAnsi"/>
                <w:sz w:val="20"/>
                <w:szCs w:val="20"/>
              </w:rPr>
            </w:pPr>
          </w:p>
        </w:tc>
      </w:tr>
      <w:tr w:rsidR="003818D1" w:rsidRPr="00171071" w14:paraId="5304790C" w14:textId="77777777" w:rsidTr="00FE4A7A">
        <w:tc>
          <w:tcPr>
            <w:tcW w:w="605" w:type="dxa"/>
            <w:shd w:val="clear" w:color="auto" w:fill="DCDCFF"/>
          </w:tcPr>
          <w:p w14:paraId="419A7E98" w14:textId="77777777" w:rsidR="003818D1" w:rsidRPr="00171071" w:rsidRDefault="003818D1" w:rsidP="00D25D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5616A6A7"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3E043480"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425EF88D" w14:textId="753AFF19" w:rsidR="003818D1" w:rsidRPr="00171071" w:rsidRDefault="003818D1" w:rsidP="00D25D7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3F7E25A"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580B3F4C"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428825EB"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7C238401"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798C202F" w14:textId="3C8B86E8" w:rsidR="003818D1" w:rsidRPr="00171071" w:rsidRDefault="003818D1" w:rsidP="00D25D7C">
            <w:pPr>
              <w:jc w:val="center"/>
              <w:rPr>
                <w:rFonts w:asciiTheme="minorHAnsi" w:hAnsiTheme="minorHAnsi"/>
                <w:sz w:val="20"/>
                <w:szCs w:val="20"/>
              </w:rPr>
            </w:pPr>
          </w:p>
        </w:tc>
        <w:tc>
          <w:tcPr>
            <w:tcW w:w="605" w:type="dxa"/>
            <w:shd w:val="clear" w:color="auto" w:fill="DCDCFF"/>
          </w:tcPr>
          <w:p w14:paraId="0FBB94CD" w14:textId="14D05FDC" w:rsidR="003818D1" w:rsidRPr="00171071" w:rsidRDefault="003818D1" w:rsidP="00D25D7C">
            <w:pPr>
              <w:jc w:val="center"/>
              <w:rPr>
                <w:rFonts w:asciiTheme="minorHAnsi" w:hAnsiTheme="minorHAnsi"/>
                <w:sz w:val="20"/>
                <w:szCs w:val="20"/>
              </w:rPr>
            </w:pPr>
          </w:p>
        </w:tc>
        <w:tc>
          <w:tcPr>
            <w:tcW w:w="605" w:type="dxa"/>
            <w:shd w:val="clear" w:color="auto" w:fill="DCDCFF"/>
          </w:tcPr>
          <w:p w14:paraId="2A483B57"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30193B4B" w14:textId="77777777" w:rsidR="003818D1" w:rsidRPr="00171071" w:rsidRDefault="003818D1" w:rsidP="00D25D7C">
            <w:pPr>
              <w:jc w:val="center"/>
              <w:rPr>
                <w:rFonts w:asciiTheme="minorHAnsi" w:hAnsiTheme="minorHAnsi"/>
                <w:sz w:val="20"/>
                <w:szCs w:val="20"/>
              </w:rPr>
            </w:pPr>
          </w:p>
        </w:tc>
      </w:tr>
      <w:tr w:rsidR="003818D1" w:rsidRPr="00171071" w14:paraId="63941807" w14:textId="77777777" w:rsidTr="00FE4A7A">
        <w:tc>
          <w:tcPr>
            <w:tcW w:w="605" w:type="dxa"/>
            <w:shd w:val="clear" w:color="auto" w:fill="DCDCFF"/>
          </w:tcPr>
          <w:p w14:paraId="6DA4A22A" w14:textId="77777777" w:rsidR="003818D1" w:rsidRPr="00171071" w:rsidRDefault="003818D1" w:rsidP="00D25D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4C4886D3"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15691E54"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7CBD2F8A" w14:textId="735948F5" w:rsidR="003818D1" w:rsidRPr="00171071" w:rsidRDefault="003818D1" w:rsidP="00D25D7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5EDBA58"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33B795FA"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25016526"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419227AA"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1F087BD4"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23832A0A" w14:textId="18FA3751" w:rsidR="003818D1" w:rsidRPr="00171071" w:rsidRDefault="003818D1" w:rsidP="00D25D7C">
            <w:pPr>
              <w:jc w:val="center"/>
              <w:rPr>
                <w:rFonts w:asciiTheme="minorHAnsi" w:hAnsiTheme="minorHAnsi"/>
                <w:sz w:val="20"/>
                <w:szCs w:val="20"/>
              </w:rPr>
            </w:pPr>
          </w:p>
        </w:tc>
        <w:tc>
          <w:tcPr>
            <w:tcW w:w="605" w:type="dxa"/>
            <w:shd w:val="clear" w:color="auto" w:fill="DCDCFF"/>
          </w:tcPr>
          <w:p w14:paraId="79F09A0C"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1E52A517" w14:textId="77777777" w:rsidR="003818D1" w:rsidRPr="00171071" w:rsidRDefault="003818D1" w:rsidP="00D25D7C">
            <w:pPr>
              <w:jc w:val="center"/>
              <w:rPr>
                <w:rFonts w:asciiTheme="minorHAnsi" w:hAnsiTheme="minorHAnsi"/>
                <w:sz w:val="20"/>
                <w:szCs w:val="20"/>
              </w:rPr>
            </w:pPr>
          </w:p>
        </w:tc>
      </w:tr>
      <w:tr w:rsidR="003818D1" w:rsidRPr="00171071" w14:paraId="236812BE" w14:textId="77777777" w:rsidTr="00FE4A7A">
        <w:tc>
          <w:tcPr>
            <w:tcW w:w="605" w:type="dxa"/>
            <w:shd w:val="clear" w:color="auto" w:fill="DCDCFF"/>
          </w:tcPr>
          <w:p w14:paraId="57ED606C" w14:textId="6AA3D3F2" w:rsidR="003818D1" w:rsidRPr="00171071" w:rsidRDefault="003818D1" w:rsidP="00D25D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4898E3C1"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2C6638C2"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689C358D" w14:textId="4350C7FB" w:rsidR="003818D1" w:rsidRPr="00171071" w:rsidRDefault="003818D1" w:rsidP="00D25D7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BBF6293"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183EF023"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2DB4A5BB"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0646B534"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61A23D31"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28126E93"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6628B4D9" w14:textId="5228E156" w:rsidR="003818D1" w:rsidRPr="00171071" w:rsidRDefault="003818D1" w:rsidP="00D25D7C">
            <w:pPr>
              <w:jc w:val="center"/>
              <w:rPr>
                <w:rFonts w:asciiTheme="minorHAnsi" w:hAnsiTheme="minorHAnsi"/>
                <w:sz w:val="20"/>
                <w:szCs w:val="20"/>
              </w:rPr>
            </w:pPr>
          </w:p>
        </w:tc>
        <w:tc>
          <w:tcPr>
            <w:tcW w:w="605" w:type="dxa"/>
            <w:shd w:val="clear" w:color="auto" w:fill="DCDCFF"/>
          </w:tcPr>
          <w:p w14:paraId="42AED28E"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47D076BD" w14:textId="77777777" w:rsidR="003818D1" w:rsidRPr="00171071" w:rsidRDefault="003818D1" w:rsidP="00D25D7C">
            <w:pPr>
              <w:jc w:val="center"/>
              <w:rPr>
                <w:rFonts w:asciiTheme="minorHAnsi" w:hAnsiTheme="minorHAnsi"/>
                <w:sz w:val="20"/>
                <w:szCs w:val="20"/>
              </w:rPr>
            </w:pPr>
          </w:p>
        </w:tc>
      </w:tr>
      <w:tr w:rsidR="003818D1" w:rsidRPr="00171071" w14:paraId="023ACAED" w14:textId="77777777" w:rsidTr="00FE4A7A">
        <w:tc>
          <w:tcPr>
            <w:tcW w:w="605" w:type="dxa"/>
            <w:shd w:val="clear" w:color="auto" w:fill="DCDCFF"/>
          </w:tcPr>
          <w:p w14:paraId="6A446747" w14:textId="2A06CB59" w:rsidR="003818D1" w:rsidRPr="00171071" w:rsidRDefault="003818D1" w:rsidP="00D25D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5D3B1091"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3DF77B98"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5A4D45CB" w14:textId="0D14AE18" w:rsidR="003818D1" w:rsidRPr="00171071" w:rsidRDefault="003818D1" w:rsidP="00D25D7C">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17B52D6"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59F57264"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7C21F44A"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3DA5A8F4"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174F6C0A"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5CF0757A"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0FD7ABDB" w14:textId="055981F4" w:rsidR="003818D1" w:rsidRPr="00171071" w:rsidRDefault="003818D1" w:rsidP="00D25D7C">
            <w:pPr>
              <w:jc w:val="center"/>
              <w:rPr>
                <w:rFonts w:asciiTheme="minorHAnsi" w:hAnsiTheme="minorHAnsi"/>
                <w:sz w:val="20"/>
                <w:szCs w:val="20"/>
              </w:rPr>
            </w:pPr>
          </w:p>
        </w:tc>
        <w:tc>
          <w:tcPr>
            <w:tcW w:w="605" w:type="dxa"/>
            <w:shd w:val="clear" w:color="auto" w:fill="DCDCFF"/>
          </w:tcPr>
          <w:p w14:paraId="5FE89E90" w14:textId="77777777" w:rsidR="003818D1" w:rsidRPr="00171071" w:rsidRDefault="003818D1" w:rsidP="00D25D7C">
            <w:pPr>
              <w:jc w:val="center"/>
              <w:rPr>
                <w:rFonts w:asciiTheme="minorHAnsi" w:hAnsiTheme="minorHAnsi"/>
                <w:sz w:val="20"/>
                <w:szCs w:val="20"/>
              </w:rPr>
            </w:pPr>
          </w:p>
        </w:tc>
        <w:tc>
          <w:tcPr>
            <w:tcW w:w="605" w:type="dxa"/>
            <w:shd w:val="clear" w:color="auto" w:fill="DCDCFF"/>
          </w:tcPr>
          <w:p w14:paraId="7A17E861" w14:textId="77777777" w:rsidR="003818D1" w:rsidRPr="00171071" w:rsidRDefault="003818D1" w:rsidP="00D25D7C">
            <w:pPr>
              <w:jc w:val="center"/>
              <w:rPr>
                <w:rFonts w:asciiTheme="minorHAnsi" w:hAnsiTheme="minorHAnsi"/>
                <w:sz w:val="20"/>
                <w:szCs w:val="20"/>
              </w:rPr>
            </w:pPr>
          </w:p>
        </w:tc>
      </w:tr>
    </w:tbl>
    <w:p w14:paraId="436AB8FB" w14:textId="77777777" w:rsidR="00DB2F71" w:rsidRDefault="00DB2F71">
      <w:pPr>
        <w:autoSpaceDE/>
        <w:autoSpaceDN/>
        <w:adjustRightInd/>
        <w:rPr>
          <w:rFonts w:asciiTheme="minorHAnsi" w:hAnsiTheme="minorHAnsi"/>
          <w:b/>
          <w:color w:val="auto"/>
          <w:u w:val="single"/>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06330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063301">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063301">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063301">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063301">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063301">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063301">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063301">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063301">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063301">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063301">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063301">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063301">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063301">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063301">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063301">
            <w:pPr>
              <w:widowControl w:val="0"/>
              <w:rPr>
                <w:rFonts w:asciiTheme="minorHAnsi" w:hAnsiTheme="minorHAnsi" w:cs="Times New Roman"/>
                <w:bCs/>
                <w:color w:val="auto"/>
                <w:sz w:val="22"/>
                <w:szCs w:val="22"/>
              </w:rPr>
            </w:pPr>
          </w:p>
        </w:tc>
      </w:tr>
      <w:tr w:rsidR="00D25D7C" w:rsidRPr="00705BB3" w14:paraId="354884FD" w14:textId="77777777" w:rsidTr="00FE4A7A">
        <w:tc>
          <w:tcPr>
            <w:tcW w:w="738" w:type="dxa"/>
            <w:shd w:val="clear" w:color="auto" w:fill="DCDCFF"/>
            <w:vAlign w:val="center"/>
          </w:tcPr>
          <w:p w14:paraId="5654949D" w14:textId="3A22BE6B" w:rsidR="00D25D7C" w:rsidRPr="00705BB3" w:rsidRDefault="00D25D7C"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05D62541" w14:textId="77777777" w:rsidR="00D25D7C" w:rsidRPr="00705BB3" w:rsidRDefault="00D25D7C" w:rsidP="00063301">
            <w:pPr>
              <w:widowControl w:val="0"/>
              <w:rPr>
                <w:rFonts w:asciiTheme="minorHAnsi" w:hAnsiTheme="minorHAnsi" w:cs="Times New Roman"/>
                <w:bCs/>
                <w:color w:val="auto"/>
                <w:sz w:val="22"/>
                <w:szCs w:val="22"/>
              </w:rPr>
            </w:pPr>
          </w:p>
        </w:tc>
        <w:tc>
          <w:tcPr>
            <w:tcW w:w="6300" w:type="dxa"/>
          </w:tcPr>
          <w:p w14:paraId="035FD667" w14:textId="77777777" w:rsidR="00D25D7C" w:rsidRPr="00705BB3" w:rsidRDefault="00D25D7C" w:rsidP="00063301">
            <w:pPr>
              <w:widowControl w:val="0"/>
              <w:rPr>
                <w:rFonts w:asciiTheme="minorHAnsi" w:hAnsiTheme="minorHAnsi" w:cs="Times New Roman"/>
                <w:bCs/>
                <w:color w:val="auto"/>
                <w:sz w:val="22"/>
                <w:szCs w:val="22"/>
              </w:rPr>
            </w:pPr>
          </w:p>
        </w:tc>
        <w:tc>
          <w:tcPr>
            <w:tcW w:w="2538" w:type="dxa"/>
          </w:tcPr>
          <w:p w14:paraId="0EB0F235" w14:textId="77777777" w:rsidR="00D25D7C" w:rsidRPr="00705BB3" w:rsidRDefault="00D25D7C" w:rsidP="00063301">
            <w:pPr>
              <w:widowControl w:val="0"/>
              <w:rPr>
                <w:rFonts w:asciiTheme="minorHAnsi" w:hAnsiTheme="minorHAnsi" w:cs="Times New Roman"/>
                <w:bCs/>
                <w:color w:val="auto"/>
                <w:sz w:val="22"/>
                <w:szCs w:val="22"/>
              </w:rPr>
            </w:pPr>
          </w:p>
        </w:tc>
      </w:tr>
      <w:tr w:rsidR="00D25D7C" w:rsidRPr="00705BB3" w14:paraId="5D29FFE4" w14:textId="77777777" w:rsidTr="00FE4A7A">
        <w:tc>
          <w:tcPr>
            <w:tcW w:w="738" w:type="dxa"/>
            <w:shd w:val="clear" w:color="auto" w:fill="DCDCFF"/>
            <w:vAlign w:val="center"/>
          </w:tcPr>
          <w:p w14:paraId="32630DA1" w14:textId="61EFE6E9" w:rsidR="00D25D7C" w:rsidRPr="00705BB3" w:rsidRDefault="00D25D7C"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1D0EB4AE" w14:textId="77777777" w:rsidR="00D25D7C" w:rsidRPr="00705BB3" w:rsidRDefault="00D25D7C" w:rsidP="00063301">
            <w:pPr>
              <w:widowControl w:val="0"/>
              <w:rPr>
                <w:rFonts w:asciiTheme="minorHAnsi" w:hAnsiTheme="minorHAnsi" w:cs="Times New Roman"/>
                <w:bCs/>
                <w:color w:val="auto"/>
                <w:sz w:val="22"/>
                <w:szCs w:val="22"/>
              </w:rPr>
            </w:pPr>
          </w:p>
        </w:tc>
        <w:tc>
          <w:tcPr>
            <w:tcW w:w="6300" w:type="dxa"/>
          </w:tcPr>
          <w:p w14:paraId="58362CDC" w14:textId="77777777" w:rsidR="00D25D7C" w:rsidRPr="00705BB3" w:rsidRDefault="00D25D7C" w:rsidP="00063301">
            <w:pPr>
              <w:widowControl w:val="0"/>
              <w:rPr>
                <w:rFonts w:asciiTheme="minorHAnsi" w:hAnsiTheme="minorHAnsi" w:cs="Times New Roman"/>
                <w:bCs/>
                <w:color w:val="auto"/>
                <w:sz w:val="22"/>
                <w:szCs w:val="22"/>
              </w:rPr>
            </w:pPr>
          </w:p>
        </w:tc>
        <w:tc>
          <w:tcPr>
            <w:tcW w:w="2538" w:type="dxa"/>
          </w:tcPr>
          <w:p w14:paraId="3163CFDC" w14:textId="77777777" w:rsidR="00D25D7C" w:rsidRPr="00705BB3" w:rsidRDefault="00D25D7C" w:rsidP="00063301">
            <w:pPr>
              <w:widowControl w:val="0"/>
              <w:rPr>
                <w:rFonts w:asciiTheme="minorHAnsi" w:hAnsiTheme="minorHAnsi" w:cs="Times New Roman"/>
                <w:bCs/>
                <w:color w:val="auto"/>
                <w:sz w:val="22"/>
                <w:szCs w:val="22"/>
              </w:rPr>
            </w:pPr>
          </w:p>
        </w:tc>
      </w:tr>
    </w:tbl>
    <w:p w14:paraId="7E3A382B" w14:textId="77777777" w:rsidR="00866825" w:rsidRPr="006C43BC" w:rsidRDefault="00866825" w:rsidP="003E1E03">
      <w:pPr>
        <w:widowControl w:val="0"/>
        <w:rPr>
          <w:rFonts w:asciiTheme="minorHAnsi" w:hAnsiTheme="minorHAnsi" w:cs="Times New Roman"/>
          <w:b/>
          <w:bCs/>
          <w:color w:val="264D74"/>
        </w:rPr>
      </w:pPr>
    </w:p>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A7A">
        <w:tc>
          <w:tcPr>
            <w:tcW w:w="738" w:type="dxa"/>
            <w:shd w:val="clear" w:color="auto" w:fill="DCDCFF"/>
          </w:tcPr>
          <w:p w14:paraId="305E9470" w14:textId="77777777" w:rsidR="007D62B4" w:rsidRPr="006C43BC" w:rsidRDefault="007D62B4" w:rsidP="0006330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377164A7" w14:textId="77777777" w:rsidR="007D62B4" w:rsidRPr="006C43BC" w:rsidRDefault="007D62B4" w:rsidP="00063301">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7D62B4">
        <w:tc>
          <w:tcPr>
            <w:tcW w:w="738" w:type="dxa"/>
          </w:tcPr>
          <w:p w14:paraId="7368609A" w14:textId="77777777" w:rsidR="007D62B4" w:rsidRPr="00705BB3" w:rsidRDefault="007D62B4" w:rsidP="00063301">
            <w:pPr>
              <w:widowControl w:val="0"/>
              <w:rPr>
                <w:rFonts w:asciiTheme="minorHAnsi" w:hAnsiTheme="minorHAnsi" w:cs="Times New Roman"/>
                <w:bCs/>
                <w:color w:val="auto"/>
                <w:sz w:val="22"/>
                <w:szCs w:val="22"/>
              </w:rPr>
            </w:pPr>
          </w:p>
        </w:tc>
        <w:tc>
          <w:tcPr>
            <w:tcW w:w="10260" w:type="dxa"/>
          </w:tcPr>
          <w:p w14:paraId="064EDF2C" w14:textId="77777777" w:rsidR="007D62B4" w:rsidRPr="00705BB3" w:rsidRDefault="007D62B4" w:rsidP="00063301">
            <w:pPr>
              <w:widowControl w:val="0"/>
              <w:rPr>
                <w:rFonts w:asciiTheme="minorHAnsi" w:hAnsiTheme="minorHAnsi" w:cs="Times New Roman"/>
                <w:bCs/>
                <w:color w:val="auto"/>
                <w:sz w:val="22"/>
                <w:szCs w:val="22"/>
              </w:rPr>
            </w:pPr>
          </w:p>
        </w:tc>
      </w:tr>
      <w:tr w:rsidR="00705BB3" w:rsidRPr="00705BB3" w14:paraId="7625AC9A" w14:textId="77777777" w:rsidTr="007D62B4">
        <w:tc>
          <w:tcPr>
            <w:tcW w:w="738" w:type="dxa"/>
          </w:tcPr>
          <w:p w14:paraId="5D6B5B31" w14:textId="77777777" w:rsidR="007D62B4" w:rsidRPr="00705BB3" w:rsidRDefault="007D62B4" w:rsidP="00063301">
            <w:pPr>
              <w:widowControl w:val="0"/>
              <w:rPr>
                <w:rFonts w:asciiTheme="minorHAnsi" w:hAnsiTheme="minorHAnsi" w:cs="Times New Roman"/>
                <w:bCs/>
                <w:color w:val="auto"/>
                <w:sz w:val="22"/>
                <w:szCs w:val="22"/>
              </w:rPr>
            </w:pPr>
          </w:p>
        </w:tc>
        <w:tc>
          <w:tcPr>
            <w:tcW w:w="10260" w:type="dxa"/>
          </w:tcPr>
          <w:p w14:paraId="7A966175" w14:textId="77777777" w:rsidR="007D62B4" w:rsidRPr="00705BB3" w:rsidRDefault="007D62B4" w:rsidP="00063301">
            <w:pPr>
              <w:widowControl w:val="0"/>
              <w:rPr>
                <w:rFonts w:asciiTheme="minorHAnsi" w:hAnsiTheme="minorHAnsi" w:cs="Times New Roman"/>
                <w:bCs/>
                <w:color w:val="auto"/>
                <w:sz w:val="22"/>
                <w:szCs w:val="22"/>
              </w:rPr>
            </w:pPr>
          </w:p>
        </w:tc>
      </w:tr>
      <w:tr w:rsidR="00705BB3" w:rsidRPr="00705BB3" w14:paraId="46B46C14" w14:textId="77777777" w:rsidTr="007D62B4">
        <w:tc>
          <w:tcPr>
            <w:tcW w:w="738" w:type="dxa"/>
          </w:tcPr>
          <w:p w14:paraId="1E5B8DC1" w14:textId="77777777" w:rsidR="007D62B4" w:rsidRPr="00705BB3" w:rsidRDefault="007D62B4" w:rsidP="00063301">
            <w:pPr>
              <w:widowControl w:val="0"/>
              <w:rPr>
                <w:rFonts w:asciiTheme="minorHAnsi" w:hAnsiTheme="minorHAnsi" w:cs="Times New Roman"/>
                <w:bCs/>
                <w:color w:val="auto"/>
                <w:sz w:val="22"/>
                <w:szCs w:val="22"/>
              </w:rPr>
            </w:pPr>
          </w:p>
        </w:tc>
        <w:tc>
          <w:tcPr>
            <w:tcW w:w="10260" w:type="dxa"/>
          </w:tcPr>
          <w:p w14:paraId="3959D7B1" w14:textId="77777777" w:rsidR="007D62B4" w:rsidRPr="00705BB3" w:rsidRDefault="007D62B4" w:rsidP="00063301">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063301">
        <w:tc>
          <w:tcPr>
            <w:tcW w:w="738" w:type="dxa"/>
            <w:shd w:val="clear" w:color="auto" w:fill="DCDCFF"/>
          </w:tcPr>
          <w:p w14:paraId="1705AC1E" w14:textId="77777777" w:rsidR="00CF0C11" w:rsidRPr="006C43BC" w:rsidRDefault="00CF0C11" w:rsidP="0006330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063301">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063301">
        <w:tc>
          <w:tcPr>
            <w:tcW w:w="738" w:type="dxa"/>
          </w:tcPr>
          <w:p w14:paraId="5B0DDD23" w14:textId="77777777" w:rsidR="00CF0C11" w:rsidRPr="00705BB3" w:rsidRDefault="00CF0C11" w:rsidP="00063301">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063301">
            <w:pPr>
              <w:widowControl w:val="0"/>
              <w:rPr>
                <w:rFonts w:asciiTheme="minorHAnsi" w:hAnsiTheme="minorHAnsi" w:cs="Times New Roman"/>
                <w:bCs/>
                <w:color w:val="auto"/>
                <w:sz w:val="22"/>
                <w:szCs w:val="22"/>
              </w:rPr>
            </w:pPr>
          </w:p>
        </w:tc>
      </w:tr>
      <w:tr w:rsidR="00CF0C11" w:rsidRPr="00705BB3" w14:paraId="3F9C165E" w14:textId="77777777" w:rsidTr="00063301">
        <w:tc>
          <w:tcPr>
            <w:tcW w:w="738" w:type="dxa"/>
          </w:tcPr>
          <w:p w14:paraId="380628B4" w14:textId="77777777" w:rsidR="00CF0C11" w:rsidRPr="00705BB3" w:rsidRDefault="00CF0C11" w:rsidP="00063301">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063301">
            <w:pPr>
              <w:widowControl w:val="0"/>
              <w:rPr>
                <w:rFonts w:asciiTheme="minorHAnsi" w:hAnsiTheme="minorHAnsi" w:cs="Times New Roman"/>
                <w:bCs/>
                <w:color w:val="auto"/>
                <w:sz w:val="22"/>
                <w:szCs w:val="22"/>
              </w:rPr>
            </w:pPr>
          </w:p>
        </w:tc>
      </w:tr>
      <w:tr w:rsidR="00CF0C11" w:rsidRPr="00705BB3" w14:paraId="62C2AA85" w14:textId="77777777" w:rsidTr="00063301">
        <w:tc>
          <w:tcPr>
            <w:tcW w:w="738" w:type="dxa"/>
          </w:tcPr>
          <w:p w14:paraId="6212F2C8" w14:textId="77777777" w:rsidR="00CF0C11" w:rsidRPr="00705BB3" w:rsidRDefault="00CF0C11" w:rsidP="00063301">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063301">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063301">
        <w:tc>
          <w:tcPr>
            <w:tcW w:w="738" w:type="dxa"/>
            <w:shd w:val="clear" w:color="auto" w:fill="DCDCFF"/>
          </w:tcPr>
          <w:p w14:paraId="6DDF3CDD" w14:textId="77777777" w:rsidR="00CF0C11" w:rsidRPr="006C43BC" w:rsidRDefault="00CF0C11" w:rsidP="00063301">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063301">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063301">
        <w:tc>
          <w:tcPr>
            <w:tcW w:w="738" w:type="dxa"/>
          </w:tcPr>
          <w:p w14:paraId="045FC0FC" w14:textId="77777777" w:rsidR="00CF0C11" w:rsidRPr="00705BB3" w:rsidRDefault="00CF0C11" w:rsidP="00063301">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063301">
            <w:pPr>
              <w:widowControl w:val="0"/>
              <w:rPr>
                <w:rFonts w:asciiTheme="minorHAnsi" w:hAnsiTheme="minorHAnsi" w:cs="Times New Roman"/>
                <w:bCs/>
                <w:color w:val="auto"/>
                <w:sz w:val="22"/>
                <w:szCs w:val="22"/>
              </w:rPr>
            </w:pPr>
          </w:p>
        </w:tc>
      </w:tr>
      <w:tr w:rsidR="00CF0C11" w:rsidRPr="00705BB3" w14:paraId="4FB9D4F5" w14:textId="77777777" w:rsidTr="00063301">
        <w:tc>
          <w:tcPr>
            <w:tcW w:w="738" w:type="dxa"/>
          </w:tcPr>
          <w:p w14:paraId="119DFDBE" w14:textId="77777777" w:rsidR="00CF0C11" w:rsidRPr="00705BB3" w:rsidRDefault="00CF0C11" w:rsidP="00063301">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063301">
            <w:pPr>
              <w:widowControl w:val="0"/>
              <w:rPr>
                <w:rFonts w:asciiTheme="minorHAnsi" w:hAnsiTheme="minorHAnsi" w:cs="Times New Roman"/>
                <w:bCs/>
                <w:color w:val="auto"/>
                <w:sz w:val="22"/>
                <w:szCs w:val="22"/>
              </w:rPr>
            </w:pPr>
          </w:p>
        </w:tc>
      </w:tr>
      <w:tr w:rsidR="00CF0C11" w:rsidRPr="00705BB3" w14:paraId="710E0EA1" w14:textId="77777777" w:rsidTr="00063301">
        <w:tc>
          <w:tcPr>
            <w:tcW w:w="738" w:type="dxa"/>
          </w:tcPr>
          <w:p w14:paraId="272BA52E" w14:textId="77777777" w:rsidR="00CF0C11" w:rsidRPr="00705BB3" w:rsidRDefault="00CF0C11" w:rsidP="00063301">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063301">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1"/>
    </w:p>
    <w:p w14:paraId="4CA740F2" w14:textId="08F22A3D" w:rsidR="00FB4078" w:rsidRPr="00572062" w:rsidRDefault="00572062" w:rsidP="00145977">
      <w:pPr>
        <w:pStyle w:val="Requirement"/>
        <w:numPr>
          <w:ilvl w:val="0"/>
          <w:numId w:val="5"/>
        </w:numPr>
        <w:tabs>
          <w:tab w:val="clear" w:pos="576"/>
          <w:tab w:val="num" w:pos="0"/>
        </w:tabs>
        <w:ind w:left="0" w:firstLine="0"/>
        <w:rPr>
          <w:rFonts w:asciiTheme="minorHAnsi" w:hAnsiTheme="minorHAnsi"/>
          <w:i/>
          <w:sz w:val="22"/>
          <w:szCs w:val="22"/>
        </w:rPr>
      </w:pPr>
      <w:r w:rsidRPr="00572062">
        <w:rPr>
          <w:rFonts w:asciiTheme="minorHAnsi" w:hAnsiTheme="minorHAnsi"/>
          <w:sz w:val="22"/>
          <w:szCs w:val="22"/>
        </w:rPr>
        <w:t xml:space="preserve">  </w:t>
      </w:r>
      <w:r w:rsidR="00FB4078" w:rsidRPr="00572062">
        <w:rPr>
          <w:rFonts w:asciiTheme="minorHAnsi" w:hAnsiTheme="minorHAnsi"/>
          <w:sz w:val="22"/>
          <w:szCs w:val="22"/>
        </w:rPr>
        <w:t>The Generator Operator shall operate each generator connected to the interconnected transmission system in the automatic voltage control mode (with its automatic voltage regulator (AVR) in service and controlling voltage) or in a different control mode, as instructed by the Transmission Operator unless</w:t>
      </w:r>
      <w:r w:rsidR="00644AD6">
        <w:rPr>
          <w:rFonts w:asciiTheme="minorHAnsi" w:hAnsiTheme="minorHAnsi"/>
          <w:sz w:val="22"/>
          <w:szCs w:val="22"/>
        </w:rPr>
        <w:t>:</w:t>
      </w:r>
      <w:r w:rsidR="00FB4078" w:rsidRPr="00572062">
        <w:rPr>
          <w:rFonts w:asciiTheme="minorHAnsi" w:hAnsiTheme="minorHAnsi"/>
          <w:sz w:val="22"/>
          <w:szCs w:val="22"/>
        </w:rPr>
        <w:t xml:space="preserve">  1) the generator is exempted by the Transmission Operator, or 2) the Generator Operator has notified the Transmission Operator of one of the following:  </w:t>
      </w:r>
    </w:p>
    <w:p w14:paraId="47735CA1" w14:textId="77777777" w:rsidR="00FB4078" w:rsidRPr="00572062" w:rsidRDefault="00FB4078" w:rsidP="00145977">
      <w:pPr>
        <w:pStyle w:val="Requirement"/>
        <w:numPr>
          <w:ilvl w:val="0"/>
          <w:numId w:val="6"/>
        </w:numPr>
        <w:tabs>
          <w:tab w:val="left" w:pos="720"/>
        </w:tabs>
        <w:ind w:hanging="306"/>
        <w:rPr>
          <w:rFonts w:asciiTheme="minorHAnsi" w:hAnsiTheme="minorHAnsi"/>
          <w:sz w:val="22"/>
          <w:szCs w:val="22"/>
        </w:rPr>
      </w:pPr>
      <w:r w:rsidRPr="00572062">
        <w:rPr>
          <w:rFonts w:asciiTheme="minorHAnsi" w:hAnsiTheme="minorHAnsi"/>
          <w:sz w:val="22"/>
          <w:szCs w:val="22"/>
        </w:rPr>
        <w:t>That the generator is being operated in start-up,</w:t>
      </w:r>
      <w:r w:rsidRPr="00572062">
        <w:rPr>
          <w:rFonts w:asciiTheme="minorHAnsi" w:hAnsiTheme="minorHAnsi"/>
          <w:sz w:val="22"/>
          <w:szCs w:val="22"/>
          <w:vertAlign w:val="superscript"/>
        </w:rPr>
        <w:footnoteReference w:id="3"/>
      </w:r>
      <w:r w:rsidRPr="00572062">
        <w:rPr>
          <w:rFonts w:asciiTheme="minorHAnsi" w:hAnsiTheme="minorHAnsi"/>
          <w:sz w:val="22"/>
          <w:szCs w:val="22"/>
        </w:rPr>
        <w:t xml:space="preserve"> shutdown,</w:t>
      </w:r>
      <w:r w:rsidRPr="00572062">
        <w:rPr>
          <w:rFonts w:asciiTheme="minorHAnsi" w:hAnsiTheme="minorHAnsi"/>
          <w:sz w:val="22"/>
          <w:szCs w:val="22"/>
          <w:vertAlign w:val="superscript"/>
        </w:rPr>
        <w:footnoteReference w:id="4"/>
      </w:r>
      <w:r w:rsidRPr="00572062">
        <w:rPr>
          <w:rFonts w:asciiTheme="minorHAnsi" w:hAnsiTheme="minorHAnsi"/>
          <w:sz w:val="22"/>
          <w:szCs w:val="22"/>
        </w:rPr>
        <w:t xml:space="preserve"> or testing mode pursuant to a Real-time communication or a procedure that was previously provided to the Transmission Operator; or</w:t>
      </w:r>
    </w:p>
    <w:p w14:paraId="2FB568BA" w14:textId="24219899" w:rsidR="00FB4078" w:rsidRDefault="00FB4078" w:rsidP="00145977">
      <w:pPr>
        <w:pStyle w:val="Requirement"/>
        <w:numPr>
          <w:ilvl w:val="0"/>
          <w:numId w:val="6"/>
        </w:numPr>
        <w:tabs>
          <w:tab w:val="left" w:pos="720"/>
        </w:tabs>
        <w:ind w:hanging="306"/>
        <w:rPr>
          <w:rFonts w:asciiTheme="minorHAnsi" w:hAnsiTheme="minorHAnsi"/>
          <w:sz w:val="22"/>
          <w:szCs w:val="22"/>
        </w:rPr>
      </w:pPr>
      <w:r w:rsidRPr="00572062">
        <w:rPr>
          <w:rFonts w:asciiTheme="minorHAnsi" w:hAnsiTheme="minorHAnsi"/>
          <w:sz w:val="22"/>
          <w:szCs w:val="22"/>
        </w:rPr>
        <w:t>That the generator is not being operated in</w:t>
      </w:r>
      <w:r w:rsidR="00644AD6">
        <w:rPr>
          <w:rFonts w:asciiTheme="minorHAnsi" w:hAnsiTheme="minorHAnsi"/>
          <w:sz w:val="22"/>
          <w:szCs w:val="22"/>
        </w:rPr>
        <w:t xml:space="preserve"> automatic voltage</w:t>
      </w:r>
      <w:r w:rsidRPr="00572062">
        <w:rPr>
          <w:rFonts w:asciiTheme="minorHAnsi" w:hAnsiTheme="minorHAnsi"/>
          <w:sz w:val="22"/>
          <w:szCs w:val="22"/>
        </w:rPr>
        <w:t xml:space="preserve"> control mode </w:t>
      </w:r>
      <w:r w:rsidR="00644AD6">
        <w:rPr>
          <w:rFonts w:asciiTheme="minorHAnsi" w:hAnsiTheme="minorHAnsi"/>
          <w:sz w:val="22"/>
          <w:szCs w:val="22"/>
        </w:rPr>
        <w:t xml:space="preserve">or in the control mode </w:t>
      </w:r>
      <w:r w:rsidRPr="00572062">
        <w:rPr>
          <w:rFonts w:asciiTheme="minorHAnsi" w:hAnsiTheme="minorHAnsi"/>
          <w:sz w:val="22"/>
          <w:szCs w:val="22"/>
        </w:rPr>
        <w:t>that was instructed by the Transmission Operator for a reason other than start-up, shutdown, or testing.</w:t>
      </w:r>
    </w:p>
    <w:p w14:paraId="097E0D68" w14:textId="77777777" w:rsidR="00572062" w:rsidRPr="00572062" w:rsidRDefault="00572062" w:rsidP="00572062">
      <w:pPr>
        <w:pStyle w:val="Requirement"/>
        <w:numPr>
          <w:ilvl w:val="0"/>
          <w:numId w:val="0"/>
        </w:numPr>
        <w:tabs>
          <w:tab w:val="left" w:pos="720"/>
        </w:tabs>
        <w:ind w:left="1296"/>
        <w:rPr>
          <w:rFonts w:asciiTheme="minorHAnsi" w:hAnsiTheme="minorHAnsi"/>
          <w:sz w:val="22"/>
          <w:szCs w:val="22"/>
        </w:rPr>
      </w:pPr>
    </w:p>
    <w:p w14:paraId="5D7F720C" w14:textId="2817DB42" w:rsidR="00FB4078" w:rsidRPr="00572062" w:rsidRDefault="00572062" w:rsidP="00145977">
      <w:pPr>
        <w:numPr>
          <w:ilvl w:val="0"/>
          <w:numId w:val="3"/>
        </w:numPr>
        <w:tabs>
          <w:tab w:val="clear" w:pos="576"/>
          <w:tab w:val="num" w:pos="0"/>
        </w:tabs>
        <w:autoSpaceDE/>
        <w:adjustRightInd/>
        <w:spacing w:after="120"/>
        <w:ind w:left="0" w:firstLine="0"/>
        <w:rPr>
          <w:rFonts w:asciiTheme="minorHAnsi" w:hAnsiTheme="minorHAnsi"/>
          <w:sz w:val="22"/>
          <w:szCs w:val="22"/>
        </w:rPr>
      </w:pPr>
      <w:r w:rsidRPr="00572062">
        <w:rPr>
          <w:rFonts w:asciiTheme="minorHAnsi" w:hAnsiTheme="minorHAnsi"/>
          <w:sz w:val="22"/>
          <w:szCs w:val="22"/>
        </w:rPr>
        <w:t xml:space="preserve">  </w:t>
      </w:r>
      <w:r w:rsidR="00FB4078" w:rsidRPr="00572062">
        <w:rPr>
          <w:rFonts w:asciiTheme="minorHAnsi" w:hAnsiTheme="minorHAnsi"/>
          <w:sz w:val="22"/>
          <w:szCs w:val="22"/>
        </w:rPr>
        <w:t>The Generator Operator shall have evidence to show that it notified its associated Transmission Operator any time it failed to operate a generator in the automatic voltage control mode or a different control mode as specified in Requirement R1. If a generator is being started up or shut down with the automatic voltage control off, or is being tested, and no notification of the AVR status is made to the Transmission Operator, the Generator Operator will have evidence that it notified the Transmission Operator of its procedure for placing the unit into automatic voltage control mode as required in Requirement R1. Such evidence may include, but is not limited to, dated evidence of transmittal of the procedure such as an electronic message or a transmittal letter with the procedure included or attached.   If a generator is exempted, the Generator Operator shall also have evidence that the generator is exempted from being in automatic voltage control mode (with its AVR in service and controlling voltage).</w:t>
      </w:r>
    </w:p>
    <w:p w14:paraId="33738AAE" w14:textId="77777777" w:rsidR="00895015" w:rsidRPr="006C43BC" w:rsidRDefault="00895015" w:rsidP="00680C03">
      <w:pPr>
        <w:rPr>
          <w:rFonts w:asciiTheme="minorHAnsi" w:hAnsiTheme="minorHAnsi" w:cs="Times New Roman"/>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063301">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063301">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063301">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063301">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49B95D58"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3818D1">
        <w:t>VAR-002-4.1</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87711CF" w14:textId="77777777" w:rsidTr="00D25D7C">
        <w:tc>
          <w:tcPr>
            <w:tcW w:w="374" w:type="dxa"/>
          </w:tcPr>
          <w:p w14:paraId="10CC5FD1" w14:textId="77777777" w:rsidR="00C1568A" w:rsidRPr="00D25D7C" w:rsidRDefault="00C1568A" w:rsidP="0006330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B8495E4" w14:textId="6B3AC88B" w:rsidR="00C1568A" w:rsidRPr="00D25D7C" w:rsidRDefault="00D25D7C" w:rsidP="0006330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FB4078">
              <w:rPr>
                <w:rFonts w:asciiTheme="minorHAnsi" w:hAnsiTheme="minorHAnsi" w:cs="Times New Roman"/>
                <w:color w:val="auto"/>
              </w:rPr>
              <w:t>For instances where entity did not operate a generator in automatic voltage control mode or in a different control mode, as instructed by the Transmission Operator, ensure notification was given to the Transmission Operator in accordance with Requirement R1.</w:t>
            </w:r>
          </w:p>
        </w:tc>
      </w:tr>
      <w:tr w:rsidR="00C1568A" w:rsidRPr="006C43BC" w14:paraId="431903D7" w14:textId="77777777" w:rsidTr="00D25D7C">
        <w:tc>
          <w:tcPr>
            <w:tcW w:w="10790" w:type="dxa"/>
            <w:gridSpan w:val="2"/>
            <w:shd w:val="clear" w:color="auto" w:fill="DCDCFF"/>
          </w:tcPr>
          <w:p w14:paraId="70568AD5" w14:textId="37E7F502" w:rsidR="00C1568A" w:rsidRPr="006C43BC" w:rsidRDefault="00C1568A" w:rsidP="00340F3B">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FB4078">
              <w:rPr>
                <w:rFonts w:asciiTheme="minorHAnsi" w:hAnsiTheme="minorHAnsi" w:cs="Times New Roman"/>
                <w:bCs/>
                <w:color w:val="auto"/>
              </w:rPr>
              <w:t xml:space="preserve">Auditors can identify instances where entities did not operate generators in automatic voltage control mode, or in a different control mode, as instructed by the Transmission Operator, through their general knowledge of the interconnected transmission system in the entity’s area. Auditor knowledge is obtained through activities such as conversations with the entity under audit or the Transmission Operator, and an awareness of events occurring on the interconnected transmission system. In situations where the entity’s compliance with this requirement poses little risk to the BES, conversations with other entities, such as Transmission Operators, is most likely not necessary.   </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941AA0" w14:textId="444B7E42" w:rsidR="00D97E2A" w:rsidRDefault="001B3582" w:rsidP="00DB1F76">
      <w:pPr>
        <w:pStyle w:val="SectHead"/>
      </w:pPr>
      <w:r w:rsidRPr="006C43BC">
        <w:lastRenderedPageBreak/>
        <w:t>R</w:t>
      </w:r>
      <w:r>
        <w:t>2</w:t>
      </w:r>
      <w:r w:rsidRPr="006C43BC">
        <w:t xml:space="preserve"> Supporting Evidence and Documentation</w:t>
      </w:r>
    </w:p>
    <w:p w14:paraId="7967F203" w14:textId="246E63C7" w:rsidR="00672145" w:rsidRPr="00572062" w:rsidRDefault="00572062" w:rsidP="00145977">
      <w:pPr>
        <w:pStyle w:val="Requirement"/>
        <w:numPr>
          <w:ilvl w:val="0"/>
          <w:numId w:val="5"/>
        </w:numPr>
        <w:tabs>
          <w:tab w:val="clear" w:pos="576"/>
          <w:tab w:val="num" w:pos="0"/>
        </w:tabs>
        <w:ind w:left="0" w:firstLine="0"/>
        <w:rPr>
          <w:rFonts w:ascii="Calibri" w:hAnsi="Calibri"/>
          <w:i/>
          <w:sz w:val="22"/>
          <w:szCs w:val="22"/>
        </w:rPr>
      </w:pPr>
      <w:r>
        <w:rPr>
          <w:rFonts w:ascii="Calibri" w:hAnsi="Calibri"/>
          <w:sz w:val="22"/>
          <w:szCs w:val="22"/>
        </w:rPr>
        <w:t xml:space="preserve">  </w:t>
      </w:r>
      <w:r w:rsidR="00672145" w:rsidRPr="00572062">
        <w:rPr>
          <w:rFonts w:ascii="Calibri" w:hAnsi="Calibri"/>
          <w:sz w:val="22"/>
          <w:szCs w:val="22"/>
        </w:rPr>
        <w:t>Unless exempted by the Transmission Operator, each Generator Operator shall maintain the generator voltage or Reactive Power schedule</w:t>
      </w:r>
      <w:r w:rsidR="00672145" w:rsidRPr="00572062">
        <w:rPr>
          <w:rStyle w:val="FootnoteReference"/>
          <w:rFonts w:ascii="Calibri" w:hAnsi="Calibri"/>
          <w:sz w:val="22"/>
          <w:szCs w:val="22"/>
        </w:rPr>
        <w:footnoteReference w:id="5"/>
      </w:r>
      <w:r w:rsidR="00672145" w:rsidRPr="00572062">
        <w:rPr>
          <w:rFonts w:ascii="Calibri" w:hAnsi="Calibri"/>
          <w:sz w:val="22"/>
          <w:szCs w:val="22"/>
        </w:rPr>
        <w:t xml:space="preserve"> (within each generating Facility’s capabilities</w:t>
      </w:r>
      <w:r w:rsidR="00672145" w:rsidRPr="00572062">
        <w:rPr>
          <w:rStyle w:val="FootnoteReference"/>
          <w:rFonts w:ascii="Calibri" w:hAnsi="Calibri"/>
          <w:sz w:val="22"/>
          <w:szCs w:val="22"/>
        </w:rPr>
        <w:footnoteReference w:id="6"/>
      </w:r>
      <w:r w:rsidR="00672145" w:rsidRPr="00572062">
        <w:rPr>
          <w:rFonts w:ascii="Calibri" w:hAnsi="Calibri"/>
          <w:sz w:val="22"/>
          <w:szCs w:val="22"/>
        </w:rPr>
        <w:t xml:space="preserve">) provided by the Transmission Operator, or otherwise shall meet the conditions of notification for deviations from the voltage or Reactive Power schedule provided by the Transmission Operator. </w:t>
      </w:r>
    </w:p>
    <w:p w14:paraId="23BC6383" w14:textId="77777777" w:rsidR="00672145" w:rsidRPr="00572062" w:rsidRDefault="00672145" w:rsidP="00145977">
      <w:pPr>
        <w:pStyle w:val="Requirement"/>
        <w:numPr>
          <w:ilvl w:val="1"/>
          <w:numId w:val="4"/>
        </w:numPr>
        <w:rPr>
          <w:rFonts w:ascii="Calibri" w:hAnsi="Calibri"/>
          <w:sz w:val="22"/>
          <w:szCs w:val="22"/>
        </w:rPr>
      </w:pPr>
      <w:r w:rsidRPr="00572062">
        <w:rPr>
          <w:rFonts w:ascii="Calibri" w:hAnsi="Calibri"/>
          <w:sz w:val="22"/>
          <w:szCs w:val="22"/>
        </w:rPr>
        <w:t>When a generator’s AVR is out of service</w:t>
      </w:r>
      <w:r w:rsidRPr="00572062">
        <w:rPr>
          <w:sz w:val="22"/>
          <w:szCs w:val="22"/>
        </w:rPr>
        <w:t xml:space="preserve"> </w:t>
      </w:r>
      <w:r w:rsidRPr="00572062">
        <w:rPr>
          <w:rFonts w:ascii="Calibri" w:hAnsi="Calibri"/>
          <w:sz w:val="22"/>
          <w:szCs w:val="22"/>
        </w:rPr>
        <w:t>or the generator does not have an AVR, the Generator Operator shall use an alternative method to control the generator reactive output to meet the voltage or Reactive Power schedule provided by the Transmission Operator.</w:t>
      </w:r>
    </w:p>
    <w:p w14:paraId="0D426D56" w14:textId="77777777" w:rsidR="00672145" w:rsidRPr="00572062" w:rsidRDefault="00672145" w:rsidP="00145977">
      <w:pPr>
        <w:pStyle w:val="Requirement"/>
        <w:numPr>
          <w:ilvl w:val="1"/>
          <w:numId w:val="4"/>
        </w:numPr>
        <w:rPr>
          <w:rFonts w:ascii="Calibri" w:hAnsi="Calibri"/>
          <w:sz w:val="22"/>
          <w:szCs w:val="22"/>
        </w:rPr>
      </w:pPr>
      <w:r w:rsidRPr="00572062">
        <w:rPr>
          <w:rFonts w:ascii="Calibri" w:hAnsi="Calibri"/>
          <w:sz w:val="22"/>
          <w:szCs w:val="22"/>
        </w:rPr>
        <w:t>When instructed to modify voltage, the Generator Operator shall comply or provide an explanation of why the schedule cannot be met.</w:t>
      </w:r>
    </w:p>
    <w:p w14:paraId="4869406D" w14:textId="77777777" w:rsidR="00672145" w:rsidRDefault="00672145" w:rsidP="00145977">
      <w:pPr>
        <w:pStyle w:val="Requirement"/>
        <w:numPr>
          <w:ilvl w:val="1"/>
          <w:numId w:val="4"/>
        </w:numPr>
        <w:rPr>
          <w:rFonts w:ascii="Calibri" w:hAnsi="Calibri"/>
          <w:sz w:val="22"/>
          <w:szCs w:val="22"/>
        </w:rPr>
      </w:pPr>
      <w:r w:rsidRPr="00572062">
        <w:rPr>
          <w:rFonts w:ascii="Calibri" w:hAnsi="Calibri"/>
          <w:sz w:val="22"/>
          <w:szCs w:val="22"/>
        </w:rPr>
        <w:t>Generator Operators that do not monitor the voltage at the location specified in their voltage schedule shall have a methodology for converting the scheduled voltage specified by the Transmission Operator to the voltage point being monitored by the Generator Operator.</w:t>
      </w:r>
    </w:p>
    <w:p w14:paraId="4024F4DF" w14:textId="77777777" w:rsidR="00572062" w:rsidRPr="00572062" w:rsidRDefault="00572062" w:rsidP="00572062">
      <w:pPr>
        <w:pStyle w:val="Requirement"/>
        <w:numPr>
          <w:ilvl w:val="0"/>
          <w:numId w:val="0"/>
        </w:numPr>
        <w:ind w:left="1962"/>
        <w:rPr>
          <w:rFonts w:ascii="Calibri" w:hAnsi="Calibri"/>
          <w:sz w:val="22"/>
          <w:szCs w:val="22"/>
        </w:rPr>
      </w:pPr>
    </w:p>
    <w:p w14:paraId="08D97AAE" w14:textId="11427698" w:rsidR="00672145" w:rsidRPr="00572062" w:rsidRDefault="00572062" w:rsidP="00145977">
      <w:pPr>
        <w:numPr>
          <w:ilvl w:val="0"/>
          <w:numId w:val="3"/>
        </w:numPr>
        <w:tabs>
          <w:tab w:val="clear" w:pos="576"/>
          <w:tab w:val="num" w:pos="0"/>
        </w:tabs>
        <w:autoSpaceDE/>
        <w:adjustRightInd/>
        <w:spacing w:after="120"/>
        <w:ind w:left="0" w:firstLine="0"/>
        <w:rPr>
          <w:rFonts w:ascii="Calibri" w:hAnsi="Calibri"/>
          <w:sz w:val="22"/>
          <w:szCs w:val="22"/>
        </w:rPr>
      </w:pPr>
      <w:r>
        <w:rPr>
          <w:rFonts w:ascii="Calibri" w:hAnsi="Calibri"/>
          <w:sz w:val="22"/>
          <w:szCs w:val="22"/>
        </w:rPr>
        <w:t xml:space="preserve">  </w:t>
      </w:r>
      <w:r w:rsidR="00672145" w:rsidRPr="00572062">
        <w:rPr>
          <w:rFonts w:ascii="Calibri" w:hAnsi="Calibri"/>
          <w:sz w:val="22"/>
          <w:szCs w:val="22"/>
        </w:rPr>
        <w:t xml:space="preserve">In order to identify when a generator is deviating from its schedule, the Generator Operator will monitor voltage based on existing equipment at its Facility. The Generator Operator shall have evidence to show that the generator maintained the voltage or Reactive Power schedule provided by the Transmission Operator, or shall have evidence of meeting the conditions of notification for deviations from the voltage or Reactive Power schedule provided by the Transmission Operator.  Evidence may include, but is not limited to, operator logs, SCADA data, phone logs, and any other notifications that would alert the Transmission Operator or otherwise demonstrate that the Generator Operator complied with the Transmission Operator’s instructions for addressing deviations from the voltage or Reactive Power schedule. </w:t>
      </w:r>
    </w:p>
    <w:p w14:paraId="1A4419F7" w14:textId="673EE65D" w:rsidR="00672145" w:rsidRPr="00572062" w:rsidRDefault="00672145" w:rsidP="0011470E">
      <w:pPr>
        <w:autoSpaceDE/>
        <w:adjustRightInd/>
        <w:spacing w:after="120"/>
        <w:rPr>
          <w:rFonts w:ascii="Calibri" w:hAnsi="Calibri"/>
          <w:sz w:val="22"/>
          <w:szCs w:val="22"/>
        </w:rPr>
      </w:pPr>
      <w:r w:rsidRPr="00572062">
        <w:rPr>
          <w:rFonts w:ascii="Calibri" w:hAnsi="Calibri"/>
          <w:sz w:val="22"/>
          <w:szCs w:val="22"/>
        </w:rPr>
        <w:t xml:space="preserve">For </w:t>
      </w:r>
      <w:r w:rsidR="0011470E">
        <w:rPr>
          <w:rFonts w:ascii="Calibri" w:hAnsi="Calibri"/>
          <w:sz w:val="22"/>
          <w:szCs w:val="22"/>
        </w:rPr>
        <w:t>P</w:t>
      </w:r>
      <w:r w:rsidRPr="00572062">
        <w:rPr>
          <w:rFonts w:ascii="Calibri" w:hAnsi="Calibri"/>
          <w:sz w:val="22"/>
          <w:szCs w:val="22"/>
        </w:rPr>
        <w:t>art 2.1, when a generator’s AVR is out of service or the generator does not have an AVR, a Generator Operator shall have evidence to show an alternative method was used to control the generator reactive output to meet the voltage or Reactive Power schedule provided by the Transmission Operator.</w:t>
      </w:r>
    </w:p>
    <w:p w14:paraId="41A4C769" w14:textId="73185F1D" w:rsidR="00672145" w:rsidRPr="00572062" w:rsidRDefault="00672145" w:rsidP="0011470E">
      <w:pPr>
        <w:autoSpaceDE/>
        <w:adjustRightInd/>
        <w:spacing w:after="120"/>
        <w:rPr>
          <w:rFonts w:ascii="Calibri" w:hAnsi="Calibri"/>
          <w:sz w:val="22"/>
          <w:szCs w:val="22"/>
        </w:rPr>
      </w:pPr>
      <w:r w:rsidRPr="00572062">
        <w:rPr>
          <w:rFonts w:ascii="Calibri" w:hAnsi="Calibri"/>
          <w:sz w:val="22"/>
          <w:szCs w:val="22"/>
        </w:rPr>
        <w:t xml:space="preserve">For </w:t>
      </w:r>
      <w:r w:rsidR="0011470E">
        <w:rPr>
          <w:rFonts w:ascii="Calibri" w:hAnsi="Calibri"/>
          <w:sz w:val="22"/>
          <w:szCs w:val="22"/>
        </w:rPr>
        <w:t>P</w:t>
      </w:r>
      <w:r w:rsidRPr="00572062">
        <w:rPr>
          <w:rFonts w:ascii="Calibri" w:hAnsi="Calibri"/>
          <w:sz w:val="22"/>
          <w:szCs w:val="22"/>
        </w:rPr>
        <w:t>art 2.2, the Generator Operator shall have evidence that it complied with the Transmission Operator’s instructions to modify its voltage or provided an explanation to the Transmission Operator of why the Generator Operator was unable to comply with the instruction.  Evidence may include, but is not limited to, operator logs, SCADA data, and phone logs.</w:t>
      </w:r>
    </w:p>
    <w:p w14:paraId="6982E733" w14:textId="4083D6B7" w:rsidR="00672145" w:rsidRDefault="00672145" w:rsidP="0011470E">
      <w:pPr>
        <w:autoSpaceDE/>
        <w:adjustRightInd/>
        <w:spacing w:after="120"/>
        <w:rPr>
          <w:rFonts w:ascii="Calibri" w:hAnsi="Calibri"/>
          <w:sz w:val="22"/>
          <w:szCs w:val="22"/>
        </w:rPr>
      </w:pPr>
      <w:r w:rsidRPr="00572062">
        <w:rPr>
          <w:rFonts w:ascii="Calibri" w:hAnsi="Calibri"/>
          <w:sz w:val="22"/>
          <w:szCs w:val="22"/>
        </w:rPr>
        <w:t xml:space="preserve">For </w:t>
      </w:r>
      <w:r w:rsidR="0011470E">
        <w:rPr>
          <w:rFonts w:ascii="Calibri" w:hAnsi="Calibri"/>
          <w:sz w:val="22"/>
          <w:szCs w:val="22"/>
        </w:rPr>
        <w:t>P</w:t>
      </w:r>
      <w:r w:rsidRPr="00572062">
        <w:rPr>
          <w:rFonts w:ascii="Calibri" w:hAnsi="Calibri"/>
          <w:sz w:val="22"/>
          <w:szCs w:val="22"/>
        </w:rPr>
        <w:t xml:space="preserve">art 2.3, for Generator Operators that do not monitor the voltage at the location specified on the voltage schedule, the Generator Operator shall </w:t>
      </w:r>
      <w:r w:rsidR="001C6ED7">
        <w:rPr>
          <w:rFonts w:ascii="Calibri" w:hAnsi="Calibri"/>
          <w:sz w:val="22"/>
          <w:szCs w:val="22"/>
        </w:rPr>
        <w:t xml:space="preserve">demonstrate the methodology for converting the scheduled voltage specified by the Transmission Operator to the voltage point being monitored by the Generator Operator. </w:t>
      </w:r>
    </w:p>
    <w:p w14:paraId="64D2E3E7" w14:textId="77777777" w:rsidR="00572062" w:rsidRPr="00572062" w:rsidRDefault="00572062" w:rsidP="00572062">
      <w:pPr>
        <w:autoSpaceDE/>
        <w:adjustRightInd/>
        <w:spacing w:after="120"/>
        <w:rPr>
          <w:rFonts w:ascii="Calibri" w:hAnsi="Calibri"/>
          <w:sz w:val="22"/>
          <w:szCs w:val="22"/>
        </w:rPr>
      </w:pPr>
    </w:p>
    <w:p w14:paraId="3420F65D" w14:textId="77777777" w:rsidR="00672145" w:rsidRDefault="00672145" w:rsidP="00672145">
      <w:pPr>
        <w:rPr>
          <w:rFonts w:asciiTheme="minorHAnsi" w:hAnsiTheme="minorHAnsi" w:cs="Times New Roman"/>
          <w:b/>
        </w:rPr>
      </w:pPr>
      <w:r>
        <w:rPr>
          <w:rFonts w:asciiTheme="minorHAnsi" w:hAnsiTheme="minorHAnsi" w:cs="Times New Roman"/>
          <w:b/>
        </w:rPr>
        <w:t xml:space="preserve">Registered Entity Response </w:t>
      </w:r>
      <w:r>
        <w:rPr>
          <w:rFonts w:asciiTheme="minorHAnsi" w:hAnsiTheme="minorHAnsi" w:cs="Times New Roman"/>
          <w:b/>
          <w:color w:val="FF0000"/>
        </w:rPr>
        <w:t>(Required)</w:t>
      </w:r>
      <w:r>
        <w:rPr>
          <w:rFonts w:asciiTheme="minorHAnsi" w:hAnsiTheme="minorHAnsi" w:cs="Times New Roman"/>
          <w:b/>
        </w:rPr>
        <w:t xml:space="preserve">: </w:t>
      </w:r>
    </w:p>
    <w:p w14:paraId="6F980B13" w14:textId="764297EE" w:rsidR="00672145" w:rsidRDefault="005C0BB7" w:rsidP="00672145">
      <w:pPr>
        <w:rPr>
          <w:rFonts w:asciiTheme="minorHAnsi" w:hAnsiTheme="minorHAnsi" w:cs="Times New Roman"/>
        </w:rPr>
      </w:pPr>
      <w:r>
        <w:rPr>
          <w:rFonts w:asciiTheme="minorHAnsi" w:hAnsiTheme="minorHAnsi" w:cs="Times New Roman"/>
          <w:b/>
        </w:rPr>
        <w:t xml:space="preserve"> </w:t>
      </w:r>
      <w:r w:rsidR="00672145">
        <w:rPr>
          <w:rFonts w:asciiTheme="minorHAnsi" w:hAnsiTheme="minorHAnsi" w:cs="Times New Roman"/>
          <w:b/>
        </w:rPr>
        <w:t xml:space="preserve">Question: </w:t>
      </w:r>
      <w:r w:rsidR="00672145">
        <w:rPr>
          <w:rFonts w:asciiTheme="minorHAnsi" w:hAnsiTheme="minorHAnsi" w:cs="Times New Roman"/>
        </w:rPr>
        <w:t xml:space="preserve">Did entity operate </w:t>
      </w:r>
      <w:r>
        <w:rPr>
          <w:rFonts w:asciiTheme="minorHAnsi" w:hAnsiTheme="minorHAnsi" w:cs="Times New Roman"/>
        </w:rPr>
        <w:t xml:space="preserve">any of </w:t>
      </w:r>
      <w:r w:rsidR="00672145">
        <w:rPr>
          <w:rFonts w:asciiTheme="minorHAnsi" w:hAnsiTheme="minorHAnsi" w:cs="Times New Roman"/>
        </w:rPr>
        <w:t>its generat</w:t>
      </w:r>
      <w:r>
        <w:rPr>
          <w:rFonts w:asciiTheme="minorHAnsi" w:hAnsiTheme="minorHAnsi" w:cs="Times New Roman"/>
        </w:rPr>
        <w:t>i</w:t>
      </w:r>
      <w:r w:rsidR="004037DD">
        <w:rPr>
          <w:rFonts w:asciiTheme="minorHAnsi" w:hAnsiTheme="minorHAnsi" w:cs="Times New Roman"/>
        </w:rPr>
        <w:t>ng Facility</w:t>
      </w:r>
      <w:r>
        <w:rPr>
          <w:rFonts w:asciiTheme="minorHAnsi" w:hAnsiTheme="minorHAnsi" w:cs="Times New Roman"/>
        </w:rPr>
        <w:t xml:space="preserve"> </w:t>
      </w:r>
      <w:r w:rsidR="00672145">
        <w:rPr>
          <w:rFonts w:asciiTheme="minorHAnsi" w:hAnsiTheme="minorHAnsi" w:cs="Times New Roman"/>
        </w:rPr>
        <w:t>with</w:t>
      </w:r>
      <w:r w:rsidR="00127C1C">
        <w:rPr>
          <w:rFonts w:asciiTheme="minorHAnsi" w:hAnsiTheme="minorHAnsi" w:cs="Times New Roman"/>
        </w:rPr>
        <w:t xml:space="preserve">out </w:t>
      </w:r>
      <w:r w:rsidR="002E2EA3">
        <w:rPr>
          <w:rFonts w:asciiTheme="minorHAnsi" w:hAnsiTheme="minorHAnsi" w:cs="Times New Roman"/>
        </w:rPr>
        <w:t>AVR</w:t>
      </w:r>
      <w:r w:rsidR="00127C1C">
        <w:rPr>
          <w:rFonts w:asciiTheme="minorHAnsi" w:hAnsiTheme="minorHAnsi" w:cs="Times New Roman"/>
        </w:rPr>
        <w:t xml:space="preserve"> </w:t>
      </w:r>
      <w:r>
        <w:rPr>
          <w:rFonts w:asciiTheme="minorHAnsi" w:hAnsiTheme="minorHAnsi" w:cs="Times New Roman"/>
        </w:rPr>
        <w:t>during the compliance monitoring period</w:t>
      </w:r>
      <w:r w:rsidR="00672145">
        <w:rPr>
          <w:rFonts w:asciiTheme="minorHAnsi" w:hAnsiTheme="minorHAnsi" w:cs="Times New Roman"/>
        </w:rPr>
        <w:t>?</w:t>
      </w:r>
      <w:r w:rsidR="00672145">
        <w:rPr>
          <w:rFonts w:asciiTheme="minorHAnsi" w:hAnsiTheme="minorHAnsi" w:cs="Times New Roman"/>
          <w:color w:val="auto"/>
          <w:szCs w:val="22"/>
        </w:rPr>
        <w:t xml:space="preserve"> </w:t>
      </w:r>
      <w:sdt>
        <w:sdtPr>
          <w:rPr>
            <w:rFonts w:asciiTheme="minorHAnsi" w:hAnsiTheme="minorHAnsi" w:cs="Times New Roman"/>
          </w:rPr>
          <w:id w:val="833035545"/>
        </w:sdtPr>
        <w:sdtEndPr/>
        <w:sdtContent>
          <w:r w:rsidR="00672145">
            <w:rPr>
              <w:rFonts w:ascii="MS Gothic" w:eastAsia="MS Gothic" w:hAnsi="MS Gothic" w:cs="Times New Roman" w:hint="eastAsia"/>
            </w:rPr>
            <w:t>☐</w:t>
          </w:r>
        </w:sdtContent>
      </w:sdt>
      <w:r w:rsidR="00672145">
        <w:rPr>
          <w:rFonts w:asciiTheme="minorHAnsi" w:hAnsiTheme="minorHAnsi" w:cs="Times New Roman"/>
        </w:rPr>
        <w:t xml:space="preserve"> Yes   </w:t>
      </w:r>
      <w:sdt>
        <w:sdtPr>
          <w:rPr>
            <w:rFonts w:asciiTheme="minorHAnsi" w:hAnsiTheme="minorHAnsi" w:cs="Times New Roman"/>
          </w:rPr>
          <w:id w:val="-1766447557"/>
        </w:sdtPr>
        <w:sdtEndPr/>
        <w:sdtContent>
          <w:r w:rsidR="00672145">
            <w:rPr>
              <w:rFonts w:ascii="MS Gothic" w:eastAsia="MS Gothic" w:hAnsi="MS Gothic" w:cs="Times New Roman" w:hint="eastAsia"/>
            </w:rPr>
            <w:t>☐</w:t>
          </w:r>
        </w:sdtContent>
      </w:sdt>
      <w:r w:rsidR="00672145">
        <w:rPr>
          <w:rFonts w:asciiTheme="minorHAnsi" w:hAnsiTheme="minorHAnsi" w:cs="Times New Roman"/>
        </w:rPr>
        <w:t xml:space="preserve"> No</w:t>
      </w:r>
    </w:p>
    <w:p w14:paraId="36EDC812" w14:textId="2F1CA2DF" w:rsidR="00672145" w:rsidRPr="00063301" w:rsidRDefault="00672145" w:rsidP="00444407">
      <w:pPr>
        <w:pStyle w:val="Requirement"/>
        <w:numPr>
          <w:ilvl w:val="0"/>
          <w:numId w:val="0"/>
        </w:numPr>
        <w:rPr>
          <w:rFonts w:asciiTheme="minorHAnsi" w:hAnsiTheme="minorHAnsi"/>
        </w:rPr>
      </w:pPr>
      <w:r>
        <w:rPr>
          <w:rFonts w:asciiTheme="minorHAnsi" w:hAnsiTheme="minorHAnsi"/>
        </w:rPr>
        <w:t xml:space="preserve">If yes, </w:t>
      </w:r>
      <w:r w:rsidR="005C0BB7">
        <w:rPr>
          <w:rFonts w:asciiTheme="minorHAnsi" w:hAnsiTheme="minorHAnsi"/>
        </w:rPr>
        <w:t>provide evidence that</w:t>
      </w:r>
      <w:r w:rsidR="005C0BB7" w:rsidRPr="005C0BB7">
        <w:rPr>
          <w:rFonts w:ascii="Calibri" w:hAnsi="Calibri"/>
          <w:szCs w:val="22"/>
        </w:rPr>
        <w:t xml:space="preserve"> </w:t>
      </w:r>
      <w:r w:rsidR="005C0BB7">
        <w:rPr>
          <w:rFonts w:ascii="Calibri" w:hAnsi="Calibri"/>
          <w:szCs w:val="22"/>
        </w:rPr>
        <w:t>Generator Operator used an alternative method to control the generator reactive output to meet the voltage or Reactive Power schedule provided by the Transmission Operator.</w:t>
      </w:r>
    </w:p>
    <w:p w14:paraId="5B21313B" w14:textId="34CEA134" w:rsidR="00672145" w:rsidRDefault="00672145" w:rsidP="00672145">
      <w:pPr>
        <w:rPr>
          <w:rFonts w:asciiTheme="minorHAnsi" w:hAnsiTheme="minorHAnsi" w:cs="Times New Roman"/>
        </w:rPr>
      </w:pPr>
      <w:r>
        <w:rPr>
          <w:rFonts w:asciiTheme="minorHAnsi" w:hAnsiTheme="minorHAnsi" w:cs="Times New Roman"/>
        </w:rPr>
        <w:lastRenderedPageBreak/>
        <w:t xml:space="preserve">If </w:t>
      </w:r>
      <w:r w:rsidR="005C0BB7">
        <w:rPr>
          <w:rFonts w:asciiTheme="minorHAnsi" w:hAnsiTheme="minorHAnsi" w:cs="Times New Roman"/>
        </w:rPr>
        <w:t>N</w:t>
      </w:r>
      <w:r>
        <w:rPr>
          <w:rFonts w:asciiTheme="minorHAnsi" w:hAnsiTheme="minorHAnsi" w:cs="Times New Roman"/>
        </w:rPr>
        <w:t>o, Requirement R2</w:t>
      </w:r>
      <w:r w:rsidR="005C0BB7">
        <w:rPr>
          <w:rFonts w:asciiTheme="minorHAnsi" w:hAnsiTheme="minorHAnsi" w:cs="Times New Roman"/>
        </w:rPr>
        <w:t>.1</w:t>
      </w:r>
      <w:r>
        <w:rPr>
          <w:rFonts w:asciiTheme="minorHAnsi" w:hAnsiTheme="minorHAnsi" w:cs="Times New Roman"/>
        </w:rPr>
        <w:t xml:space="preserve"> is not applicable.</w:t>
      </w:r>
    </w:p>
    <w:p w14:paraId="7D3B1E8B" w14:textId="77777777" w:rsidR="00E66B63" w:rsidRDefault="00E66B63" w:rsidP="00672145">
      <w:pPr>
        <w:autoSpaceDE/>
        <w:autoSpaceDN/>
        <w:adjustRightInd/>
        <w:rPr>
          <w:rFonts w:asciiTheme="minorHAnsi" w:hAnsiTheme="minorHAnsi" w:cs="Times New Roman"/>
        </w:rPr>
      </w:pPr>
    </w:p>
    <w:p w14:paraId="509DF4A1" w14:textId="77777777" w:rsidR="00672145" w:rsidRPr="00557049" w:rsidRDefault="00672145" w:rsidP="00672145">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56BEB601" w14:textId="77777777" w:rsidR="00672145" w:rsidRPr="00705BB3" w:rsidRDefault="00672145" w:rsidP="00672145">
      <w:pPr>
        <w:widowControl w:val="0"/>
        <w:shd w:val="clear" w:color="auto" w:fill="CDFFCD"/>
        <w:jc w:val="both"/>
        <w:rPr>
          <w:rFonts w:asciiTheme="minorHAnsi" w:hAnsiTheme="minorHAnsi" w:cs="Times New Roman"/>
          <w:bCs/>
          <w:color w:val="auto"/>
          <w:sz w:val="22"/>
          <w:szCs w:val="22"/>
        </w:rPr>
      </w:pPr>
    </w:p>
    <w:p w14:paraId="6D592551" w14:textId="77777777" w:rsidR="00672145" w:rsidRPr="00705BB3" w:rsidRDefault="00672145" w:rsidP="00672145">
      <w:pPr>
        <w:widowControl w:val="0"/>
        <w:shd w:val="clear" w:color="auto" w:fill="CDFFCD"/>
        <w:jc w:val="both"/>
        <w:rPr>
          <w:rFonts w:asciiTheme="minorHAnsi" w:hAnsiTheme="minorHAnsi" w:cs="Times New Roman"/>
          <w:bCs/>
          <w:color w:val="auto"/>
          <w:sz w:val="22"/>
          <w:szCs w:val="22"/>
        </w:rPr>
      </w:pPr>
    </w:p>
    <w:p w14:paraId="0505B74C" w14:textId="77777777" w:rsidR="00056282" w:rsidRPr="006C43BC" w:rsidRDefault="00056282"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B59D6EE" w14:textId="77777777" w:rsidR="00672145" w:rsidRDefault="00672145" w:rsidP="00672145">
      <w:pPr>
        <w:pStyle w:val="RqtSection"/>
      </w:pPr>
    </w:p>
    <w:p w14:paraId="472A5C32" w14:textId="5E96D2BC" w:rsidR="00672145" w:rsidRPr="006C43BC" w:rsidRDefault="00672145" w:rsidP="00672145">
      <w:pPr>
        <w:pStyle w:val="RqtSection"/>
        <w:rPr>
          <w:rFonts w:cstheme="minorHAnsi"/>
          <w:i/>
          <w:iCs/>
        </w:rPr>
      </w:pPr>
      <w:r>
        <w:t>Evidence Requested</w:t>
      </w:r>
      <w:r w:rsidR="00DD6046">
        <w:rPr>
          <w:rStyle w:val="EndnoteReference"/>
        </w:rPr>
        <w:endnoteReference w:id="1"/>
      </w:r>
      <w:r w:rsidRPr="006C43BC">
        <w:t>:</w:t>
      </w:r>
    </w:p>
    <w:tbl>
      <w:tblPr>
        <w:tblStyle w:val="TableGrid"/>
        <w:tblW w:w="0" w:type="auto"/>
        <w:shd w:val="clear" w:color="auto" w:fill="DCDCFF"/>
        <w:tblLook w:val="04A0" w:firstRow="1" w:lastRow="0" w:firstColumn="1" w:lastColumn="0" w:noHBand="0" w:noVBand="1"/>
      </w:tblPr>
      <w:tblGrid>
        <w:gridCol w:w="10790"/>
      </w:tblGrid>
      <w:tr w:rsidR="00672145" w:rsidRPr="006C43BC" w14:paraId="409B0CF1" w14:textId="77777777" w:rsidTr="00063301">
        <w:tc>
          <w:tcPr>
            <w:tcW w:w="10790" w:type="dxa"/>
            <w:shd w:val="clear" w:color="auto" w:fill="DCDCFF"/>
          </w:tcPr>
          <w:p w14:paraId="3F1FC37B" w14:textId="77777777" w:rsidR="00672145" w:rsidRPr="00705BB3" w:rsidRDefault="00672145" w:rsidP="0006330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72145" w:rsidRPr="00676D1E" w14:paraId="64A9A633" w14:textId="77777777" w:rsidTr="00063301">
        <w:tc>
          <w:tcPr>
            <w:tcW w:w="10790" w:type="dxa"/>
            <w:shd w:val="clear" w:color="auto" w:fill="DCDCFF"/>
          </w:tcPr>
          <w:p w14:paraId="174C496D" w14:textId="56EB6D7A" w:rsidR="00672145" w:rsidRDefault="00672145" w:rsidP="00063301">
            <w:pPr>
              <w:widowControl w:val="0"/>
              <w:jc w:val="both"/>
              <w:rPr>
                <w:rFonts w:asciiTheme="minorHAnsi" w:hAnsiTheme="minorHAnsi" w:cs="Times New Roman"/>
                <w:color w:val="auto"/>
              </w:rPr>
            </w:pPr>
            <w:r>
              <w:rPr>
                <w:rFonts w:asciiTheme="minorHAnsi" w:hAnsiTheme="minorHAnsi" w:cs="Times New Roman"/>
                <w:color w:val="auto"/>
              </w:rPr>
              <w:t>Evidence as outlined in R2 and any written policies, procedures or protocols describing how the entity maintains the generator voltage or Reactive Power schedule provided by Transmission Operator, if the entity has such documents.</w:t>
            </w:r>
          </w:p>
        </w:tc>
      </w:tr>
      <w:tr w:rsidR="00672145" w:rsidRPr="00676D1E" w14:paraId="49D8F392" w14:textId="77777777" w:rsidTr="00063301">
        <w:tc>
          <w:tcPr>
            <w:tcW w:w="10790" w:type="dxa"/>
            <w:shd w:val="clear" w:color="auto" w:fill="DCDCFF"/>
          </w:tcPr>
          <w:p w14:paraId="778BD0DF" w14:textId="1C0409AC" w:rsidR="00672145" w:rsidRDefault="00672145" w:rsidP="00672145">
            <w:pPr>
              <w:widowControl w:val="0"/>
              <w:jc w:val="both"/>
              <w:rPr>
                <w:rFonts w:asciiTheme="minorHAnsi" w:hAnsiTheme="minorHAnsi" w:cs="Times New Roman"/>
                <w:color w:val="auto"/>
              </w:rPr>
            </w:pPr>
            <w:r w:rsidRPr="009F1C25">
              <w:rPr>
                <w:rFonts w:asciiTheme="minorHAnsi" w:hAnsiTheme="minorHAnsi" w:cs="Times New Roman"/>
                <w:color w:val="auto"/>
              </w:rPr>
              <w:t>Generator voltage or Reactive Power schedule provided to entity by Transmission Operator, or entity’s record thereof, for timeframes selected by the auditor.</w:t>
            </w:r>
          </w:p>
        </w:tc>
      </w:tr>
    </w:tbl>
    <w:p w14:paraId="12551D2B" w14:textId="77777777" w:rsidR="00056282" w:rsidRPr="006C43BC" w:rsidRDefault="00056282" w:rsidP="00056282">
      <w:pPr>
        <w:widowControl w:val="0"/>
        <w:spacing w:line="266" w:lineRule="exact"/>
        <w:rPr>
          <w:rFonts w:asciiTheme="minorHAnsi" w:hAnsiTheme="minorHAnsi" w:cs="Times New Roman"/>
          <w:b/>
          <w:bCs/>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063301">
        <w:tc>
          <w:tcPr>
            <w:tcW w:w="10995" w:type="dxa"/>
            <w:gridSpan w:val="6"/>
            <w:shd w:val="clear" w:color="auto" w:fill="DCDCFF"/>
            <w:vAlign w:val="bottom"/>
          </w:tcPr>
          <w:p w14:paraId="7B917377" w14:textId="77777777" w:rsidR="00056282" w:rsidRPr="00812336" w:rsidRDefault="00056282" w:rsidP="0006330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063301">
        <w:tc>
          <w:tcPr>
            <w:tcW w:w="2340" w:type="dxa"/>
            <w:shd w:val="clear" w:color="auto" w:fill="DCDCFF"/>
            <w:vAlign w:val="bottom"/>
          </w:tcPr>
          <w:p w14:paraId="3DC9B77B" w14:textId="77777777" w:rsidR="00056282" w:rsidRPr="00812336" w:rsidRDefault="00056282"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063301">
        <w:tc>
          <w:tcPr>
            <w:tcW w:w="2340" w:type="dxa"/>
            <w:shd w:val="clear" w:color="auto" w:fill="CDFFCD"/>
          </w:tcPr>
          <w:p w14:paraId="0579240E"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r>
      <w:tr w:rsidR="00056282" w:rsidRPr="00705BB3" w14:paraId="694D6B0D" w14:textId="77777777" w:rsidTr="00063301">
        <w:tc>
          <w:tcPr>
            <w:tcW w:w="2340" w:type="dxa"/>
            <w:shd w:val="clear" w:color="auto" w:fill="CDFFCD"/>
          </w:tcPr>
          <w:p w14:paraId="7D165821"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r>
      <w:tr w:rsidR="00056282" w:rsidRPr="00705BB3" w14:paraId="781B6E51" w14:textId="77777777" w:rsidTr="00063301">
        <w:tc>
          <w:tcPr>
            <w:tcW w:w="2340" w:type="dxa"/>
            <w:shd w:val="clear" w:color="auto" w:fill="CDFFCD"/>
          </w:tcPr>
          <w:p w14:paraId="5A10B587"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063301">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56282" w:rsidRPr="00705BB3" w14:paraId="16E9A4AE" w14:textId="77777777" w:rsidTr="00063301">
        <w:tc>
          <w:tcPr>
            <w:tcW w:w="11016" w:type="dxa"/>
            <w:shd w:val="clear" w:color="auto" w:fill="auto"/>
          </w:tcPr>
          <w:p w14:paraId="52EADB3D" w14:textId="77777777" w:rsidR="00056282" w:rsidRPr="00705BB3" w:rsidRDefault="00056282" w:rsidP="00063301">
            <w:pPr>
              <w:widowControl w:val="0"/>
              <w:rPr>
                <w:rFonts w:asciiTheme="minorHAnsi" w:hAnsiTheme="minorHAnsi" w:cs="Times New Roman"/>
                <w:sz w:val="22"/>
                <w:szCs w:val="22"/>
              </w:rPr>
            </w:pPr>
          </w:p>
        </w:tc>
      </w:tr>
      <w:tr w:rsidR="00056282" w:rsidRPr="00705BB3" w14:paraId="1237F754" w14:textId="77777777" w:rsidTr="00063301">
        <w:tc>
          <w:tcPr>
            <w:tcW w:w="11016" w:type="dxa"/>
            <w:shd w:val="clear" w:color="auto" w:fill="auto"/>
          </w:tcPr>
          <w:p w14:paraId="1C5F61CF" w14:textId="77777777" w:rsidR="00056282" w:rsidRPr="00705BB3" w:rsidRDefault="00056282" w:rsidP="00063301">
            <w:pPr>
              <w:widowControl w:val="0"/>
              <w:rPr>
                <w:rFonts w:asciiTheme="minorHAnsi" w:hAnsiTheme="minorHAnsi" w:cs="Times New Roman"/>
                <w:sz w:val="22"/>
                <w:szCs w:val="22"/>
              </w:rPr>
            </w:pPr>
          </w:p>
        </w:tc>
      </w:tr>
      <w:tr w:rsidR="00056282" w:rsidRPr="00705BB3" w14:paraId="1B45444E" w14:textId="77777777" w:rsidTr="00063301">
        <w:tc>
          <w:tcPr>
            <w:tcW w:w="11016" w:type="dxa"/>
            <w:shd w:val="clear" w:color="auto" w:fill="auto"/>
          </w:tcPr>
          <w:p w14:paraId="0817FCAE" w14:textId="77777777" w:rsidR="00056282" w:rsidRPr="00705BB3" w:rsidRDefault="00056282" w:rsidP="00063301">
            <w:pPr>
              <w:widowControl w:val="0"/>
              <w:rPr>
                <w:rFonts w:asciiTheme="minorHAnsi" w:hAnsiTheme="minorHAnsi" w:cs="Times New Roman"/>
                <w:sz w:val="22"/>
                <w:szCs w:val="22"/>
              </w:rPr>
            </w:pPr>
          </w:p>
        </w:tc>
      </w:tr>
    </w:tbl>
    <w:p w14:paraId="1FD6499D" w14:textId="77777777" w:rsidR="009D61D4" w:rsidRPr="006C43BC" w:rsidRDefault="009D61D4" w:rsidP="00056282">
      <w:pPr>
        <w:widowControl w:val="0"/>
        <w:rPr>
          <w:rFonts w:asciiTheme="minorHAnsi" w:hAnsiTheme="minorHAnsi" w:cs="Times New Roman"/>
        </w:rPr>
      </w:pPr>
    </w:p>
    <w:p w14:paraId="59CEFE0E" w14:textId="3E5165DB"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3818D1">
        <w:t>VAR-002-4.1</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56282" w:rsidRPr="00705BB3" w14:paraId="0EB400E9" w14:textId="77777777" w:rsidTr="00DB1F76">
        <w:tc>
          <w:tcPr>
            <w:tcW w:w="374" w:type="dxa"/>
          </w:tcPr>
          <w:p w14:paraId="25ABDE5F" w14:textId="77777777" w:rsidR="00056282" w:rsidRPr="00DB1F76" w:rsidRDefault="00056282" w:rsidP="0006330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D7EA606" w14:textId="1CBC3A30" w:rsidR="00056282" w:rsidRPr="00DB1F76" w:rsidRDefault="007124F6" w:rsidP="00063301">
            <w:pPr>
              <w:widowControl w:val="0"/>
              <w:tabs>
                <w:tab w:val="left" w:pos="0"/>
                <w:tab w:val="left" w:pos="900"/>
                <w:tab w:val="left" w:pos="6360"/>
              </w:tabs>
              <w:rPr>
                <w:rFonts w:asciiTheme="minorHAnsi" w:hAnsiTheme="minorHAnsi" w:cs="Times New Roman"/>
                <w:color w:val="auto"/>
              </w:rPr>
            </w:pPr>
            <w:r>
              <w:rPr>
                <w:rFonts w:asciiTheme="minorHAnsi" w:hAnsiTheme="minorHAnsi"/>
                <w:color w:val="auto"/>
              </w:rPr>
              <w:t xml:space="preserve">(R2) </w:t>
            </w:r>
            <w:r w:rsidR="00672145">
              <w:rPr>
                <w:rFonts w:asciiTheme="minorHAnsi" w:hAnsiTheme="minorHAnsi" w:cs="Times New Roman"/>
                <w:color w:val="auto"/>
              </w:rPr>
              <w:t>Interview entity staff and/or review documentation provided by the entity to understand how they maintain the generator voltage or Reactive Power schedule or authorized exemption per Requirement R2.</w:t>
            </w:r>
          </w:p>
        </w:tc>
      </w:tr>
      <w:tr w:rsidR="00672145" w:rsidRPr="00705BB3" w14:paraId="60EEB9E8" w14:textId="77777777" w:rsidTr="00DB1F76">
        <w:tc>
          <w:tcPr>
            <w:tcW w:w="374" w:type="dxa"/>
          </w:tcPr>
          <w:p w14:paraId="4E78291C" w14:textId="77777777" w:rsidR="00672145" w:rsidRPr="00DB1F76" w:rsidRDefault="00672145" w:rsidP="0006330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2CDEC4A" w14:textId="7863CC95" w:rsidR="00672145" w:rsidRDefault="00672145" w:rsidP="00127C1C">
            <w:pPr>
              <w:widowControl w:val="0"/>
              <w:tabs>
                <w:tab w:val="left" w:pos="0"/>
                <w:tab w:val="left" w:pos="900"/>
                <w:tab w:val="left" w:pos="6360"/>
              </w:tabs>
              <w:rPr>
                <w:rFonts w:asciiTheme="minorHAnsi" w:hAnsiTheme="minorHAnsi"/>
                <w:color w:val="auto"/>
              </w:rPr>
            </w:pPr>
            <w:r>
              <w:rPr>
                <w:rFonts w:asciiTheme="minorHAnsi" w:hAnsiTheme="minorHAnsi" w:cs="Times New Roman"/>
                <w:color w:val="auto"/>
              </w:rPr>
              <w:t>(R2) Read entity’s response to compliance Question above and understand how entity complies with Requirement R2</w:t>
            </w:r>
            <w:r w:rsidR="00127C1C">
              <w:rPr>
                <w:rFonts w:asciiTheme="minorHAnsi" w:hAnsiTheme="minorHAnsi" w:cs="Times New Roman"/>
                <w:color w:val="auto"/>
              </w:rPr>
              <w:t>.1</w:t>
            </w:r>
            <w:r>
              <w:rPr>
                <w:rFonts w:asciiTheme="minorHAnsi" w:hAnsiTheme="minorHAnsi" w:cs="Times New Roman"/>
                <w:color w:val="auto"/>
              </w:rPr>
              <w:t>, when they operate a generator with</w:t>
            </w:r>
            <w:r w:rsidR="00127C1C">
              <w:rPr>
                <w:rFonts w:asciiTheme="minorHAnsi" w:hAnsiTheme="minorHAnsi" w:cs="Times New Roman"/>
                <w:color w:val="auto"/>
              </w:rPr>
              <w:t>out</w:t>
            </w:r>
            <w:r>
              <w:rPr>
                <w:rFonts w:asciiTheme="minorHAnsi" w:hAnsiTheme="minorHAnsi" w:cs="Times New Roman"/>
                <w:color w:val="auto"/>
              </w:rPr>
              <w:t xml:space="preserve"> AVR</w:t>
            </w:r>
            <w:r w:rsidR="00127C1C">
              <w:rPr>
                <w:rFonts w:asciiTheme="minorHAnsi" w:hAnsiTheme="minorHAnsi" w:cs="Times New Roman"/>
                <w:color w:val="auto"/>
              </w:rPr>
              <w:t>.</w:t>
            </w:r>
            <w:r>
              <w:rPr>
                <w:rFonts w:asciiTheme="minorHAnsi" w:hAnsiTheme="minorHAnsi" w:cs="Times New Roman"/>
                <w:color w:val="auto"/>
              </w:rPr>
              <w:t xml:space="preserve"> </w:t>
            </w:r>
          </w:p>
        </w:tc>
      </w:tr>
      <w:tr w:rsidR="00672145" w:rsidRPr="00705BB3" w14:paraId="7EF122F5" w14:textId="77777777" w:rsidTr="00DB1F76">
        <w:tc>
          <w:tcPr>
            <w:tcW w:w="374" w:type="dxa"/>
          </w:tcPr>
          <w:p w14:paraId="6FA9B2AD" w14:textId="77777777" w:rsidR="00672145" w:rsidRPr="00DB1F76" w:rsidRDefault="00672145" w:rsidP="0006330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5C388271" w14:textId="6CCBA798" w:rsidR="00672145" w:rsidRDefault="00672145" w:rsidP="0006330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(R2) Select a sample of timeframes during the audit period and have entity walkthrough how they complied with Requirement R2 for those timeframes.</w:t>
            </w:r>
          </w:p>
        </w:tc>
      </w:tr>
      <w:tr w:rsidR="00056282" w:rsidRPr="006C43BC" w14:paraId="6E9EB898" w14:textId="77777777" w:rsidTr="00DB1F76">
        <w:tc>
          <w:tcPr>
            <w:tcW w:w="10790" w:type="dxa"/>
            <w:gridSpan w:val="2"/>
            <w:shd w:val="clear" w:color="auto" w:fill="DCDCFF"/>
          </w:tcPr>
          <w:p w14:paraId="3F45AA30" w14:textId="765FBB6D" w:rsidR="00056282" w:rsidRPr="006C43BC" w:rsidRDefault="00056282" w:rsidP="009F0905">
            <w:pPr>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672145">
              <w:rPr>
                <w:rFonts w:asciiTheme="minorHAnsi" w:hAnsiTheme="minorHAnsi"/>
              </w:rPr>
              <w:t xml:space="preserve">For </w:t>
            </w:r>
            <w:r w:rsidR="007218AA">
              <w:rPr>
                <w:rFonts w:asciiTheme="minorHAnsi" w:hAnsiTheme="minorHAnsi"/>
              </w:rPr>
              <w:t>P</w:t>
            </w:r>
            <w:r w:rsidR="00672145">
              <w:rPr>
                <w:rFonts w:asciiTheme="minorHAnsi" w:hAnsiTheme="minorHAnsi"/>
              </w:rPr>
              <w:t xml:space="preserve">art 2.3, the entity should be able to provide documentation that identifies the voltage number being monitored and the calculation demonstrating how it equates to the schedule provided by the Transmission Operator.  The measure for </w:t>
            </w:r>
            <w:r w:rsidR="003818D1">
              <w:rPr>
                <w:rFonts w:asciiTheme="minorHAnsi" w:hAnsiTheme="minorHAnsi"/>
              </w:rPr>
              <w:t>VAR-002-4.1</w:t>
            </w:r>
            <w:r w:rsidR="00063301">
              <w:rPr>
                <w:rFonts w:asciiTheme="minorHAnsi" w:hAnsiTheme="minorHAnsi"/>
              </w:rPr>
              <w:t xml:space="preserve"> </w:t>
            </w:r>
            <w:r w:rsidR="00672145">
              <w:rPr>
                <w:rFonts w:asciiTheme="minorHAnsi" w:hAnsiTheme="minorHAnsi"/>
              </w:rPr>
              <w:t xml:space="preserve">Requirement R2, </w:t>
            </w:r>
            <w:r w:rsidR="007218AA">
              <w:rPr>
                <w:rFonts w:asciiTheme="minorHAnsi" w:hAnsiTheme="minorHAnsi"/>
              </w:rPr>
              <w:t>P</w:t>
            </w:r>
            <w:r w:rsidR="00672145">
              <w:rPr>
                <w:rFonts w:asciiTheme="minorHAnsi" w:hAnsiTheme="minorHAnsi"/>
              </w:rPr>
              <w:t xml:space="preserve">art 2.3 is clear on what evidence should be able to demonstrate this during an audit. The entity can only be responsible for maintaining the schedule provided by the Transmission Operator based on existing facility equipment.  In the event that an entity does not have the equipment to have visibility of high-side system voltage, the entity will not have the ability to adjust VARs to maintain system voltage.  An auditor is not to determine that, where the entity does not have the high side monitoring equipment and where the AVR is set appropriately based on existing facility equipment, the entity is non-compliant.  However, if the Transmission Operator provides a new directive or schedule, the entity is required to follow the new directive.  This directive can include modifying an AVR setting or providing more voltage support, and the entity is expected to comply pursuant to </w:t>
            </w:r>
            <w:r w:rsidR="003818D1">
              <w:rPr>
                <w:rFonts w:asciiTheme="minorHAnsi" w:hAnsiTheme="minorHAnsi"/>
              </w:rPr>
              <w:t>VAR-002-4.1</w:t>
            </w:r>
            <w:r w:rsidR="00672145">
              <w:rPr>
                <w:rFonts w:asciiTheme="minorHAnsi" w:hAnsiTheme="minorHAnsi"/>
              </w:rPr>
              <w:t xml:space="preserve">.    </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190789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E6FFED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9170B3"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B9D6C01"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B433161" w14:textId="59ABE8E6" w:rsidR="007124F6" w:rsidRDefault="00056282" w:rsidP="007124F6">
      <w:pPr>
        <w:pStyle w:val="SectHead"/>
      </w:pPr>
      <w:r>
        <w:rPr>
          <w:rFonts w:cs="Times New Roman"/>
        </w:rPr>
        <w:br w:type="page"/>
      </w:r>
      <w:r w:rsidR="007124F6" w:rsidRPr="006C43BC">
        <w:lastRenderedPageBreak/>
        <w:t>R</w:t>
      </w:r>
      <w:r w:rsidR="007124F6">
        <w:t>3</w:t>
      </w:r>
      <w:r w:rsidR="007124F6" w:rsidRPr="006C43BC">
        <w:t xml:space="preserve"> Supporting Evidence and Documentation</w:t>
      </w:r>
    </w:p>
    <w:p w14:paraId="1FDAD142" w14:textId="3DCC4CEE" w:rsidR="00E66B63" w:rsidRDefault="00572062" w:rsidP="00145977">
      <w:pPr>
        <w:pStyle w:val="Requirement"/>
        <w:numPr>
          <w:ilvl w:val="0"/>
          <w:numId w:val="5"/>
        </w:numPr>
        <w:tabs>
          <w:tab w:val="clear" w:pos="576"/>
          <w:tab w:val="num" w:pos="0"/>
        </w:tabs>
        <w:ind w:left="0" w:firstLine="0"/>
        <w:rPr>
          <w:rFonts w:ascii="Calibri" w:hAnsi="Calibri"/>
          <w:sz w:val="22"/>
          <w:szCs w:val="22"/>
        </w:rPr>
      </w:pPr>
      <w:r>
        <w:rPr>
          <w:rFonts w:ascii="Calibri" w:hAnsi="Calibri"/>
          <w:sz w:val="22"/>
          <w:szCs w:val="22"/>
        </w:rPr>
        <w:t xml:space="preserve">  </w:t>
      </w:r>
      <w:r w:rsidR="00E66B63" w:rsidRPr="00572062">
        <w:rPr>
          <w:rFonts w:ascii="Calibri" w:hAnsi="Calibri"/>
          <w:sz w:val="22"/>
          <w:szCs w:val="22"/>
        </w:rPr>
        <w:t xml:space="preserve">Each Generator Operator shall notify its associated Transmission Operator of a status change on the AVR, power system stabilizer, or alternative voltage controlling device within 30 minutes of the change.  If the status has been restored within 30 minutes of such change, then the Generator Operator is not required to notify the Transmission Operator of the status change. </w:t>
      </w:r>
    </w:p>
    <w:p w14:paraId="6E514DDC" w14:textId="77777777" w:rsidR="00572062" w:rsidRPr="00572062" w:rsidRDefault="00572062" w:rsidP="00572062">
      <w:pPr>
        <w:pStyle w:val="Requirement"/>
        <w:numPr>
          <w:ilvl w:val="0"/>
          <w:numId w:val="0"/>
        </w:numPr>
        <w:rPr>
          <w:rFonts w:ascii="Calibri" w:hAnsi="Calibri"/>
          <w:sz w:val="22"/>
          <w:szCs w:val="22"/>
        </w:rPr>
      </w:pPr>
    </w:p>
    <w:p w14:paraId="289AA0DA" w14:textId="61B02AA3" w:rsidR="00E66B63" w:rsidRPr="00572062" w:rsidRDefault="00572062" w:rsidP="00145977">
      <w:pPr>
        <w:numPr>
          <w:ilvl w:val="0"/>
          <w:numId w:val="3"/>
        </w:numPr>
        <w:tabs>
          <w:tab w:val="clear" w:pos="576"/>
          <w:tab w:val="num" w:pos="0"/>
        </w:tabs>
        <w:autoSpaceDE/>
        <w:adjustRightInd/>
        <w:spacing w:after="120"/>
        <w:ind w:left="0" w:firstLine="0"/>
        <w:rPr>
          <w:rFonts w:ascii="Calibri" w:hAnsi="Calibri"/>
          <w:sz w:val="22"/>
          <w:szCs w:val="22"/>
        </w:rPr>
      </w:pPr>
      <w:r>
        <w:rPr>
          <w:rFonts w:ascii="Calibri" w:hAnsi="Calibri"/>
          <w:sz w:val="22"/>
          <w:szCs w:val="22"/>
        </w:rPr>
        <w:t xml:space="preserve">  </w:t>
      </w:r>
      <w:r w:rsidR="00E66B63" w:rsidRPr="00572062">
        <w:rPr>
          <w:rFonts w:ascii="Calibri" w:hAnsi="Calibri"/>
          <w:sz w:val="22"/>
          <w:szCs w:val="22"/>
        </w:rPr>
        <w:t>The Generator Operator shall have evidence it notified its associated Transmission Operator within 30 minutes of any status change identified in Requirement R3.  If the status has been restored within the first 30 minutes, no notification is necessary.</w:t>
      </w:r>
    </w:p>
    <w:p w14:paraId="4130BCF9" w14:textId="77777777" w:rsidR="007124F6" w:rsidRPr="006C43BC" w:rsidRDefault="007124F6" w:rsidP="007124F6">
      <w:pPr>
        <w:rPr>
          <w:rFonts w:asciiTheme="minorHAnsi" w:hAnsiTheme="minorHAnsi" w:cs="Times New Roman"/>
          <w:b/>
        </w:rPr>
      </w:pPr>
    </w:p>
    <w:p w14:paraId="05CE7507" w14:textId="77777777" w:rsidR="007124F6" w:rsidRPr="006C43BC" w:rsidRDefault="007124F6" w:rsidP="007124F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C6C357A" w14:textId="77777777" w:rsidR="007124F6" w:rsidRPr="00A5228E" w:rsidRDefault="007124F6" w:rsidP="007124F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E4C8268" w14:textId="77777777" w:rsidR="007124F6" w:rsidRPr="006C43BC" w:rsidRDefault="007124F6" w:rsidP="007124F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83397A4" w14:textId="77777777" w:rsidR="007124F6" w:rsidRPr="00705BB3" w:rsidRDefault="007124F6" w:rsidP="007124F6">
      <w:pPr>
        <w:widowControl w:val="0"/>
        <w:shd w:val="clear" w:color="auto" w:fill="CDFFCD"/>
        <w:jc w:val="both"/>
        <w:rPr>
          <w:rFonts w:asciiTheme="minorHAnsi" w:hAnsiTheme="minorHAnsi" w:cs="Times New Roman"/>
          <w:bCs/>
          <w:color w:val="auto"/>
          <w:sz w:val="22"/>
          <w:szCs w:val="22"/>
        </w:rPr>
      </w:pPr>
    </w:p>
    <w:p w14:paraId="0E4D297A" w14:textId="77777777" w:rsidR="007124F6" w:rsidRPr="00705BB3" w:rsidRDefault="007124F6" w:rsidP="007124F6">
      <w:pPr>
        <w:widowControl w:val="0"/>
        <w:shd w:val="clear" w:color="auto" w:fill="CDFFCD"/>
        <w:jc w:val="both"/>
        <w:rPr>
          <w:rFonts w:asciiTheme="minorHAnsi" w:hAnsiTheme="minorHAnsi" w:cs="Times New Roman"/>
          <w:bCs/>
          <w:color w:val="auto"/>
          <w:sz w:val="22"/>
          <w:szCs w:val="22"/>
        </w:rPr>
      </w:pPr>
    </w:p>
    <w:p w14:paraId="5D28DA92" w14:textId="77777777" w:rsidR="007124F6" w:rsidRDefault="007124F6" w:rsidP="007124F6">
      <w:pPr>
        <w:pStyle w:val="RqtSection"/>
      </w:pPr>
    </w:p>
    <w:p w14:paraId="0AC1DC2A" w14:textId="5681536A" w:rsidR="007124F6" w:rsidRPr="006C43BC" w:rsidRDefault="007124F6" w:rsidP="007124F6">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7124F6" w:rsidRPr="006C43BC" w14:paraId="7B2B0006" w14:textId="77777777" w:rsidTr="00063301">
        <w:tc>
          <w:tcPr>
            <w:tcW w:w="10790" w:type="dxa"/>
            <w:shd w:val="clear" w:color="auto" w:fill="DCDCFF"/>
          </w:tcPr>
          <w:p w14:paraId="4A27FD3E" w14:textId="77777777" w:rsidR="007124F6" w:rsidRPr="00705BB3" w:rsidRDefault="007124F6" w:rsidP="0006330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7124F6" w:rsidRPr="00676D1E" w14:paraId="6FED135A" w14:textId="77777777" w:rsidTr="00063301">
        <w:tc>
          <w:tcPr>
            <w:tcW w:w="10790" w:type="dxa"/>
            <w:shd w:val="clear" w:color="auto" w:fill="DCDCFF"/>
          </w:tcPr>
          <w:p w14:paraId="3BACD17A" w14:textId="5B462378" w:rsidR="007124F6" w:rsidRDefault="007124F6" w:rsidP="00063301">
            <w:pPr>
              <w:widowControl w:val="0"/>
              <w:jc w:val="both"/>
              <w:rPr>
                <w:rFonts w:asciiTheme="minorHAnsi" w:hAnsiTheme="minorHAnsi" w:cs="Times New Roman"/>
                <w:color w:val="auto"/>
              </w:rPr>
            </w:pPr>
            <w:r>
              <w:rPr>
                <w:rFonts w:asciiTheme="minorHAnsi" w:hAnsiTheme="minorHAnsi" w:cs="Times New Roman"/>
                <w:color w:val="auto"/>
              </w:rPr>
              <w:t xml:space="preserve">Evidence as outlined in R3 and any </w:t>
            </w:r>
            <w:r w:rsidR="00E66B63">
              <w:rPr>
                <w:rFonts w:asciiTheme="minorHAnsi" w:hAnsiTheme="minorHAnsi" w:cs="Times New Roman"/>
                <w:color w:val="auto"/>
              </w:rPr>
              <w:t>written policies, procedures or protocols describing how the entity responds to a status change on AVR, if the entity has such documents. An example of entity’s response to a status change on AVR provided by entity, if applicable.</w:t>
            </w:r>
          </w:p>
        </w:tc>
      </w:tr>
      <w:tr w:rsidR="00E66B63" w:rsidRPr="00676D1E" w14:paraId="10EBEC21" w14:textId="77777777" w:rsidTr="00063301">
        <w:tc>
          <w:tcPr>
            <w:tcW w:w="10790" w:type="dxa"/>
            <w:shd w:val="clear" w:color="auto" w:fill="DCDCFF"/>
          </w:tcPr>
          <w:p w14:paraId="17040978" w14:textId="6A59A6EF" w:rsidR="00E66B63" w:rsidRDefault="00E66B63" w:rsidP="00E66B63">
            <w:pPr>
              <w:widowControl w:val="0"/>
              <w:jc w:val="both"/>
              <w:rPr>
                <w:rFonts w:asciiTheme="minorHAnsi" w:hAnsiTheme="minorHAnsi" w:cs="Times New Roman"/>
                <w:color w:val="auto"/>
              </w:rPr>
            </w:pPr>
            <w:r w:rsidRPr="00825383">
              <w:rPr>
                <w:rFonts w:asciiTheme="minorHAnsi" w:hAnsiTheme="minorHAnsi" w:cs="Times New Roman"/>
                <w:color w:val="auto"/>
              </w:rPr>
              <w:t xml:space="preserve">Auditor may select certain instances where entity had a status change on AVR. In such instances, provide associated evidence of awareness and resolution/notification. </w:t>
            </w:r>
          </w:p>
        </w:tc>
      </w:tr>
    </w:tbl>
    <w:p w14:paraId="750C6252" w14:textId="77777777" w:rsidR="007124F6" w:rsidRDefault="007124F6" w:rsidP="007124F6">
      <w:pPr>
        <w:widowControl w:val="0"/>
        <w:spacing w:line="266" w:lineRule="exact"/>
        <w:rPr>
          <w:rFonts w:asciiTheme="minorHAnsi" w:hAnsiTheme="minorHAnsi" w:cs="Times New Roman"/>
          <w:b/>
          <w:bCs/>
          <w:color w:val="auto"/>
        </w:rPr>
      </w:pPr>
    </w:p>
    <w:p w14:paraId="413CD7F4" w14:textId="77777777" w:rsidR="007124F6" w:rsidRPr="006C43BC" w:rsidRDefault="007124F6" w:rsidP="007124F6">
      <w:pPr>
        <w:widowControl w:val="0"/>
        <w:spacing w:line="266" w:lineRule="exact"/>
        <w:rPr>
          <w:rFonts w:asciiTheme="minorHAnsi" w:hAnsiTheme="minorHAnsi" w:cs="Times New Roman"/>
          <w:b/>
          <w:bCs/>
        </w:rPr>
      </w:pPr>
    </w:p>
    <w:p w14:paraId="5635930A" w14:textId="77777777" w:rsidR="007124F6" w:rsidRPr="006C43BC" w:rsidRDefault="007124F6" w:rsidP="007124F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7124F6" w:rsidRPr="00812336" w14:paraId="7EF407A8" w14:textId="77777777" w:rsidTr="00063301">
        <w:tc>
          <w:tcPr>
            <w:tcW w:w="10995" w:type="dxa"/>
            <w:gridSpan w:val="6"/>
            <w:shd w:val="clear" w:color="auto" w:fill="DCDCFF"/>
            <w:vAlign w:val="bottom"/>
          </w:tcPr>
          <w:p w14:paraId="6056D9F2" w14:textId="77777777" w:rsidR="007124F6" w:rsidRPr="00812336" w:rsidRDefault="007124F6" w:rsidP="0006330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124F6" w:rsidRPr="00812336" w14:paraId="7279360E" w14:textId="77777777" w:rsidTr="00063301">
        <w:tc>
          <w:tcPr>
            <w:tcW w:w="2340" w:type="dxa"/>
            <w:shd w:val="clear" w:color="auto" w:fill="DCDCFF"/>
            <w:vAlign w:val="bottom"/>
          </w:tcPr>
          <w:p w14:paraId="72D6A3B3" w14:textId="77777777" w:rsidR="007124F6" w:rsidRPr="00812336" w:rsidRDefault="007124F6"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F530AFB" w14:textId="77777777" w:rsidR="007124F6" w:rsidRPr="00812336" w:rsidRDefault="007124F6"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FD909E4" w14:textId="77777777" w:rsidR="007124F6" w:rsidRPr="00812336" w:rsidRDefault="007124F6"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45D26F9" w14:textId="77777777" w:rsidR="007124F6" w:rsidRPr="00812336" w:rsidRDefault="007124F6"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AD12AB" w14:textId="77777777" w:rsidR="007124F6" w:rsidRPr="00812336" w:rsidRDefault="007124F6"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EB21FC2" w14:textId="77777777" w:rsidR="007124F6" w:rsidRPr="00812336" w:rsidRDefault="007124F6"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124F6" w:rsidRPr="00705BB3" w14:paraId="287DD922" w14:textId="77777777" w:rsidTr="00063301">
        <w:tc>
          <w:tcPr>
            <w:tcW w:w="2340" w:type="dxa"/>
            <w:shd w:val="clear" w:color="auto" w:fill="CDFFCD"/>
          </w:tcPr>
          <w:p w14:paraId="2F1BBC76"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619BAA1"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419A26F"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793E09"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44DC494"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67B050F"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r>
      <w:tr w:rsidR="007124F6" w:rsidRPr="00705BB3" w14:paraId="618B8C15" w14:textId="77777777" w:rsidTr="00063301">
        <w:tc>
          <w:tcPr>
            <w:tcW w:w="2340" w:type="dxa"/>
            <w:shd w:val="clear" w:color="auto" w:fill="CDFFCD"/>
          </w:tcPr>
          <w:p w14:paraId="7EFFA82B"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E36A04"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F66E09D"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8C3B39D"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CE59F1"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55D261B"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r>
      <w:tr w:rsidR="007124F6" w:rsidRPr="00705BB3" w14:paraId="7DC7E683" w14:textId="77777777" w:rsidTr="00063301">
        <w:tc>
          <w:tcPr>
            <w:tcW w:w="2340" w:type="dxa"/>
            <w:shd w:val="clear" w:color="auto" w:fill="CDFFCD"/>
          </w:tcPr>
          <w:p w14:paraId="4189FD43"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5C5C1F0"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AE02C7"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4AD9065"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1892F29"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E301C5" w14:textId="77777777" w:rsidR="007124F6" w:rsidRPr="00705BB3" w:rsidRDefault="007124F6" w:rsidP="00063301">
            <w:pPr>
              <w:autoSpaceDE/>
              <w:autoSpaceDN/>
              <w:adjustRightInd/>
              <w:jc w:val="both"/>
              <w:rPr>
                <w:rFonts w:asciiTheme="minorHAnsi" w:hAnsiTheme="minorHAnsi" w:cs="Times New Roman"/>
                <w:color w:val="auto"/>
                <w:sz w:val="22"/>
                <w:szCs w:val="22"/>
              </w:rPr>
            </w:pPr>
          </w:p>
        </w:tc>
      </w:tr>
    </w:tbl>
    <w:p w14:paraId="78E32AD8" w14:textId="77777777" w:rsidR="007124F6" w:rsidRPr="006C43BC" w:rsidRDefault="007124F6" w:rsidP="007124F6">
      <w:pPr>
        <w:widowControl w:val="0"/>
        <w:rPr>
          <w:rFonts w:asciiTheme="minorHAnsi" w:hAnsiTheme="minorHAnsi" w:cs="Times New Roman"/>
        </w:rPr>
      </w:pPr>
    </w:p>
    <w:p w14:paraId="3DEF9907" w14:textId="77777777" w:rsidR="007124F6" w:rsidRPr="006C43BC" w:rsidRDefault="007124F6" w:rsidP="007124F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7124F6" w:rsidRPr="00705BB3" w14:paraId="2CE15EF2" w14:textId="77777777" w:rsidTr="00063301">
        <w:tc>
          <w:tcPr>
            <w:tcW w:w="11016" w:type="dxa"/>
            <w:shd w:val="clear" w:color="auto" w:fill="auto"/>
          </w:tcPr>
          <w:p w14:paraId="2BCE856D" w14:textId="77777777" w:rsidR="007124F6" w:rsidRPr="00705BB3" w:rsidRDefault="007124F6" w:rsidP="00063301">
            <w:pPr>
              <w:widowControl w:val="0"/>
              <w:rPr>
                <w:rFonts w:asciiTheme="minorHAnsi" w:hAnsiTheme="minorHAnsi" w:cs="Times New Roman"/>
                <w:sz w:val="22"/>
                <w:szCs w:val="22"/>
              </w:rPr>
            </w:pPr>
          </w:p>
        </w:tc>
      </w:tr>
      <w:tr w:rsidR="007124F6" w:rsidRPr="00705BB3" w14:paraId="05522FB0" w14:textId="77777777" w:rsidTr="00063301">
        <w:tc>
          <w:tcPr>
            <w:tcW w:w="11016" w:type="dxa"/>
            <w:shd w:val="clear" w:color="auto" w:fill="auto"/>
          </w:tcPr>
          <w:p w14:paraId="5D04342B" w14:textId="77777777" w:rsidR="007124F6" w:rsidRPr="00705BB3" w:rsidRDefault="007124F6" w:rsidP="00063301">
            <w:pPr>
              <w:widowControl w:val="0"/>
              <w:rPr>
                <w:rFonts w:asciiTheme="minorHAnsi" w:hAnsiTheme="minorHAnsi" w:cs="Times New Roman"/>
                <w:sz w:val="22"/>
                <w:szCs w:val="22"/>
              </w:rPr>
            </w:pPr>
          </w:p>
        </w:tc>
      </w:tr>
      <w:tr w:rsidR="007124F6" w:rsidRPr="00705BB3" w14:paraId="32432C32" w14:textId="77777777" w:rsidTr="00063301">
        <w:tc>
          <w:tcPr>
            <w:tcW w:w="11016" w:type="dxa"/>
            <w:shd w:val="clear" w:color="auto" w:fill="auto"/>
          </w:tcPr>
          <w:p w14:paraId="3CFC3327" w14:textId="77777777" w:rsidR="007124F6" w:rsidRPr="00705BB3" w:rsidRDefault="007124F6" w:rsidP="00063301">
            <w:pPr>
              <w:widowControl w:val="0"/>
              <w:rPr>
                <w:rFonts w:asciiTheme="minorHAnsi" w:hAnsiTheme="minorHAnsi" w:cs="Times New Roman"/>
                <w:sz w:val="22"/>
                <w:szCs w:val="22"/>
              </w:rPr>
            </w:pPr>
          </w:p>
        </w:tc>
      </w:tr>
    </w:tbl>
    <w:p w14:paraId="56034983" w14:textId="77777777" w:rsidR="007124F6" w:rsidRDefault="007124F6" w:rsidP="007124F6">
      <w:pPr>
        <w:widowControl w:val="0"/>
        <w:rPr>
          <w:rFonts w:asciiTheme="minorHAnsi" w:hAnsiTheme="minorHAnsi" w:cs="Times New Roman"/>
        </w:rPr>
      </w:pPr>
    </w:p>
    <w:p w14:paraId="7AD2DA1B" w14:textId="77777777" w:rsidR="009D61D4" w:rsidRDefault="009D61D4" w:rsidP="007124F6">
      <w:pPr>
        <w:widowControl w:val="0"/>
        <w:rPr>
          <w:rFonts w:asciiTheme="minorHAnsi" w:hAnsiTheme="minorHAnsi" w:cs="Times New Roman"/>
        </w:rPr>
      </w:pPr>
    </w:p>
    <w:p w14:paraId="0606485B" w14:textId="77777777" w:rsidR="009D61D4" w:rsidRPr="006C43BC" w:rsidRDefault="009D61D4" w:rsidP="007124F6">
      <w:pPr>
        <w:widowControl w:val="0"/>
        <w:rPr>
          <w:rFonts w:asciiTheme="minorHAnsi" w:hAnsiTheme="minorHAnsi" w:cs="Times New Roman"/>
        </w:rPr>
      </w:pPr>
    </w:p>
    <w:p w14:paraId="57280E24" w14:textId="727F2015" w:rsidR="007124F6" w:rsidRPr="00722443" w:rsidRDefault="007124F6" w:rsidP="007124F6">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3818D1">
        <w:t>VAR-002-4.1</w:t>
      </w:r>
      <w:r>
        <w:t>, R3</w:t>
      </w:r>
    </w:p>
    <w:p w14:paraId="36B355F8" w14:textId="77777777" w:rsidR="007124F6" w:rsidRPr="006C43BC" w:rsidRDefault="007124F6" w:rsidP="007124F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7124F6" w:rsidRPr="00705BB3" w14:paraId="31E2DF08" w14:textId="77777777" w:rsidTr="00063301">
        <w:tc>
          <w:tcPr>
            <w:tcW w:w="374" w:type="dxa"/>
          </w:tcPr>
          <w:p w14:paraId="18F5CB3C" w14:textId="77777777" w:rsidR="007124F6" w:rsidRPr="00DB1F76" w:rsidRDefault="007124F6" w:rsidP="0006330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88282DB" w14:textId="33FC49E0" w:rsidR="007124F6" w:rsidRPr="00DB1F76" w:rsidRDefault="007124F6" w:rsidP="00063301">
            <w:pPr>
              <w:widowControl w:val="0"/>
              <w:tabs>
                <w:tab w:val="left" w:pos="0"/>
                <w:tab w:val="left" w:pos="900"/>
                <w:tab w:val="left" w:pos="6360"/>
              </w:tabs>
              <w:rPr>
                <w:rFonts w:asciiTheme="minorHAnsi" w:hAnsiTheme="minorHAnsi" w:cs="Times New Roman"/>
                <w:color w:val="auto"/>
              </w:rPr>
            </w:pPr>
            <w:r>
              <w:rPr>
                <w:rFonts w:asciiTheme="minorHAnsi" w:hAnsiTheme="minorHAnsi"/>
                <w:color w:val="auto"/>
              </w:rPr>
              <w:t xml:space="preserve">(R3) </w:t>
            </w:r>
            <w:r w:rsidR="00E66B63">
              <w:rPr>
                <w:rFonts w:asciiTheme="minorHAnsi" w:hAnsiTheme="minorHAnsi" w:cs="Times New Roman"/>
                <w:color w:val="auto"/>
              </w:rPr>
              <w:t>Interview entity staff and/or review documentation provided by the entity to understand how they respond to status changes on AVR.</w:t>
            </w:r>
          </w:p>
        </w:tc>
      </w:tr>
      <w:tr w:rsidR="00E66B63" w:rsidRPr="00705BB3" w14:paraId="1AD811CA" w14:textId="77777777" w:rsidTr="00063301">
        <w:tc>
          <w:tcPr>
            <w:tcW w:w="374" w:type="dxa"/>
          </w:tcPr>
          <w:p w14:paraId="1E7583C3" w14:textId="77777777" w:rsidR="00E66B63" w:rsidRPr="00DB1F76" w:rsidRDefault="00E66B63" w:rsidP="0006330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D4C8005" w14:textId="72047C25" w:rsidR="00E66B63" w:rsidRDefault="00E66B63" w:rsidP="00063301">
            <w:pPr>
              <w:widowControl w:val="0"/>
              <w:tabs>
                <w:tab w:val="left" w:pos="0"/>
                <w:tab w:val="left" w:pos="900"/>
                <w:tab w:val="left" w:pos="6360"/>
              </w:tabs>
              <w:rPr>
                <w:rFonts w:asciiTheme="minorHAnsi" w:hAnsiTheme="minorHAnsi"/>
                <w:color w:val="auto"/>
              </w:rPr>
            </w:pPr>
            <w:r>
              <w:rPr>
                <w:rFonts w:asciiTheme="minorHAnsi" w:hAnsiTheme="minorHAnsi"/>
                <w:color w:val="auto"/>
              </w:rPr>
              <w:t xml:space="preserve">(R3) </w:t>
            </w:r>
            <w:r>
              <w:rPr>
                <w:rFonts w:asciiTheme="minorHAnsi" w:hAnsiTheme="minorHAnsi" w:cs="Times New Roman"/>
                <w:color w:val="auto"/>
              </w:rPr>
              <w:t>Review evidence provided to determine if entity responded to status change on AVR in accordance with Requirement R3.</w:t>
            </w:r>
          </w:p>
        </w:tc>
      </w:tr>
      <w:tr w:rsidR="007124F6" w:rsidRPr="006C43BC" w14:paraId="0C0FCF42" w14:textId="77777777" w:rsidTr="00063301">
        <w:tc>
          <w:tcPr>
            <w:tcW w:w="10790" w:type="dxa"/>
            <w:gridSpan w:val="2"/>
            <w:shd w:val="clear" w:color="auto" w:fill="DCDCFF"/>
          </w:tcPr>
          <w:p w14:paraId="6792F6B8" w14:textId="62532EAB" w:rsidR="007124F6" w:rsidRPr="006C43BC" w:rsidRDefault="007124F6" w:rsidP="00D47F7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558EC55B" w14:textId="77777777" w:rsidR="007124F6" w:rsidRPr="006C43BC" w:rsidRDefault="007124F6" w:rsidP="007124F6">
      <w:pPr>
        <w:widowControl w:val="0"/>
        <w:tabs>
          <w:tab w:val="left" w:pos="0"/>
        </w:tabs>
        <w:rPr>
          <w:rFonts w:asciiTheme="minorHAnsi" w:hAnsiTheme="minorHAnsi" w:cs="Times New Roman"/>
          <w:b/>
          <w:bCs/>
        </w:rPr>
      </w:pPr>
    </w:p>
    <w:p w14:paraId="61361E9B" w14:textId="77777777" w:rsidR="007124F6" w:rsidRPr="006C43BC" w:rsidRDefault="007124F6" w:rsidP="007124F6">
      <w:pPr>
        <w:pStyle w:val="RqtSection"/>
        <w:rPr>
          <w:color w:val="264D74"/>
        </w:rPr>
      </w:pPr>
      <w:r w:rsidRPr="006C43BC">
        <w:t>Auditor</w:t>
      </w:r>
      <w:r>
        <w:t xml:space="preserve"> </w:t>
      </w:r>
      <w:r w:rsidRPr="006C43BC">
        <w:t>Notes:</w:t>
      </w:r>
      <w:r w:rsidRPr="006C43BC">
        <w:rPr>
          <w:color w:val="264D74"/>
        </w:rPr>
        <w:t xml:space="preserve"> </w:t>
      </w:r>
    </w:p>
    <w:p w14:paraId="74410562"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D788213"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3230E50"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2E8CCD5"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806E2F0" w14:textId="77777777" w:rsidR="007124F6" w:rsidRDefault="007124F6" w:rsidP="007124F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1FE59C6" w14:textId="4A1D8B0E" w:rsidR="00611D93" w:rsidRDefault="007124F6" w:rsidP="00611D93">
      <w:pPr>
        <w:pStyle w:val="SectHead"/>
      </w:pPr>
      <w:r>
        <w:rPr>
          <w:rFonts w:cs="Times New Roman"/>
        </w:rPr>
        <w:br w:type="page"/>
      </w:r>
      <w:r w:rsidR="00611D93" w:rsidRPr="006C43BC">
        <w:lastRenderedPageBreak/>
        <w:t>R</w:t>
      </w:r>
      <w:r w:rsidR="00611D93">
        <w:t>4</w:t>
      </w:r>
      <w:r w:rsidR="00611D93" w:rsidRPr="006C43BC">
        <w:t xml:space="preserve"> Supporting Evidence and Documentation</w:t>
      </w:r>
    </w:p>
    <w:p w14:paraId="6F9B8081" w14:textId="3E60A9CC" w:rsidR="00E66B63" w:rsidRPr="00572062" w:rsidRDefault="00572062" w:rsidP="00145977">
      <w:pPr>
        <w:pStyle w:val="Requirement"/>
        <w:numPr>
          <w:ilvl w:val="0"/>
          <w:numId w:val="5"/>
        </w:numPr>
        <w:tabs>
          <w:tab w:val="clear" w:pos="576"/>
          <w:tab w:val="num" w:pos="0"/>
        </w:tabs>
        <w:ind w:left="0" w:firstLine="0"/>
        <w:rPr>
          <w:rFonts w:asciiTheme="minorHAnsi" w:hAnsiTheme="minorHAnsi"/>
          <w:sz w:val="22"/>
          <w:szCs w:val="22"/>
        </w:rPr>
      </w:pPr>
      <w:r>
        <w:rPr>
          <w:rFonts w:asciiTheme="minorHAnsi" w:hAnsiTheme="minorHAnsi"/>
          <w:sz w:val="22"/>
          <w:szCs w:val="22"/>
        </w:rPr>
        <w:t xml:space="preserve">  </w:t>
      </w:r>
      <w:r w:rsidR="00E66B63" w:rsidRPr="00572062">
        <w:rPr>
          <w:rFonts w:asciiTheme="minorHAnsi" w:hAnsiTheme="minorHAnsi"/>
          <w:sz w:val="22"/>
          <w:szCs w:val="22"/>
        </w:rPr>
        <w:t xml:space="preserve">Each Generator Operator shall notify its associated Transmission Operator within 30 minutes after becoming aware of a change in reactive capability due to factors other than a status change described in Requirement R3. If the capability has been restored within 30 minutes of the Generator Operator becoming aware of such change, then the Generator Operator is not required to notify the Transmission Operator of the change in reactive capability.  </w:t>
      </w:r>
    </w:p>
    <w:p w14:paraId="79DDB81C" w14:textId="2ABAA5B9" w:rsidR="00741FFF" w:rsidRDefault="00741FFF" w:rsidP="00741FFF">
      <w:pPr>
        <w:pStyle w:val="Requirement"/>
        <w:numPr>
          <w:ilvl w:val="0"/>
          <w:numId w:val="15"/>
        </w:numPr>
        <w:ind w:left="900"/>
        <w:rPr>
          <w:rFonts w:asciiTheme="minorHAnsi" w:hAnsiTheme="minorHAnsi"/>
          <w:sz w:val="22"/>
          <w:szCs w:val="22"/>
        </w:rPr>
      </w:pPr>
      <w:r w:rsidRPr="00572062">
        <w:rPr>
          <w:rFonts w:asciiTheme="minorHAnsi" w:hAnsiTheme="minorHAnsi"/>
          <w:sz w:val="22"/>
          <w:szCs w:val="22"/>
        </w:rPr>
        <w:t>Reporting of status or capability changes as stated in Requirement R4 is not applicable to the individual generating units of dispersed power producing resources identified through Inclusion I4 of the Bulk Electric System definition.</w:t>
      </w:r>
    </w:p>
    <w:p w14:paraId="0AFEDC2C" w14:textId="77777777" w:rsidR="00572062" w:rsidRPr="00572062" w:rsidRDefault="00572062" w:rsidP="00572062">
      <w:pPr>
        <w:pStyle w:val="Requirement"/>
        <w:numPr>
          <w:ilvl w:val="0"/>
          <w:numId w:val="0"/>
        </w:numPr>
        <w:ind w:left="900"/>
        <w:rPr>
          <w:rFonts w:asciiTheme="minorHAnsi" w:hAnsiTheme="minorHAnsi"/>
          <w:sz w:val="22"/>
          <w:szCs w:val="22"/>
        </w:rPr>
      </w:pPr>
    </w:p>
    <w:p w14:paraId="3B9DC51B" w14:textId="1D5ED73F" w:rsidR="00E66B63" w:rsidRPr="00572062" w:rsidRDefault="00572062" w:rsidP="00145977">
      <w:pPr>
        <w:numPr>
          <w:ilvl w:val="0"/>
          <w:numId w:val="3"/>
        </w:numPr>
        <w:tabs>
          <w:tab w:val="clear" w:pos="576"/>
          <w:tab w:val="num" w:pos="0"/>
        </w:tabs>
        <w:autoSpaceDE/>
        <w:adjustRightInd/>
        <w:spacing w:after="120"/>
        <w:ind w:left="0" w:firstLine="0"/>
        <w:rPr>
          <w:rFonts w:asciiTheme="minorHAnsi" w:hAnsiTheme="minorHAnsi"/>
          <w:sz w:val="22"/>
          <w:szCs w:val="22"/>
        </w:rPr>
      </w:pPr>
      <w:r>
        <w:rPr>
          <w:rFonts w:asciiTheme="minorHAnsi" w:hAnsiTheme="minorHAnsi"/>
          <w:sz w:val="22"/>
          <w:szCs w:val="22"/>
        </w:rPr>
        <w:t xml:space="preserve">  </w:t>
      </w:r>
      <w:r w:rsidR="00E66B63" w:rsidRPr="00572062">
        <w:rPr>
          <w:rFonts w:asciiTheme="minorHAnsi" w:hAnsiTheme="minorHAnsi"/>
          <w:sz w:val="22"/>
          <w:szCs w:val="22"/>
        </w:rPr>
        <w:t>The Generator Operator shall have evidence it notified its associated Transmission Operator within 30 minutes of becoming aware of a change in reactive capability in accordance with Requirement R4. If the capability has been restored within the first 30 minutes, no notification is necessary.</w:t>
      </w:r>
    </w:p>
    <w:p w14:paraId="10650BB0" w14:textId="77777777" w:rsidR="00611D93" w:rsidRPr="006C43BC" w:rsidRDefault="00611D93" w:rsidP="00611D93">
      <w:pPr>
        <w:rPr>
          <w:rFonts w:asciiTheme="minorHAnsi" w:hAnsiTheme="minorHAnsi" w:cs="Times New Roman"/>
          <w:b/>
        </w:rPr>
      </w:pPr>
    </w:p>
    <w:p w14:paraId="4F6B9DFE" w14:textId="77777777" w:rsidR="00611D93" w:rsidRPr="006C43BC" w:rsidRDefault="00611D93" w:rsidP="00611D9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E9900D2" w14:textId="77777777" w:rsidR="00611D93" w:rsidRPr="00A5228E" w:rsidRDefault="00611D93" w:rsidP="00611D9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EC17989" w14:textId="77777777" w:rsidR="00611D93" w:rsidRPr="006C43BC" w:rsidRDefault="00611D93" w:rsidP="00611D9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F6089B5" w14:textId="77777777" w:rsidR="00611D93" w:rsidRPr="00705BB3" w:rsidRDefault="00611D93" w:rsidP="00611D93">
      <w:pPr>
        <w:widowControl w:val="0"/>
        <w:shd w:val="clear" w:color="auto" w:fill="CDFFCD"/>
        <w:jc w:val="both"/>
        <w:rPr>
          <w:rFonts w:asciiTheme="minorHAnsi" w:hAnsiTheme="minorHAnsi" w:cs="Times New Roman"/>
          <w:bCs/>
          <w:color w:val="auto"/>
          <w:sz w:val="22"/>
          <w:szCs w:val="22"/>
        </w:rPr>
      </w:pPr>
    </w:p>
    <w:p w14:paraId="158FD839" w14:textId="77777777" w:rsidR="00611D93" w:rsidRPr="00705BB3" w:rsidRDefault="00611D93" w:rsidP="00611D93">
      <w:pPr>
        <w:widowControl w:val="0"/>
        <w:shd w:val="clear" w:color="auto" w:fill="CDFFCD"/>
        <w:jc w:val="both"/>
        <w:rPr>
          <w:rFonts w:asciiTheme="minorHAnsi" w:hAnsiTheme="minorHAnsi" w:cs="Times New Roman"/>
          <w:bCs/>
          <w:color w:val="auto"/>
          <w:sz w:val="22"/>
          <w:szCs w:val="22"/>
        </w:rPr>
      </w:pPr>
    </w:p>
    <w:p w14:paraId="6BD17311" w14:textId="77777777" w:rsidR="00E66B63" w:rsidRDefault="00E66B63" w:rsidP="00E66B63">
      <w:pPr>
        <w:pStyle w:val="RqtSection"/>
      </w:pPr>
    </w:p>
    <w:p w14:paraId="7304EA13" w14:textId="77777777" w:rsidR="00E66B63" w:rsidRPr="006C43BC" w:rsidRDefault="00E66B63" w:rsidP="00E66B63">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E66B63" w:rsidRPr="006C43BC" w14:paraId="4C5392D6" w14:textId="77777777" w:rsidTr="00063301">
        <w:tc>
          <w:tcPr>
            <w:tcW w:w="10790" w:type="dxa"/>
            <w:shd w:val="clear" w:color="auto" w:fill="DCDCFF"/>
          </w:tcPr>
          <w:p w14:paraId="1E94C4EE" w14:textId="77777777" w:rsidR="00E66B63" w:rsidRPr="00705BB3" w:rsidRDefault="00E66B63" w:rsidP="0006330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E66B63" w:rsidRPr="00676D1E" w14:paraId="338D4900" w14:textId="77777777" w:rsidTr="00063301">
        <w:tc>
          <w:tcPr>
            <w:tcW w:w="10790" w:type="dxa"/>
            <w:shd w:val="clear" w:color="auto" w:fill="DCDCFF"/>
          </w:tcPr>
          <w:p w14:paraId="3D34F44F" w14:textId="60C7CD35" w:rsidR="00E66B63" w:rsidRDefault="00E66B63" w:rsidP="00063301">
            <w:pPr>
              <w:widowControl w:val="0"/>
              <w:jc w:val="both"/>
              <w:rPr>
                <w:rFonts w:asciiTheme="minorHAnsi" w:hAnsiTheme="minorHAnsi" w:cs="Times New Roman"/>
                <w:color w:val="auto"/>
              </w:rPr>
            </w:pPr>
            <w:r>
              <w:rPr>
                <w:rFonts w:asciiTheme="minorHAnsi" w:hAnsiTheme="minorHAnsi" w:cs="Times New Roman"/>
                <w:color w:val="auto"/>
              </w:rPr>
              <w:t>Evidence as outlined in R4 and any written policies, procedures or protocols describing how the entity responds to a change in reactive capability, if the entity has such documents. An example of entity’s response to a change in reactive capability provided by entity, if applicable.</w:t>
            </w:r>
          </w:p>
        </w:tc>
      </w:tr>
      <w:tr w:rsidR="00E66B63" w:rsidRPr="00676D1E" w14:paraId="15D01C11" w14:textId="77777777" w:rsidTr="00063301">
        <w:tc>
          <w:tcPr>
            <w:tcW w:w="10790" w:type="dxa"/>
            <w:shd w:val="clear" w:color="auto" w:fill="DCDCFF"/>
          </w:tcPr>
          <w:p w14:paraId="4E3657B8" w14:textId="65DF5D99" w:rsidR="00E66B63" w:rsidRDefault="00E66B63" w:rsidP="00063301">
            <w:pPr>
              <w:widowControl w:val="0"/>
              <w:jc w:val="both"/>
              <w:rPr>
                <w:rFonts w:asciiTheme="minorHAnsi" w:hAnsiTheme="minorHAnsi" w:cs="Times New Roman"/>
                <w:color w:val="auto"/>
              </w:rPr>
            </w:pPr>
            <w:r>
              <w:rPr>
                <w:rFonts w:asciiTheme="minorHAnsi" w:hAnsiTheme="minorHAnsi" w:cs="Times New Roman"/>
                <w:color w:val="auto"/>
              </w:rPr>
              <w:t>Auditor may select certain instances where entity may have been aware of a status change in reactive capability. In such instances, provide associated evidence of awareness and resolution/notification. See Note to Auditor for additional details.</w:t>
            </w:r>
          </w:p>
        </w:tc>
      </w:tr>
    </w:tbl>
    <w:p w14:paraId="4A66B2A9" w14:textId="77777777" w:rsidR="00611D93" w:rsidRDefault="00611D93" w:rsidP="00611D93">
      <w:pPr>
        <w:pStyle w:val="RqtSection"/>
      </w:pPr>
    </w:p>
    <w:p w14:paraId="70A3CF7B" w14:textId="77777777" w:rsidR="00611D93" w:rsidRPr="006C43BC" w:rsidRDefault="00611D93" w:rsidP="00611D9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11D93" w:rsidRPr="00812336" w14:paraId="722D49E6" w14:textId="77777777" w:rsidTr="00063301">
        <w:tc>
          <w:tcPr>
            <w:tcW w:w="10995" w:type="dxa"/>
            <w:gridSpan w:val="6"/>
            <w:shd w:val="clear" w:color="auto" w:fill="DCDCFF"/>
            <w:vAlign w:val="bottom"/>
          </w:tcPr>
          <w:p w14:paraId="575BA748" w14:textId="77777777" w:rsidR="00611D93" w:rsidRPr="00812336" w:rsidRDefault="00611D93" w:rsidP="0006330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11D93" w:rsidRPr="00812336" w14:paraId="2A2AF05E" w14:textId="77777777" w:rsidTr="00063301">
        <w:tc>
          <w:tcPr>
            <w:tcW w:w="2340" w:type="dxa"/>
            <w:shd w:val="clear" w:color="auto" w:fill="DCDCFF"/>
            <w:vAlign w:val="bottom"/>
          </w:tcPr>
          <w:p w14:paraId="4E78E71A" w14:textId="77777777" w:rsidR="00611D93" w:rsidRPr="00812336" w:rsidRDefault="00611D9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F46B5AD" w14:textId="77777777" w:rsidR="00611D93" w:rsidRPr="00812336" w:rsidRDefault="00611D9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6B47089" w14:textId="77777777" w:rsidR="00611D93" w:rsidRPr="00812336" w:rsidRDefault="00611D9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34E0491" w14:textId="77777777" w:rsidR="00611D93" w:rsidRPr="00812336" w:rsidRDefault="00611D9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31235D9" w14:textId="77777777" w:rsidR="00611D93" w:rsidRPr="00812336" w:rsidRDefault="00611D9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CA89362" w14:textId="77777777" w:rsidR="00611D93" w:rsidRPr="00812336" w:rsidRDefault="00611D9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11D93" w:rsidRPr="00705BB3" w14:paraId="161918C1" w14:textId="77777777" w:rsidTr="00063301">
        <w:tc>
          <w:tcPr>
            <w:tcW w:w="2340" w:type="dxa"/>
            <w:shd w:val="clear" w:color="auto" w:fill="CDFFCD"/>
          </w:tcPr>
          <w:p w14:paraId="4C5410DA"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01758B5"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AB2E59B"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C1F3A96"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51746B6"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9009321"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r>
      <w:tr w:rsidR="00611D93" w:rsidRPr="00705BB3" w14:paraId="4567734C" w14:textId="77777777" w:rsidTr="00063301">
        <w:tc>
          <w:tcPr>
            <w:tcW w:w="2340" w:type="dxa"/>
            <w:shd w:val="clear" w:color="auto" w:fill="CDFFCD"/>
          </w:tcPr>
          <w:p w14:paraId="5BD76DB1"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2980760"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D5FD32D"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035555D"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918BFD4"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5840959"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r>
      <w:tr w:rsidR="00611D93" w:rsidRPr="00705BB3" w14:paraId="460D7AF0" w14:textId="77777777" w:rsidTr="00063301">
        <w:tc>
          <w:tcPr>
            <w:tcW w:w="2340" w:type="dxa"/>
            <w:shd w:val="clear" w:color="auto" w:fill="CDFFCD"/>
          </w:tcPr>
          <w:p w14:paraId="2CBF0DE4"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884B128"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58D1064"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FBAA366"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1B3614"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CF675AE"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r>
    </w:tbl>
    <w:p w14:paraId="212C2D3C" w14:textId="77777777" w:rsidR="00B74D5F" w:rsidRPr="006C43BC" w:rsidRDefault="00B74D5F" w:rsidP="00611D93">
      <w:pPr>
        <w:widowControl w:val="0"/>
        <w:rPr>
          <w:rFonts w:asciiTheme="minorHAnsi" w:hAnsiTheme="minorHAnsi" w:cs="Times New Roman"/>
        </w:rPr>
      </w:pPr>
    </w:p>
    <w:p w14:paraId="34A49326" w14:textId="77777777" w:rsidR="00611D93" w:rsidRPr="006C43BC" w:rsidRDefault="00611D93" w:rsidP="00611D9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11D93" w:rsidRPr="00705BB3" w14:paraId="300F65FB" w14:textId="77777777" w:rsidTr="00063301">
        <w:tc>
          <w:tcPr>
            <w:tcW w:w="11016" w:type="dxa"/>
            <w:shd w:val="clear" w:color="auto" w:fill="auto"/>
          </w:tcPr>
          <w:p w14:paraId="28ADD69F" w14:textId="77777777" w:rsidR="00611D93" w:rsidRPr="00705BB3" w:rsidRDefault="00611D93" w:rsidP="00063301">
            <w:pPr>
              <w:widowControl w:val="0"/>
              <w:rPr>
                <w:rFonts w:asciiTheme="minorHAnsi" w:hAnsiTheme="minorHAnsi" w:cs="Times New Roman"/>
                <w:sz w:val="22"/>
                <w:szCs w:val="22"/>
              </w:rPr>
            </w:pPr>
          </w:p>
        </w:tc>
      </w:tr>
      <w:tr w:rsidR="00611D93" w:rsidRPr="00705BB3" w14:paraId="6FA5B4FC" w14:textId="77777777" w:rsidTr="00063301">
        <w:tc>
          <w:tcPr>
            <w:tcW w:w="11016" w:type="dxa"/>
            <w:shd w:val="clear" w:color="auto" w:fill="auto"/>
          </w:tcPr>
          <w:p w14:paraId="59C82E51" w14:textId="77777777" w:rsidR="00611D93" w:rsidRPr="00705BB3" w:rsidRDefault="00611D93" w:rsidP="00063301">
            <w:pPr>
              <w:widowControl w:val="0"/>
              <w:rPr>
                <w:rFonts w:asciiTheme="minorHAnsi" w:hAnsiTheme="minorHAnsi" w:cs="Times New Roman"/>
                <w:sz w:val="22"/>
                <w:szCs w:val="22"/>
              </w:rPr>
            </w:pPr>
          </w:p>
        </w:tc>
      </w:tr>
      <w:tr w:rsidR="00611D93" w:rsidRPr="00705BB3" w14:paraId="505704D3" w14:textId="77777777" w:rsidTr="00063301">
        <w:tc>
          <w:tcPr>
            <w:tcW w:w="11016" w:type="dxa"/>
            <w:shd w:val="clear" w:color="auto" w:fill="auto"/>
          </w:tcPr>
          <w:p w14:paraId="431D2667" w14:textId="77777777" w:rsidR="00611D93" w:rsidRPr="00705BB3" w:rsidRDefault="00611D93" w:rsidP="00063301">
            <w:pPr>
              <w:widowControl w:val="0"/>
              <w:rPr>
                <w:rFonts w:asciiTheme="minorHAnsi" w:hAnsiTheme="minorHAnsi" w:cs="Times New Roman"/>
                <w:sz w:val="22"/>
                <w:szCs w:val="22"/>
              </w:rPr>
            </w:pPr>
          </w:p>
        </w:tc>
      </w:tr>
    </w:tbl>
    <w:p w14:paraId="3560F077" w14:textId="77777777" w:rsidR="00611D93" w:rsidRPr="006C43BC" w:rsidRDefault="00611D93" w:rsidP="00611D93">
      <w:pPr>
        <w:widowControl w:val="0"/>
        <w:rPr>
          <w:rFonts w:asciiTheme="minorHAnsi" w:hAnsiTheme="minorHAnsi" w:cs="Times New Roman"/>
        </w:rPr>
      </w:pPr>
    </w:p>
    <w:p w14:paraId="62F5C897" w14:textId="73AB08B6" w:rsidR="00611D93" w:rsidRPr="00722443" w:rsidRDefault="00611D93" w:rsidP="00611D9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3818D1">
        <w:t>VAR-002-4.1</w:t>
      </w:r>
      <w:r>
        <w:t>, R4</w:t>
      </w:r>
    </w:p>
    <w:p w14:paraId="0A1D2E03" w14:textId="77777777" w:rsidR="00611D93" w:rsidRPr="006C43BC" w:rsidRDefault="00611D93" w:rsidP="00611D9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11D93" w:rsidRPr="00705BB3" w14:paraId="2E9347B2" w14:textId="77777777" w:rsidTr="00063301">
        <w:tc>
          <w:tcPr>
            <w:tcW w:w="374" w:type="dxa"/>
          </w:tcPr>
          <w:p w14:paraId="1C7AE4CF" w14:textId="77777777" w:rsidR="00611D93" w:rsidRPr="00DB1F76" w:rsidRDefault="00611D93" w:rsidP="0006330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1A8AA1F" w14:textId="5D86EFB7" w:rsidR="00611D93" w:rsidRPr="00DB1F76" w:rsidRDefault="00611D93" w:rsidP="00063301">
            <w:pPr>
              <w:widowControl w:val="0"/>
              <w:tabs>
                <w:tab w:val="left" w:pos="0"/>
                <w:tab w:val="left" w:pos="900"/>
                <w:tab w:val="left" w:pos="6360"/>
              </w:tabs>
              <w:rPr>
                <w:rFonts w:asciiTheme="minorHAnsi" w:hAnsiTheme="minorHAnsi" w:cs="Times New Roman"/>
                <w:color w:val="auto"/>
              </w:rPr>
            </w:pPr>
            <w:r>
              <w:rPr>
                <w:rFonts w:asciiTheme="minorHAnsi" w:hAnsiTheme="minorHAnsi"/>
                <w:color w:val="auto"/>
              </w:rPr>
              <w:t xml:space="preserve">(R4) </w:t>
            </w:r>
            <w:r w:rsidR="00E66B63">
              <w:rPr>
                <w:rFonts w:asciiTheme="minorHAnsi" w:hAnsiTheme="minorHAnsi" w:cs="Times New Roman"/>
                <w:color w:val="auto"/>
              </w:rPr>
              <w:t>Interview entity staff and/or review documentation provided by the entity to understand how they respond to change in reactive capability.</w:t>
            </w:r>
          </w:p>
        </w:tc>
      </w:tr>
      <w:tr w:rsidR="00611D93" w:rsidRPr="00705BB3" w14:paraId="6D95CD3D" w14:textId="77777777" w:rsidTr="00063301">
        <w:tc>
          <w:tcPr>
            <w:tcW w:w="374" w:type="dxa"/>
          </w:tcPr>
          <w:p w14:paraId="0A562E02" w14:textId="77777777" w:rsidR="00611D93" w:rsidRPr="00DB1F76" w:rsidRDefault="00611D93" w:rsidP="0006330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272FBDEC" w14:textId="15FA6687" w:rsidR="00611D93" w:rsidRDefault="00E66B63" w:rsidP="00063301">
            <w:pPr>
              <w:widowControl w:val="0"/>
              <w:tabs>
                <w:tab w:val="left" w:pos="0"/>
                <w:tab w:val="left" w:pos="900"/>
                <w:tab w:val="left" w:pos="6360"/>
              </w:tabs>
              <w:rPr>
                <w:rFonts w:asciiTheme="minorHAnsi" w:hAnsiTheme="minorHAnsi"/>
                <w:color w:val="auto"/>
              </w:rPr>
            </w:pPr>
            <w:r>
              <w:rPr>
                <w:rFonts w:asciiTheme="minorHAnsi" w:hAnsiTheme="minorHAnsi" w:cs="Times New Roman"/>
                <w:color w:val="auto"/>
              </w:rPr>
              <w:t>(R4</w:t>
            </w:r>
            <w:r w:rsidR="00611D93">
              <w:rPr>
                <w:rFonts w:asciiTheme="minorHAnsi" w:hAnsiTheme="minorHAnsi" w:cs="Times New Roman"/>
                <w:color w:val="auto"/>
              </w:rPr>
              <w:t xml:space="preserve">) </w:t>
            </w:r>
            <w:r w:rsidR="00145977">
              <w:rPr>
                <w:rFonts w:asciiTheme="minorHAnsi" w:hAnsiTheme="minorHAnsi" w:cs="Times New Roman"/>
                <w:color w:val="auto"/>
              </w:rPr>
              <w:t>Review evidence provided to determine if entity responded to change in reactive capability in accordance with Requirement R4.</w:t>
            </w:r>
          </w:p>
        </w:tc>
      </w:tr>
      <w:tr w:rsidR="00611D93" w:rsidRPr="006C43BC" w14:paraId="1B1D42AB" w14:textId="77777777" w:rsidTr="00063301">
        <w:tc>
          <w:tcPr>
            <w:tcW w:w="10790" w:type="dxa"/>
            <w:gridSpan w:val="2"/>
            <w:shd w:val="clear" w:color="auto" w:fill="DCDCFF"/>
          </w:tcPr>
          <w:p w14:paraId="654EF34F" w14:textId="58AF15E2" w:rsidR="00DE4CF6" w:rsidRDefault="00611D93" w:rsidP="00063301">
            <w:pPr>
              <w:widowControl w:val="0"/>
              <w:tabs>
                <w:tab w:val="left" w:pos="0"/>
                <w:tab w:val="left" w:pos="801"/>
              </w:tabs>
              <w:rPr>
                <w:rFonts w:asciiTheme="minorHAnsi" w:hAnsiTheme="minorHAnsi"/>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145977">
              <w:rPr>
                <w:rFonts w:asciiTheme="minorHAnsi" w:hAnsiTheme="minorHAnsi"/>
                <w:color w:val="auto"/>
              </w:rPr>
              <w:t xml:space="preserve">It is clear that </w:t>
            </w:r>
            <w:r w:rsidR="003818D1">
              <w:rPr>
                <w:rFonts w:asciiTheme="minorHAnsi" w:hAnsiTheme="minorHAnsi"/>
                <w:color w:val="auto"/>
              </w:rPr>
              <w:t>VAR-002-4.1</w:t>
            </w:r>
            <w:r w:rsidR="00145977">
              <w:rPr>
                <w:rFonts w:asciiTheme="minorHAnsi" w:hAnsiTheme="minorHAnsi"/>
                <w:color w:val="auto"/>
              </w:rPr>
              <w:t xml:space="preserve">, Requirement R4 will only be a violation if the change is not reported after 30 minutes of becoming aware of the status change in reactive capability. An auditor will ask an entity for evidence to demonstrate when it became aware of the change.  This will not be purely subjective; there are technical instances (e.g. unit trips, ramping, </w:t>
            </w:r>
            <w:r w:rsidR="00340F3B">
              <w:rPr>
                <w:rFonts w:asciiTheme="minorHAnsi" w:hAnsiTheme="minorHAnsi"/>
                <w:color w:val="auto"/>
              </w:rPr>
              <w:t xml:space="preserve">and </w:t>
            </w:r>
            <w:r w:rsidR="00145977">
              <w:rPr>
                <w:rFonts w:asciiTheme="minorHAnsi" w:hAnsiTheme="minorHAnsi"/>
                <w:color w:val="auto"/>
              </w:rPr>
              <w:t>equipment/AVR failures) where it is likely that an entity was made aware of the change in reactive capability.</w:t>
            </w:r>
          </w:p>
          <w:p w14:paraId="6FDB801D" w14:textId="77777777" w:rsidR="00DE4CF6" w:rsidRDefault="00DE4CF6" w:rsidP="00063301">
            <w:pPr>
              <w:widowControl w:val="0"/>
              <w:tabs>
                <w:tab w:val="left" w:pos="0"/>
                <w:tab w:val="left" w:pos="801"/>
              </w:tabs>
              <w:rPr>
                <w:rFonts w:asciiTheme="minorHAnsi" w:hAnsiTheme="minorHAnsi"/>
                <w:color w:val="auto"/>
              </w:rPr>
            </w:pPr>
          </w:p>
          <w:p w14:paraId="633248BC" w14:textId="3BF1E234" w:rsidR="00DE4CF6" w:rsidRPr="00DE4CF6" w:rsidRDefault="00DE4CF6" w:rsidP="00DE4CF6">
            <w:pPr>
              <w:widowControl w:val="0"/>
              <w:tabs>
                <w:tab w:val="left" w:pos="0"/>
                <w:tab w:val="left" w:pos="801"/>
              </w:tabs>
              <w:rPr>
                <w:color w:val="auto"/>
              </w:rPr>
            </w:pPr>
            <w:r>
              <w:rPr>
                <w:rFonts w:asciiTheme="minorHAnsi" w:hAnsiTheme="minorHAnsi"/>
                <w:color w:val="auto"/>
              </w:rPr>
              <w:t>Also, the bulleted part of the requirement stating “</w:t>
            </w:r>
            <w:r w:rsidRPr="00DE4CF6">
              <w:rPr>
                <w:rFonts w:asciiTheme="minorHAnsi" w:hAnsiTheme="minorHAnsi"/>
                <w:color w:val="auto"/>
              </w:rPr>
              <w:tab/>
              <w:t>Reporting of status or capability changes as stated in Requirement R4  is not applicable to the individual generating units of dispersed power producing resources identified through Inclusion I4 of the Bulk Electric System definition</w:t>
            </w:r>
            <w:r>
              <w:rPr>
                <w:rFonts w:asciiTheme="minorHAnsi" w:hAnsiTheme="minorHAnsi"/>
                <w:color w:val="auto"/>
              </w:rPr>
              <w:t>” only applies to Requirement R4, not Requirement R3.</w:t>
            </w:r>
          </w:p>
        </w:tc>
      </w:tr>
    </w:tbl>
    <w:p w14:paraId="4C9362F3" w14:textId="77777777" w:rsidR="00611D93" w:rsidRPr="006C43BC" w:rsidRDefault="00611D93" w:rsidP="00611D93">
      <w:pPr>
        <w:widowControl w:val="0"/>
        <w:tabs>
          <w:tab w:val="left" w:pos="0"/>
        </w:tabs>
        <w:rPr>
          <w:rFonts w:asciiTheme="minorHAnsi" w:hAnsiTheme="minorHAnsi" w:cs="Times New Roman"/>
          <w:b/>
          <w:bCs/>
        </w:rPr>
      </w:pPr>
    </w:p>
    <w:p w14:paraId="4D47F365" w14:textId="77777777" w:rsidR="00611D93" w:rsidRPr="006C43BC" w:rsidRDefault="00611D93" w:rsidP="00611D93">
      <w:pPr>
        <w:pStyle w:val="RqtSection"/>
        <w:rPr>
          <w:color w:val="264D74"/>
        </w:rPr>
      </w:pPr>
      <w:r w:rsidRPr="006C43BC">
        <w:t>Auditor</w:t>
      </w:r>
      <w:r>
        <w:t xml:space="preserve"> </w:t>
      </w:r>
      <w:r w:rsidRPr="006C43BC">
        <w:t>Notes:</w:t>
      </w:r>
      <w:r w:rsidRPr="006C43BC">
        <w:rPr>
          <w:color w:val="264D74"/>
        </w:rPr>
        <w:t xml:space="preserve"> </w:t>
      </w:r>
    </w:p>
    <w:p w14:paraId="5C5151D7"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6BD9161"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17EFBC6"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F8DA3FD"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D8D836"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D63106B" w14:textId="0D5AEEC4" w:rsidR="00611D93" w:rsidRDefault="00611D93" w:rsidP="00611D93">
      <w:pPr>
        <w:pStyle w:val="SectHead"/>
      </w:pPr>
      <w:r>
        <w:rPr>
          <w:rFonts w:cs="Times New Roman"/>
        </w:rPr>
        <w:br w:type="page"/>
      </w:r>
      <w:r w:rsidRPr="006C43BC">
        <w:lastRenderedPageBreak/>
        <w:t>R</w:t>
      </w:r>
      <w:r w:rsidR="00AB7B32">
        <w:t>5</w:t>
      </w:r>
      <w:r w:rsidRPr="006C43BC">
        <w:t xml:space="preserve"> Supporting Evidence and Documentation</w:t>
      </w:r>
    </w:p>
    <w:p w14:paraId="10C64C84" w14:textId="0AD70BE2" w:rsidR="00C823BE" w:rsidRPr="00572062" w:rsidRDefault="00572062" w:rsidP="00C823BE">
      <w:pPr>
        <w:pStyle w:val="Requirement"/>
        <w:numPr>
          <w:ilvl w:val="0"/>
          <w:numId w:val="5"/>
        </w:numPr>
        <w:tabs>
          <w:tab w:val="clear" w:pos="576"/>
          <w:tab w:val="num" w:pos="0"/>
        </w:tabs>
        <w:ind w:left="0" w:firstLine="0"/>
        <w:rPr>
          <w:rFonts w:ascii="Calibri" w:hAnsi="Calibri"/>
          <w:sz w:val="22"/>
          <w:szCs w:val="22"/>
        </w:rPr>
      </w:pPr>
      <w:r>
        <w:rPr>
          <w:rFonts w:ascii="Calibri" w:hAnsi="Calibri"/>
          <w:sz w:val="22"/>
          <w:szCs w:val="22"/>
        </w:rPr>
        <w:t xml:space="preserve">  </w:t>
      </w:r>
      <w:r w:rsidR="00C823BE" w:rsidRPr="00572062">
        <w:rPr>
          <w:rFonts w:ascii="Calibri" w:hAnsi="Calibri"/>
          <w:sz w:val="22"/>
          <w:szCs w:val="22"/>
        </w:rPr>
        <w:t xml:space="preserve">The Generator Owner shall provide the following to its associated Transmission Operator and Transmission Planner within 30 calendar days of a request. </w:t>
      </w:r>
    </w:p>
    <w:p w14:paraId="22721136" w14:textId="497FAED8" w:rsidR="00C823BE" w:rsidRPr="00572062" w:rsidRDefault="00C823BE" w:rsidP="00C823BE">
      <w:pPr>
        <w:pStyle w:val="Requirement"/>
        <w:numPr>
          <w:ilvl w:val="1"/>
          <w:numId w:val="5"/>
        </w:numPr>
        <w:rPr>
          <w:rFonts w:ascii="Calibri" w:hAnsi="Calibri"/>
          <w:sz w:val="22"/>
          <w:szCs w:val="22"/>
        </w:rPr>
      </w:pPr>
      <w:r w:rsidRPr="00572062">
        <w:rPr>
          <w:rFonts w:ascii="Calibri" w:hAnsi="Calibri"/>
          <w:sz w:val="22"/>
          <w:szCs w:val="22"/>
        </w:rPr>
        <w:t>For generator step-up and auxiliary transformers</w:t>
      </w:r>
      <w:r w:rsidR="00B3496E" w:rsidRPr="00572062">
        <w:rPr>
          <w:rStyle w:val="FootnoteReference"/>
          <w:rFonts w:ascii="Calibri" w:hAnsi="Calibri"/>
          <w:sz w:val="22"/>
          <w:szCs w:val="22"/>
        </w:rPr>
        <w:footnoteReference w:id="7"/>
      </w:r>
      <w:r w:rsidRPr="00572062">
        <w:rPr>
          <w:rFonts w:ascii="Calibri" w:hAnsi="Calibri"/>
          <w:sz w:val="22"/>
          <w:szCs w:val="22"/>
        </w:rPr>
        <w:t xml:space="preserve"> with primary voltages equal to or greater than the generator terminal voltage:</w:t>
      </w:r>
    </w:p>
    <w:p w14:paraId="12E49654" w14:textId="77777777" w:rsidR="00C823BE" w:rsidRPr="00572062" w:rsidRDefault="00C823BE" w:rsidP="00C823BE">
      <w:pPr>
        <w:pStyle w:val="ListParagraph"/>
        <w:numPr>
          <w:ilvl w:val="0"/>
          <w:numId w:val="7"/>
        </w:numPr>
        <w:autoSpaceDE/>
        <w:autoSpaceDN/>
        <w:adjustRightInd/>
        <w:spacing w:after="120"/>
        <w:contextualSpacing w:val="0"/>
        <w:rPr>
          <w:rFonts w:ascii="Calibri" w:hAnsi="Calibri" w:cs="Times New Roman"/>
          <w:vanish/>
          <w:color w:val="auto"/>
          <w:sz w:val="22"/>
          <w:szCs w:val="22"/>
        </w:rPr>
      </w:pPr>
    </w:p>
    <w:p w14:paraId="39BA670E" w14:textId="77777777" w:rsidR="00C823BE" w:rsidRPr="00572062" w:rsidRDefault="00C823BE" w:rsidP="00C823BE">
      <w:pPr>
        <w:pStyle w:val="ListParagraph"/>
        <w:numPr>
          <w:ilvl w:val="0"/>
          <w:numId w:val="7"/>
        </w:numPr>
        <w:autoSpaceDE/>
        <w:autoSpaceDN/>
        <w:adjustRightInd/>
        <w:spacing w:after="120"/>
        <w:contextualSpacing w:val="0"/>
        <w:rPr>
          <w:rFonts w:ascii="Calibri" w:hAnsi="Calibri" w:cs="Times New Roman"/>
          <w:vanish/>
          <w:color w:val="auto"/>
          <w:sz w:val="22"/>
          <w:szCs w:val="22"/>
        </w:rPr>
      </w:pPr>
    </w:p>
    <w:p w14:paraId="6F245EF8" w14:textId="77777777" w:rsidR="00C823BE" w:rsidRPr="00572062" w:rsidRDefault="00C823BE" w:rsidP="00C823BE">
      <w:pPr>
        <w:pStyle w:val="ListParagraph"/>
        <w:numPr>
          <w:ilvl w:val="0"/>
          <w:numId w:val="7"/>
        </w:numPr>
        <w:autoSpaceDE/>
        <w:autoSpaceDN/>
        <w:adjustRightInd/>
        <w:spacing w:after="120"/>
        <w:contextualSpacing w:val="0"/>
        <w:rPr>
          <w:rFonts w:ascii="Calibri" w:hAnsi="Calibri" w:cs="Times New Roman"/>
          <w:vanish/>
          <w:color w:val="auto"/>
          <w:sz w:val="22"/>
          <w:szCs w:val="22"/>
        </w:rPr>
      </w:pPr>
    </w:p>
    <w:p w14:paraId="2BFD36BE" w14:textId="77777777" w:rsidR="00C823BE" w:rsidRPr="00572062" w:rsidRDefault="00C823BE" w:rsidP="00C823BE">
      <w:pPr>
        <w:pStyle w:val="ListParagraph"/>
        <w:numPr>
          <w:ilvl w:val="1"/>
          <w:numId w:val="7"/>
        </w:numPr>
        <w:autoSpaceDE/>
        <w:autoSpaceDN/>
        <w:adjustRightInd/>
        <w:spacing w:after="120"/>
        <w:contextualSpacing w:val="0"/>
        <w:rPr>
          <w:rFonts w:ascii="Calibri" w:hAnsi="Calibri" w:cs="Times New Roman"/>
          <w:vanish/>
          <w:color w:val="auto"/>
          <w:sz w:val="22"/>
          <w:szCs w:val="22"/>
        </w:rPr>
      </w:pPr>
    </w:p>
    <w:p w14:paraId="0D0B135F" w14:textId="615C462E" w:rsidR="00C823BE" w:rsidRPr="00572062" w:rsidRDefault="00C823BE" w:rsidP="00C823BE">
      <w:pPr>
        <w:pStyle w:val="Requirement"/>
        <w:numPr>
          <w:ilvl w:val="2"/>
          <w:numId w:val="7"/>
        </w:numPr>
        <w:tabs>
          <w:tab w:val="clear" w:pos="1368"/>
          <w:tab w:val="num" w:pos="1926"/>
        </w:tabs>
        <w:ind w:left="2790"/>
        <w:rPr>
          <w:rFonts w:ascii="Calibri" w:hAnsi="Calibri"/>
          <w:sz w:val="22"/>
          <w:szCs w:val="22"/>
        </w:rPr>
      </w:pPr>
      <w:r w:rsidRPr="00572062">
        <w:rPr>
          <w:rFonts w:ascii="Calibri" w:hAnsi="Calibri"/>
          <w:sz w:val="22"/>
          <w:szCs w:val="22"/>
        </w:rPr>
        <w:t xml:space="preserve">Tap settings. </w:t>
      </w:r>
    </w:p>
    <w:p w14:paraId="7CF2D350" w14:textId="77777777" w:rsidR="00C823BE" w:rsidRPr="00572062" w:rsidRDefault="00C823BE" w:rsidP="00C823BE">
      <w:pPr>
        <w:pStyle w:val="Requirement"/>
        <w:numPr>
          <w:ilvl w:val="2"/>
          <w:numId w:val="7"/>
        </w:numPr>
        <w:ind w:left="2790"/>
        <w:rPr>
          <w:rFonts w:ascii="Calibri" w:hAnsi="Calibri"/>
          <w:sz w:val="22"/>
          <w:szCs w:val="22"/>
        </w:rPr>
      </w:pPr>
      <w:r w:rsidRPr="00572062">
        <w:rPr>
          <w:rFonts w:ascii="Calibri" w:hAnsi="Calibri"/>
          <w:sz w:val="22"/>
          <w:szCs w:val="22"/>
        </w:rPr>
        <w:t xml:space="preserve">Available fixed tap ranges. </w:t>
      </w:r>
    </w:p>
    <w:p w14:paraId="0AA19FEC" w14:textId="77777777" w:rsidR="00C823BE" w:rsidRDefault="00C823BE" w:rsidP="00C823BE">
      <w:pPr>
        <w:pStyle w:val="Requirement"/>
        <w:numPr>
          <w:ilvl w:val="2"/>
          <w:numId w:val="7"/>
        </w:numPr>
        <w:ind w:left="2790"/>
        <w:rPr>
          <w:rFonts w:ascii="Calibri" w:hAnsi="Calibri"/>
          <w:sz w:val="22"/>
          <w:szCs w:val="22"/>
        </w:rPr>
      </w:pPr>
      <w:r w:rsidRPr="00572062">
        <w:rPr>
          <w:rFonts w:ascii="Calibri" w:hAnsi="Calibri"/>
          <w:sz w:val="22"/>
          <w:szCs w:val="22"/>
        </w:rPr>
        <w:t xml:space="preserve">Impedance data. </w:t>
      </w:r>
    </w:p>
    <w:p w14:paraId="614ABB43" w14:textId="77777777" w:rsidR="00572062" w:rsidRPr="00572062" w:rsidRDefault="00572062" w:rsidP="00572062">
      <w:pPr>
        <w:pStyle w:val="Requirement"/>
        <w:numPr>
          <w:ilvl w:val="0"/>
          <w:numId w:val="0"/>
        </w:numPr>
        <w:ind w:left="2790"/>
        <w:rPr>
          <w:rFonts w:ascii="Calibri" w:hAnsi="Calibri"/>
          <w:sz w:val="22"/>
          <w:szCs w:val="22"/>
        </w:rPr>
      </w:pPr>
    </w:p>
    <w:p w14:paraId="7580DDF3" w14:textId="1B32760C" w:rsidR="00C823BE" w:rsidRDefault="00572062" w:rsidP="00C823BE">
      <w:pPr>
        <w:numPr>
          <w:ilvl w:val="0"/>
          <w:numId w:val="3"/>
        </w:numPr>
        <w:tabs>
          <w:tab w:val="clear" w:pos="576"/>
          <w:tab w:val="num" w:pos="0"/>
        </w:tabs>
        <w:autoSpaceDE/>
        <w:adjustRightInd/>
        <w:spacing w:after="120"/>
        <w:ind w:left="0" w:firstLine="0"/>
        <w:rPr>
          <w:rFonts w:ascii="Calibri" w:hAnsi="Calibri"/>
          <w:sz w:val="22"/>
          <w:szCs w:val="22"/>
        </w:rPr>
      </w:pPr>
      <w:r>
        <w:rPr>
          <w:rFonts w:ascii="Calibri" w:hAnsi="Calibri"/>
          <w:sz w:val="22"/>
          <w:szCs w:val="22"/>
        </w:rPr>
        <w:t xml:space="preserve">  </w:t>
      </w:r>
      <w:r w:rsidR="00C823BE" w:rsidRPr="00572062">
        <w:rPr>
          <w:rFonts w:ascii="Calibri" w:hAnsi="Calibri"/>
          <w:sz w:val="22"/>
          <w:szCs w:val="22"/>
        </w:rPr>
        <w:t xml:space="preserve">The Generator Owner shall have evidence it provided its associated Transmission Operator and Transmission Planner with information on its step-up transformers and auxiliary transformers as required in Requirements R5 </w:t>
      </w:r>
      <w:r w:rsidR="007218AA">
        <w:rPr>
          <w:rFonts w:ascii="Calibri" w:hAnsi="Calibri"/>
          <w:sz w:val="22"/>
          <w:szCs w:val="22"/>
        </w:rPr>
        <w:t>P</w:t>
      </w:r>
      <w:r w:rsidR="00C823BE" w:rsidRPr="00572062">
        <w:rPr>
          <w:rFonts w:ascii="Calibri" w:hAnsi="Calibri"/>
          <w:sz w:val="22"/>
          <w:szCs w:val="22"/>
        </w:rPr>
        <w:t xml:space="preserve">art 5.1.1 through </w:t>
      </w:r>
      <w:r w:rsidR="007218AA">
        <w:rPr>
          <w:rFonts w:ascii="Calibri" w:hAnsi="Calibri"/>
          <w:sz w:val="22"/>
          <w:szCs w:val="22"/>
        </w:rPr>
        <w:t>P</w:t>
      </w:r>
      <w:r w:rsidR="00C823BE" w:rsidRPr="00572062">
        <w:rPr>
          <w:rFonts w:ascii="Calibri" w:hAnsi="Calibri"/>
          <w:sz w:val="22"/>
          <w:szCs w:val="22"/>
        </w:rPr>
        <w:t>art 5.1.3</w:t>
      </w:r>
      <w:r w:rsidR="00672E7A">
        <w:rPr>
          <w:rFonts w:ascii="Calibri" w:hAnsi="Calibri"/>
          <w:sz w:val="22"/>
          <w:szCs w:val="22"/>
        </w:rPr>
        <w:t xml:space="preserve"> within 30 calendar days</w:t>
      </w:r>
      <w:r w:rsidR="00C823BE" w:rsidRPr="00572062">
        <w:rPr>
          <w:rFonts w:ascii="Calibri" w:hAnsi="Calibri"/>
          <w:sz w:val="22"/>
          <w:szCs w:val="22"/>
        </w:rPr>
        <w:t>.</w:t>
      </w:r>
    </w:p>
    <w:p w14:paraId="0EFC9853" w14:textId="77777777" w:rsidR="00572062" w:rsidRPr="00572062" w:rsidRDefault="00572062" w:rsidP="00572062">
      <w:pPr>
        <w:autoSpaceDE/>
        <w:adjustRightInd/>
        <w:spacing w:after="120"/>
        <w:rPr>
          <w:rFonts w:ascii="Calibri" w:hAnsi="Calibri"/>
          <w:sz w:val="22"/>
          <w:szCs w:val="22"/>
        </w:rPr>
      </w:pPr>
    </w:p>
    <w:p w14:paraId="58055F3E" w14:textId="77777777" w:rsidR="00C823BE" w:rsidRPr="006C43BC" w:rsidRDefault="00C823BE" w:rsidP="00C823BE">
      <w:pPr>
        <w:pStyle w:val="RqtSection"/>
        <w:rPr>
          <w:rFonts w:cstheme="minorHAnsi"/>
          <w:i/>
          <w:iCs/>
        </w:rPr>
      </w:pPr>
      <w:r>
        <w:t>Evidence Requested</w:t>
      </w:r>
      <w:r>
        <w:rPr>
          <w:rStyle w:val="EndnoteReference"/>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C823BE" w:rsidRPr="006C43BC" w14:paraId="2F4B92CC" w14:textId="77777777" w:rsidTr="00063301">
        <w:tc>
          <w:tcPr>
            <w:tcW w:w="10790" w:type="dxa"/>
            <w:shd w:val="clear" w:color="auto" w:fill="DCDCFF"/>
          </w:tcPr>
          <w:p w14:paraId="6123A3B0" w14:textId="77777777" w:rsidR="00C823BE" w:rsidRPr="00705BB3" w:rsidRDefault="00C823BE" w:rsidP="00063301">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823BE" w:rsidRPr="00676D1E" w14:paraId="42ABCE7B" w14:textId="77777777" w:rsidTr="00063301">
        <w:tc>
          <w:tcPr>
            <w:tcW w:w="10790" w:type="dxa"/>
            <w:shd w:val="clear" w:color="auto" w:fill="DCDCFF"/>
          </w:tcPr>
          <w:p w14:paraId="014B5941" w14:textId="2C6FBAD3" w:rsidR="00C823BE" w:rsidRDefault="00C823BE" w:rsidP="00063301">
            <w:pPr>
              <w:widowControl w:val="0"/>
              <w:jc w:val="both"/>
              <w:rPr>
                <w:rFonts w:asciiTheme="minorHAnsi" w:hAnsiTheme="minorHAnsi" w:cs="Times New Roman"/>
                <w:color w:val="auto"/>
              </w:rPr>
            </w:pPr>
            <w:r>
              <w:rPr>
                <w:rFonts w:asciiTheme="minorHAnsi" w:hAnsiTheme="minorHAnsi" w:cs="Times New Roman"/>
                <w:color w:val="auto"/>
              </w:rPr>
              <w:t xml:space="preserve">Evidence as outlined in R5. </w:t>
            </w:r>
            <w:r>
              <w:rPr>
                <w:rFonts w:asciiTheme="minorHAnsi" w:hAnsiTheme="minorHAnsi"/>
                <w:color w:val="auto"/>
                <w:szCs w:val="22"/>
              </w:rPr>
              <w:t xml:space="preserve">Evidence of transmittal of the data could include, but is not limited to, items such as an electronic message or a transmittal letter with the information included or attached.   </w:t>
            </w:r>
          </w:p>
        </w:tc>
      </w:tr>
    </w:tbl>
    <w:p w14:paraId="164DB8AC" w14:textId="77777777" w:rsidR="00611D93" w:rsidRPr="006C43BC" w:rsidRDefault="00611D93" w:rsidP="00611D93">
      <w:pPr>
        <w:rPr>
          <w:rFonts w:asciiTheme="minorHAnsi" w:hAnsiTheme="minorHAnsi" w:cs="Times New Roman"/>
          <w:b/>
        </w:rPr>
      </w:pPr>
    </w:p>
    <w:p w14:paraId="3EB26272" w14:textId="77777777" w:rsidR="00611D93" w:rsidRPr="006C43BC" w:rsidRDefault="00611D93" w:rsidP="00611D9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C777F96" w14:textId="77777777" w:rsidR="00611D93" w:rsidRPr="00A5228E" w:rsidRDefault="00611D93" w:rsidP="00611D9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F6684F7" w14:textId="77777777" w:rsidR="00611D93" w:rsidRPr="006C43BC" w:rsidRDefault="00611D93" w:rsidP="00611D9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B07F203" w14:textId="77777777" w:rsidR="00611D93" w:rsidRPr="00705BB3" w:rsidRDefault="00611D93" w:rsidP="00611D93">
      <w:pPr>
        <w:widowControl w:val="0"/>
        <w:shd w:val="clear" w:color="auto" w:fill="CDFFCD"/>
        <w:jc w:val="both"/>
        <w:rPr>
          <w:rFonts w:asciiTheme="minorHAnsi" w:hAnsiTheme="minorHAnsi" w:cs="Times New Roman"/>
          <w:bCs/>
          <w:color w:val="auto"/>
          <w:sz w:val="22"/>
          <w:szCs w:val="22"/>
        </w:rPr>
      </w:pPr>
    </w:p>
    <w:p w14:paraId="0ADC47B7" w14:textId="77777777" w:rsidR="00611D93" w:rsidRPr="00705BB3" w:rsidRDefault="00611D93" w:rsidP="00611D93">
      <w:pPr>
        <w:widowControl w:val="0"/>
        <w:shd w:val="clear" w:color="auto" w:fill="CDFFCD"/>
        <w:jc w:val="both"/>
        <w:rPr>
          <w:rFonts w:asciiTheme="minorHAnsi" w:hAnsiTheme="minorHAnsi" w:cs="Times New Roman"/>
          <w:bCs/>
          <w:color w:val="auto"/>
          <w:sz w:val="22"/>
          <w:szCs w:val="22"/>
        </w:rPr>
      </w:pPr>
    </w:p>
    <w:p w14:paraId="3FB7FD2A" w14:textId="77777777" w:rsidR="00611D93" w:rsidRDefault="00611D93" w:rsidP="00611D93">
      <w:pPr>
        <w:pStyle w:val="RqtSection"/>
      </w:pPr>
    </w:p>
    <w:p w14:paraId="10780B41" w14:textId="77777777" w:rsidR="00611D93" w:rsidRPr="006C43BC" w:rsidRDefault="00611D93" w:rsidP="00611D9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11D93" w:rsidRPr="00812336" w14:paraId="09B35BA9" w14:textId="77777777" w:rsidTr="00063301">
        <w:tc>
          <w:tcPr>
            <w:tcW w:w="10995" w:type="dxa"/>
            <w:gridSpan w:val="6"/>
            <w:shd w:val="clear" w:color="auto" w:fill="DCDCFF"/>
            <w:vAlign w:val="bottom"/>
          </w:tcPr>
          <w:p w14:paraId="68546BAB" w14:textId="77777777" w:rsidR="00611D93" w:rsidRPr="00812336" w:rsidRDefault="00611D93" w:rsidP="0006330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11D93" w:rsidRPr="00812336" w14:paraId="5B951EB5" w14:textId="77777777" w:rsidTr="00063301">
        <w:tc>
          <w:tcPr>
            <w:tcW w:w="2340" w:type="dxa"/>
            <w:shd w:val="clear" w:color="auto" w:fill="DCDCFF"/>
            <w:vAlign w:val="bottom"/>
          </w:tcPr>
          <w:p w14:paraId="40D02262" w14:textId="77777777" w:rsidR="00611D93" w:rsidRPr="00812336" w:rsidRDefault="00611D9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BC3E817" w14:textId="77777777" w:rsidR="00611D93" w:rsidRPr="00812336" w:rsidRDefault="00611D9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5AB6FB4" w14:textId="77777777" w:rsidR="00611D93" w:rsidRPr="00812336" w:rsidRDefault="00611D9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CE932D1" w14:textId="77777777" w:rsidR="00611D93" w:rsidRPr="00812336" w:rsidRDefault="00611D9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94F6175" w14:textId="77777777" w:rsidR="00611D93" w:rsidRPr="00812336" w:rsidRDefault="00611D9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55A7DB3" w14:textId="77777777" w:rsidR="00611D93" w:rsidRPr="00812336" w:rsidRDefault="00611D93"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11D93" w:rsidRPr="00705BB3" w14:paraId="69A85DCA" w14:textId="77777777" w:rsidTr="00063301">
        <w:tc>
          <w:tcPr>
            <w:tcW w:w="2340" w:type="dxa"/>
            <w:shd w:val="clear" w:color="auto" w:fill="CDFFCD"/>
          </w:tcPr>
          <w:p w14:paraId="02C7E810"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A1E6D47"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C5310DE"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BAD77B"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FE98AC9"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D7E1995"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r>
      <w:tr w:rsidR="00611D93" w:rsidRPr="00705BB3" w14:paraId="186BA640" w14:textId="77777777" w:rsidTr="00063301">
        <w:tc>
          <w:tcPr>
            <w:tcW w:w="2340" w:type="dxa"/>
            <w:shd w:val="clear" w:color="auto" w:fill="CDFFCD"/>
          </w:tcPr>
          <w:p w14:paraId="7B23078A"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9E52E53"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82EDCED"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DE4177"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827C7A"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5EE0CBF"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r>
      <w:tr w:rsidR="00611D93" w:rsidRPr="00705BB3" w14:paraId="73406778" w14:textId="77777777" w:rsidTr="00063301">
        <w:tc>
          <w:tcPr>
            <w:tcW w:w="2340" w:type="dxa"/>
            <w:shd w:val="clear" w:color="auto" w:fill="CDFFCD"/>
          </w:tcPr>
          <w:p w14:paraId="74D5A053"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2747E21"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A178C49"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46D8D42"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9D0F46B"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03D85BD" w14:textId="77777777" w:rsidR="00611D93" w:rsidRPr="00705BB3" w:rsidRDefault="00611D93" w:rsidP="00063301">
            <w:pPr>
              <w:autoSpaceDE/>
              <w:autoSpaceDN/>
              <w:adjustRightInd/>
              <w:jc w:val="both"/>
              <w:rPr>
                <w:rFonts w:asciiTheme="minorHAnsi" w:hAnsiTheme="minorHAnsi" w:cs="Times New Roman"/>
                <w:color w:val="auto"/>
                <w:sz w:val="22"/>
                <w:szCs w:val="22"/>
              </w:rPr>
            </w:pPr>
          </w:p>
        </w:tc>
      </w:tr>
    </w:tbl>
    <w:p w14:paraId="08CE4F33" w14:textId="77777777" w:rsidR="00611D93" w:rsidRPr="006C43BC" w:rsidRDefault="00611D93" w:rsidP="00611D93">
      <w:pPr>
        <w:widowControl w:val="0"/>
        <w:rPr>
          <w:rFonts w:asciiTheme="minorHAnsi" w:hAnsiTheme="minorHAnsi" w:cs="Times New Roman"/>
        </w:rPr>
      </w:pPr>
    </w:p>
    <w:p w14:paraId="6DC0FA84" w14:textId="77777777" w:rsidR="00611D93" w:rsidRPr="006C43BC" w:rsidRDefault="00611D93" w:rsidP="00611D9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11D93" w:rsidRPr="00705BB3" w14:paraId="7DC1EDDC" w14:textId="77777777" w:rsidTr="00063301">
        <w:tc>
          <w:tcPr>
            <w:tcW w:w="11016" w:type="dxa"/>
            <w:shd w:val="clear" w:color="auto" w:fill="auto"/>
          </w:tcPr>
          <w:p w14:paraId="1F57937D" w14:textId="77777777" w:rsidR="00611D93" w:rsidRPr="00705BB3" w:rsidRDefault="00611D93" w:rsidP="00063301">
            <w:pPr>
              <w:widowControl w:val="0"/>
              <w:rPr>
                <w:rFonts w:asciiTheme="minorHAnsi" w:hAnsiTheme="minorHAnsi" w:cs="Times New Roman"/>
                <w:sz w:val="22"/>
                <w:szCs w:val="22"/>
              </w:rPr>
            </w:pPr>
          </w:p>
        </w:tc>
      </w:tr>
      <w:tr w:rsidR="00611D93" w:rsidRPr="00705BB3" w14:paraId="094F7045" w14:textId="77777777" w:rsidTr="00063301">
        <w:tc>
          <w:tcPr>
            <w:tcW w:w="11016" w:type="dxa"/>
            <w:shd w:val="clear" w:color="auto" w:fill="auto"/>
          </w:tcPr>
          <w:p w14:paraId="13CF0DC1" w14:textId="77777777" w:rsidR="00611D93" w:rsidRPr="00705BB3" w:rsidRDefault="00611D93" w:rsidP="00063301">
            <w:pPr>
              <w:widowControl w:val="0"/>
              <w:rPr>
                <w:rFonts w:asciiTheme="minorHAnsi" w:hAnsiTheme="minorHAnsi" w:cs="Times New Roman"/>
                <w:sz w:val="22"/>
                <w:szCs w:val="22"/>
              </w:rPr>
            </w:pPr>
          </w:p>
        </w:tc>
      </w:tr>
      <w:tr w:rsidR="00611D93" w:rsidRPr="00705BB3" w14:paraId="641C4BE1" w14:textId="77777777" w:rsidTr="00063301">
        <w:tc>
          <w:tcPr>
            <w:tcW w:w="11016" w:type="dxa"/>
            <w:shd w:val="clear" w:color="auto" w:fill="auto"/>
          </w:tcPr>
          <w:p w14:paraId="4792C1A9" w14:textId="77777777" w:rsidR="00611D93" w:rsidRPr="00705BB3" w:rsidRDefault="00611D93" w:rsidP="00063301">
            <w:pPr>
              <w:widowControl w:val="0"/>
              <w:rPr>
                <w:rFonts w:asciiTheme="minorHAnsi" w:hAnsiTheme="minorHAnsi" w:cs="Times New Roman"/>
                <w:sz w:val="22"/>
                <w:szCs w:val="22"/>
              </w:rPr>
            </w:pPr>
          </w:p>
        </w:tc>
      </w:tr>
    </w:tbl>
    <w:p w14:paraId="2C97EEA0" w14:textId="77777777" w:rsidR="00611D93" w:rsidRPr="006C43BC" w:rsidRDefault="00611D93" w:rsidP="00611D93">
      <w:pPr>
        <w:widowControl w:val="0"/>
        <w:rPr>
          <w:rFonts w:asciiTheme="minorHAnsi" w:hAnsiTheme="minorHAnsi" w:cs="Times New Roman"/>
        </w:rPr>
      </w:pPr>
    </w:p>
    <w:p w14:paraId="5BAA3B94" w14:textId="3ECDAC79" w:rsidR="00611D93" w:rsidRPr="00722443" w:rsidRDefault="00611D93" w:rsidP="00611D9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3818D1">
        <w:t>VAR-002-4.1</w:t>
      </w:r>
      <w:r>
        <w:t>, R5</w:t>
      </w:r>
    </w:p>
    <w:p w14:paraId="2CBC733C" w14:textId="77777777" w:rsidR="00611D93" w:rsidRPr="006C43BC" w:rsidRDefault="00611D93" w:rsidP="00611D9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11D93" w:rsidRPr="00705BB3" w14:paraId="63DB8B80" w14:textId="77777777" w:rsidTr="00063301">
        <w:tc>
          <w:tcPr>
            <w:tcW w:w="374" w:type="dxa"/>
          </w:tcPr>
          <w:p w14:paraId="549D8FCD" w14:textId="77777777" w:rsidR="00611D93" w:rsidRPr="00DB1F76" w:rsidRDefault="00611D93" w:rsidP="0006330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3BA27E7E" w14:textId="71851CF5" w:rsidR="00611D93" w:rsidRPr="00DB1F76" w:rsidRDefault="00AB7B32" w:rsidP="0006330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(R5) </w:t>
            </w:r>
            <w:r w:rsidR="00C823BE">
              <w:rPr>
                <w:rFonts w:asciiTheme="minorHAnsi" w:hAnsiTheme="minorHAnsi" w:cs="Times New Roman"/>
                <w:color w:val="auto"/>
              </w:rPr>
              <w:t>Review evidence (documented date of request and reply) to determine if entity responded to information request(s) as required in Requirement R5 within 30 days of receiving a request from associated Transmission Operator.</w:t>
            </w:r>
          </w:p>
        </w:tc>
      </w:tr>
      <w:tr w:rsidR="00611D93" w:rsidRPr="006C43BC" w14:paraId="3B7C08C4" w14:textId="77777777" w:rsidTr="00063301">
        <w:tc>
          <w:tcPr>
            <w:tcW w:w="10790" w:type="dxa"/>
            <w:gridSpan w:val="2"/>
            <w:shd w:val="clear" w:color="auto" w:fill="DCDCFF"/>
          </w:tcPr>
          <w:p w14:paraId="1CC13787" w14:textId="1FA3EF33" w:rsidR="00611D93" w:rsidRPr="006C43BC" w:rsidRDefault="00611D93" w:rsidP="00C823B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C823BE">
              <w:rPr>
                <w:rFonts w:asciiTheme="minorHAnsi" w:hAnsiTheme="minorHAnsi" w:cs="Times New Roman"/>
                <w:bCs/>
                <w:color w:val="auto"/>
              </w:rPr>
              <w:t xml:space="preserve">Based on the auditors professional judgment, they may confirm with Transmission Operators to determine if requests for data were made or simply confirm the existence of such requests with the entity under audit.  </w:t>
            </w:r>
          </w:p>
        </w:tc>
      </w:tr>
    </w:tbl>
    <w:p w14:paraId="20690F10" w14:textId="77777777" w:rsidR="00611D93" w:rsidRPr="006C43BC" w:rsidRDefault="00611D93" w:rsidP="00611D93">
      <w:pPr>
        <w:widowControl w:val="0"/>
        <w:tabs>
          <w:tab w:val="left" w:pos="0"/>
        </w:tabs>
        <w:rPr>
          <w:rFonts w:asciiTheme="minorHAnsi" w:hAnsiTheme="minorHAnsi" w:cs="Times New Roman"/>
          <w:b/>
          <w:bCs/>
        </w:rPr>
      </w:pPr>
    </w:p>
    <w:p w14:paraId="797393B4" w14:textId="77777777" w:rsidR="00611D93" w:rsidRPr="006C43BC" w:rsidRDefault="00611D93" w:rsidP="00611D93">
      <w:pPr>
        <w:pStyle w:val="RqtSection"/>
        <w:rPr>
          <w:color w:val="264D74"/>
        </w:rPr>
      </w:pPr>
      <w:r w:rsidRPr="006C43BC">
        <w:t>Auditor</w:t>
      </w:r>
      <w:r>
        <w:t xml:space="preserve"> </w:t>
      </w:r>
      <w:r w:rsidRPr="006C43BC">
        <w:t>Notes:</w:t>
      </w:r>
      <w:r w:rsidRPr="006C43BC">
        <w:rPr>
          <w:color w:val="264D74"/>
        </w:rPr>
        <w:t xml:space="preserve"> </w:t>
      </w:r>
    </w:p>
    <w:p w14:paraId="61F657C0"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291483A"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A8CACFD"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1D55088"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F7F5D74" w14:textId="77777777"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191D6FA" w14:textId="52F0DD35" w:rsidR="00611D93" w:rsidRDefault="00611D93" w:rsidP="00611D9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4A03054" w14:textId="406B055F" w:rsidR="00E76995" w:rsidRDefault="00E76995">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64"/>
      <w:r>
        <w:br w:type="page"/>
      </w:r>
    </w:p>
    <w:p w14:paraId="7D3D0638" w14:textId="35FDB72E" w:rsidR="00E76995" w:rsidRDefault="00E76995" w:rsidP="00E76995">
      <w:pPr>
        <w:pStyle w:val="SectHead"/>
      </w:pPr>
      <w:r w:rsidRPr="006C43BC">
        <w:lastRenderedPageBreak/>
        <w:t>R</w:t>
      </w:r>
      <w:r w:rsidR="004312A2">
        <w:t>6</w:t>
      </w:r>
      <w:r w:rsidRPr="006C43BC">
        <w:t xml:space="preserve"> Supporting Evidence and Documentation</w:t>
      </w:r>
    </w:p>
    <w:p w14:paraId="65FCFA23" w14:textId="5063D3A9" w:rsidR="00835E82" w:rsidRPr="00572062" w:rsidRDefault="00AA7272" w:rsidP="00835E82">
      <w:pPr>
        <w:pStyle w:val="Requirement"/>
        <w:numPr>
          <w:ilvl w:val="0"/>
          <w:numId w:val="5"/>
        </w:numPr>
        <w:tabs>
          <w:tab w:val="clear" w:pos="576"/>
          <w:tab w:val="num" w:pos="0"/>
        </w:tabs>
        <w:ind w:left="0" w:firstLine="0"/>
        <w:rPr>
          <w:rFonts w:asciiTheme="minorHAnsi" w:hAnsiTheme="minorHAnsi"/>
          <w:sz w:val="22"/>
          <w:szCs w:val="22"/>
        </w:rPr>
      </w:pPr>
      <w:r>
        <w:rPr>
          <w:rFonts w:asciiTheme="minorHAnsi" w:hAnsiTheme="minorHAnsi"/>
          <w:sz w:val="22"/>
          <w:szCs w:val="22"/>
        </w:rPr>
        <w:t xml:space="preserve">  </w:t>
      </w:r>
      <w:r w:rsidR="00835E82" w:rsidRPr="00572062">
        <w:rPr>
          <w:rFonts w:asciiTheme="minorHAnsi" w:hAnsiTheme="minorHAnsi"/>
          <w:sz w:val="22"/>
          <w:szCs w:val="22"/>
        </w:rPr>
        <w:t xml:space="preserve">After consultation with the Transmission Operator regarding necessary step-up transformer tap changes, the Generator Owner shall ensure that transformer tap positions are changed according to the specifications provided by the Transmission Operator, unless such action would violate safety, an equipment rating, a regulatory requirement, or a statutory requirement. </w:t>
      </w:r>
    </w:p>
    <w:p w14:paraId="35150AC6" w14:textId="0424A145" w:rsidR="00835E82" w:rsidRDefault="00162448" w:rsidP="00835E82">
      <w:pPr>
        <w:pStyle w:val="Requirement"/>
        <w:numPr>
          <w:ilvl w:val="1"/>
          <w:numId w:val="5"/>
        </w:numPr>
        <w:tabs>
          <w:tab w:val="num" w:pos="1890"/>
        </w:tabs>
        <w:rPr>
          <w:rFonts w:asciiTheme="minorHAnsi" w:hAnsiTheme="minorHAnsi"/>
          <w:sz w:val="22"/>
          <w:szCs w:val="22"/>
        </w:rPr>
      </w:pPr>
      <w:r w:rsidRPr="00572062">
        <w:rPr>
          <w:rFonts w:asciiTheme="minorHAnsi" w:hAnsiTheme="minorHAnsi"/>
          <w:sz w:val="22"/>
          <w:szCs w:val="22"/>
        </w:rPr>
        <w:t>If the Generator Owner</w:t>
      </w:r>
      <w:r w:rsidR="00835E82" w:rsidRPr="00572062">
        <w:rPr>
          <w:rFonts w:asciiTheme="minorHAnsi" w:hAnsiTheme="minorHAnsi"/>
          <w:sz w:val="22"/>
          <w:szCs w:val="22"/>
        </w:rPr>
        <w:t xml:space="preserve"> cannot comply with the Transmission Operator’s s</w:t>
      </w:r>
      <w:r w:rsidRPr="00572062">
        <w:rPr>
          <w:rFonts w:asciiTheme="minorHAnsi" w:hAnsiTheme="minorHAnsi"/>
          <w:sz w:val="22"/>
          <w:szCs w:val="22"/>
        </w:rPr>
        <w:t>pecifications, the Generator Owner</w:t>
      </w:r>
      <w:r w:rsidR="00835E82" w:rsidRPr="00572062">
        <w:rPr>
          <w:rFonts w:asciiTheme="minorHAnsi" w:hAnsiTheme="minorHAnsi"/>
          <w:sz w:val="22"/>
          <w:szCs w:val="22"/>
        </w:rPr>
        <w:t xml:space="preserve"> shall notify the Transmission Operator and shall provide the technical justification.</w:t>
      </w:r>
    </w:p>
    <w:p w14:paraId="0B6C5F01" w14:textId="77777777" w:rsidR="00572062" w:rsidRPr="00572062" w:rsidRDefault="00572062" w:rsidP="00572062">
      <w:pPr>
        <w:pStyle w:val="Requirement"/>
        <w:numPr>
          <w:ilvl w:val="0"/>
          <w:numId w:val="0"/>
        </w:numPr>
        <w:tabs>
          <w:tab w:val="num" w:pos="1890"/>
        </w:tabs>
        <w:ind w:left="1368"/>
        <w:rPr>
          <w:rFonts w:asciiTheme="minorHAnsi" w:hAnsiTheme="minorHAnsi"/>
          <w:sz w:val="22"/>
          <w:szCs w:val="22"/>
        </w:rPr>
      </w:pPr>
    </w:p>
    <w:p w14:paraId="034B23A7" w14:textId="070782BD" w:rsidR="00835E82" w:rsidRPr="00572062" w:rsidRDefault="00AA7272" w:rsidP="00835E82">
      <w:pPr>
        <w:numPr>
          <w:ilvl w:val="0"/>
          <w:numId w:val="3"/>
        </w:numPr>
        <w:tabs>
          <w:tab w:val="clear" w:pos="576"/>
          <w:tab w:val="num" w:pos="0"/>
        </w:tabs>
        <w:autoSpaceDE/>
        <w:adjustRightInd/>
        <w:spacing w:after="120"/>
        <w:ind w:left="0" w:firstLine="0"/>
        <w:rPr>
          <w:rFonts w:asciiTheme="minorHAnsi" w:hAnsiTheme="minorHAnsi"/>
          <w:sz w:val="22"/>
          <w:szCs w:val="22"/>
        </w:rPr>
      </w:pPr>
      <w:r>
        <w:rPr>
          <w:rFonts w:asciiTheme="minorHAnsi" w:hAnsiTheme="minorHAnsi"/>
          <w:sz w:val="22"/>
          <w:szCs w:val="22"/>
        </w:rPr>
        <w:t xml:space="preserve">  </w:t>
      </w:r>
      <w:r w:rsidR="00835E82" w:rsidRPr="00572062">
        <w:rPr>
          <w:rFonts w:asciiTheme="minorHAnsi" w:hAnsiTheme="minorHAnsi"/>
          <w:sz w:val="22"/>
          <w:szCs w:val="22"/>
        </w:rPr>
        <w:t>The Generator Owner shall have evidence that its step-up transformer taps were modified per the Transmission Operator’s documentation as identified in Requirement R6. The Generator O</w:t>
      </w:r>
      <w:r w:rsidR="00162448" w:rsidRPr="00572062">
        <w:rPr>
          <w:rFonts w:asciiTheme="minorHAnsi" w:hAnsiTheme="minorHAnsi"/>
          <w:sz w:val="22"/>
          <w:szCs w:val="22"/>
        </w:rPr>
        <w:t>wner</w:t>
      </w:r>
      <w:r w:rsidR="00835E82" w:rsidRPr="00572062">
        <w:rPr>
          <w:rFonts w:asciiTheme="minorHAnsi" w:hAnsiTheme="minorHAnsi"/>
          <w:sz w:val="22"/>
          <w:szCs w:val="22"/>
        </w:rPr>
        <w:t xml:space="preserve"> shall have evidence that it notified its associated Transmission Operator when it could not comply with the Transmission Operator’s step-up transformer tap specifications as identified in Requirement R6</w:t>
      </w:r>
      <w:r w:rsidR="00672E7A">
        <w:rPr>
          <w:rFonts w:asciiTheme="minorHAnsi" w:hAnsiTheme="minorHAnsi"/>
          <w:sz w:val="22"/>
          <w:szCs w:val="22"/>
        </w:rPr>
        <w:t>,</w:t>
      </w:r>
      <w:r w:rsidR="00835E82" w:rsidRPr="00572062">
        <w:rPr>
          <w:rFonts w:asciiTheme="minorHAnsi" w:hAnsiTheme="minorHAnsi"/>
          <w:sz w:val="22"/>
          <w:szCs w:val="22"/>
        </w:rPr>
        <w:t xml:space="preserve"> </w:t>
      </w:r>
      <w:r w:rsidR="007218AA">
        <w:rPr>
          <w:rFonts w:asciiTheme="minorHAnsi" w:hAnsiTheme="minorHAnsi"/>
          <w:sz w:val="22"/>
          <w:szCs w:val="22"/>
        </w:rPr>
        <w:t>P</w:t>
      </w:r>
      <w:r w:rsidR="00835E82" w:rsidRPr="00572062">
        <w:rPr>
          <w:rFonts w:asciiTheme="minorHAnsi" w:hAnsiTheme="minorHAnsi"/>
          <w:sz w:val="22"/>
          <w:szCs w:val="22"/>
        </w:rPr>
        <w:t xml:space="preserve">art 6.1.  </w:t>
      </w:r>
    </w:p>
    <w:p w14:paraId="1C8F0436" w14:textId="77777777" w:rsidR="00E76995" w:rsidRPr="006C43BC" w:rsidRDefault="00E76995" w:rsidP="00E76995">
      <w:pPr>
        <w:rPr>
          <w:rFonts w:asciiTheme="minorHAnsi" w:hAnsiTheme="minorHAnsi" w:cs="Times New Roman"/>
          <w:b/>
        </w:rPr>
      </w:pPr>
    </w:p>
    <w:p w14:paraId="35A14503" w14:textId="77777777" w:rsidR="00E76995" w:rsidRPr="006C43BC" w:rsidRDefault="00E76995" w:rsidP="00E7699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6E1632D" w14:textId="77777777" w:rsidR="00E76995" w:rsidRPr="00A5228E" w:rsidRDefault="00E76995" w:rsidP="00E7699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FA67C15" w14:textId="77777777" w:rsidR="00E76995" w:rsidRPr="006C43BC" w:rsidRDefault="00E76995" w:rsidP="00E7699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0F2F717" w14:textId="77777777" w:rsidR="00E76995" w:rsidRPr="00705BB3" w:rsidRDefault="00E76995" w:rsidP="00E76995">
      <w:pPr>
        <w:widowControl w:val="0"/>
        <w:shd w:val="clear" w:color="auto" w:fill="CDFFCD"/>
        <w:jc w:val="both"/>
        <w:rPr>
          <w:rFonts w:asciiTheme="minorHAnsi" w:hAnsiTheme="minorHAnsi" w:cs="Times New Roman"/>
          <w:bCs/>
          <w:color w:val="auto"/>
          <w:sz w:val="22"/>
          <w:szCs w:val="22"/>
        </w:rPr>
      </w:pPr>
    </w:p>
    <w:p w14:paraId="03FDEF72" w14:textId="77777777" w:rsidR="00E76995" w:rsidRPr="00705BB3" w:rsidRDefault="00E76995" w:rsidP="00E76995">
      <w:pPr>
        <w:widowControl w:val="0"/>
        <w:shd w:val="clear" w:color="auto" w:fill="CDFFCD"/>
        <w:jc w:val="both"/>
        <w:rPr>
          <w:rFonts w:asciiTheme="minorHAnsi" w:hAnsiTheme="minorHAnsi" w:cs="Times New Roman"/>
          <w:bCs/>
          <w:color w:val="auto"/>
          <w:sz w:val="22"/>
          <w:szCs w:val="22"/>
        </w:rPr>
      </w:pPr>
    </w:p>
    <w:p w14:paraId="3FD7A3D5" w14:textId="77777777" w:rsidR="00E76995" w:rsidRDefault="00E76995" w:rsidP="00E76995">
      <w:pPr>
        <w:pStyle w:val="RqtSection"/>
      </w:pPr>
    </w:p>
    <w:p w14:paraId="4EB5094A" w14:textId="77777777" w:rsidR="00E76995" w:rsidRPr="006C43BC" w:rsidRDefault="00E76995" w:rsidP="00E7699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76995" w:rsidRPr="00812336" w14:paraId="2A079A1B" w14:textId="77777777" w:rsidTr="00063301">
        <w:tc>
          <w:tcPr>
            <w:tcW w:w="10995" w:type="dxa"/>
            <w:gridSpan w:val="6"/>
            <w:shd w:val="clear" w:color="auto" w:fill="DCDCFF"/>
            <w:vAlign w:val="bottom"/>
          </w:tcPr>
          <w:p w14:paraId="12322D7C" w14:textId="77777777" w:rsidR="00E76995" w:rsidRPr="00812336" w:rsidRDefault="00E76995" w:rsidP="00063301">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76995" w:rsidRPr="00812336" w14:paraId="5893372E" w14:textId="77777777" w:rsidTr="00063301">
        <w:tc>
          <w:tcPr>
            <w:tcW w:w="2340" w:type="dxa"/>
            <w:shd w:val="clear" w:color="auto" w:fill="DCDCFF"/>
            <w:vAlign w:val="bottom"/>
          </w:tcPr>
          <w:p w14:paraId="00AFD029" w14:textId="77777777" w:rsidR="00E76995" w:rsidRPr="00812336" w:rsidRDefault="00E76995"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3D159E8" w14:textId="77777777" w:rsidR="00E76995" w:rsidRPr="00812336" w:rsidRDefault="00E76995"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1730F25" w14:textId="77777777" w:rsidR="00E76995" w:rsidRPr="00812336" w:rsidRDefault="00E76995"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618D92D" w14:textId="77777777" w:rsidR="00E76995" w:rsidRPr="00812336" w:rsidRDefault="00E76995"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2509247" w14:textId="77777777" w:rsidR="00E76995" w:rsidRPr="00812336" w:rsidRDefault="00E76995"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8087C3E" w14:textId="77777777" w:rsidR="00E76995" w:rsidRPr="00812336" w:rsidRDefault="00E76995" w:rsidP="00063301">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76995" w:rsidRPr="00705BB3" w14:paraId="289203B1" w14:textId="77777777" w:rsidTr="00063301">
        <w:tc>
          <w:tcPr>
            <w:tcW w:w="2340" w:type="dxa"/>
            <w:shd w:val="clear" w:color="auto" w:fill="CDFFCD"/>
          </w:tcPr>
          <w:p w14:paraId="22B8C5B1"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84D2F2"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39D57DE"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640C433"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DB3CFBD"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6355F33"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r>
      <w:tr w:rsidR="00E76995" w:rsidRPr="00705BB3" w14:paraId="103F1C9B" w14:textId="77777777" w:rsidTr="00063301">
        <w:tc>
          <w:tcPr>
            <w:tcW w:w="2340" w:type="dxa"/>
            <w:shd w:val="clear" w:color="auto" w:fill="CDFFCD"/>
          </w:tcPr>
          <w:p w14:paraId="04A460D1"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22D84A"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0D068B9"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64E52E0"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5CE5B21"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8ACF4A"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r>
      <w:tr w:rsidR="00E76995" w:rsidRPr="00705BB3" w14:paraId="4DD31263" w14:textId="77777777" w:rsidTr="00063301">
        <w:tc>
          <w:tcPr>
            <w:tcW w:w="2340" w:type="dxa"/>
            <w:shd w:val="clear" w:color="auto" w:fill="CDFFCD"/>
          </w:tcPr>
          <w:p w14:paraId="60392E2A"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CACE285"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F7AB2F3"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12FFBAF"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8D70F2A"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6D86A3" w14:textId="77777777" w:rsidR="00E76995" w:rsidRPr="00705BB3" w:rsidRDefault="00E76995" w:rsidP="00063301">
            <w:pPr>
              <w:autoSpaceDE/>
              <w:autoSpaceDN/>
              <w:adjustRightInd/>
              <w:jc w:val="both"/>
              <w:rPr>
                <w:rFonts w:asciiTheme="minorHAnsi" w:hAnsiTheme="minorHAnsi" w:cs="Times New Roman"/>
                <w:color w:val="auto"/>
                <w:sz w:val="22"/>
                <w:szCs w:val="22"/>
              </w:rPr>
            </w:pPr>
          </w:p>
        </w:tc>
      </w:tr>
    </w:tbl>
    <w:p w14:paraId="3575492A" w14:textId="77777777" w:rsidR="00E76995" w:rsidRPr="006C43BC" w:rsidRDefault="00E76995" w:rsidP="00E76995">
      <w:pPr>
        <w:widowControl w:val="0"/>
        <w:rPr>
          <w:rFonts w:asciiTheme="minorHAnsi" w:hAnsiTheme="minorHAnsi" w:cs="Times New Roman"/>
        </w:rPr>
      </w:pPr>
    </w:p>
    <w:p w14:paraId="6F84AAFE" w14:textId="77777777" w:rsidR="00E76995" w:rsidRPr="006C43BC" w:rsidRDefault="00E76995" w:rsidP="00E7699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76995" w:rsidRPr="00705BB3" w14:paraId="67868657" w14:textId="77777777" w:rsidTr="00063301">
        <w:tc>
          <w:tcPr>
            <w:tcW w:w="11016" w:type="dxa"/>
            <w:shd w:val="clear" w:color="auto" w:fill="auto"/>
          </w:tcPr>
          <w:p w14:paraId="4FA0D134" w14:textId="77777777" w:rsidR="00E76995" w:rsidRPr="00705BB3" w:rsidRDefault="00E76995" w:rsidP="00063301">
            <w:pPr>
              <w:widowControl w:val="0"/>
              <w:rPr>
                <w:rFonts w:asciiTheme="minorHAnsi" w:hAnsiTheme="minorHAnsi" w:cs="Times New Roman"/>
                <w:sz w:val="22"/>
                <w:szCs w:val="22"/>
              </w:rPr>
            </w:pPr>
          </w:p>
        </w:tc>
      </w:tr>
      <w:tr w:rsidR="00E76995" w:rsidRPr="00705BB3" w14:paraId="5FCA2851" w14:textId="77777777" w:rsidTr="00063301">
        <w:tc>
          <w:tcPr>
            <w:tcW w:w="11016" w:type="dxa"/>
            <w:shd w:val="clear" w:color="auto" w:fill="auto"/>
          </w:tcPr>
          <w:p w14:paraId="2EDC9844" w14:textId="77777777" w:rsidR="00E76995" w:rsidRPr="00705BB3" w:rsidRDefault="00E76995" w:rsidP="00063301">
            <w:pPr>
              <w:widowControl w:val="0"/>
              <w:rPr>
                <w:rFonts w:asciiTheme="minorHAnsi" w:hAnsiTheme="minorHAnsi" w:cs="Times New Roman"/>
                <w:sz w:val="22"/>
                <w:szCs w:val="22"/>
              </w:rPr>
            </w:pPr>
          </w:p>
        </w:tc>
      </w:tr>
      <w:tr w:rsidR="00E76995" w:rsidRPr="00705BB3" w14:paraId="7733A547" w14:textId="77777777" w:rsidTr="00063301">
        <w:tc>
          <w:tcPr>
            <w:tcW w:w="11016" w:type="dxa"/>
            <w:shd w:val="clear" w:color="auto" w:fill="auto"/>
          </w:tcPr>
          <w:p w14:paraId="69798D6E" w14:textId="77777777" w:rsidR="00E76995" w:rsidRPr="00705BB3" w:rsidRDefault="00E76995" w:rsidP="00063301">
            <w:pPr>
              <w:widowControl w:val="0"/>
              <w:rPr>
                <w:rFonts w:asciiTheme="minorHAnsi" w:hAnsiTheme="minorHAnsi" w:cs="Times New Roman"/>
                <w:sz w:val="22"/>
                <w:szCs w:val="22"/>
              </w:rPr>
            </w:pPr>
          </w:p>
        </w:tc>
      </w:tr>
    </w:tbl>
    <w:p w14:paraId="1358795A" w14:textId="77777777" w:rsidR="00E76995" w:rsidRPr="006C43BC" w:rsidRDefault="00E76995" w:rsidP="00E76995">
      <w:pPr>
        <w:widowControl w:val="0"/>
        <w:rPr>
          <w:rFonts w:asciiTheme="minorHAnsi" w:hAnsiTheme="minorHAnsi" w:cs="Times New Roman"/>
        </w:rPr>
      </w:pPr>
    </w:p>
    <w:p w14:paraId="44341C2E" w14:textId="1CE1DA38" w:rsidR="00E76995" w:rsidRPr="00722443" w:rsidRDefault="00E76995" w:rsidP="00E7699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3818D1">
        <w:t>VAR-002-4.1</w:t>
      </w:r>
      <w:r>
        <w:t>, R6</w:t>
      </w:r>
    </w:p>
    <w:p w14:paraId="1E29EA2D" w14:textId="77777777" w:rsidR="00E76995" w:rsidRPr="006C43BC" w:rsidRDefault="00E76995" w:rsidP="00E7699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76995" w:rsidRPr="00705BB3" w14:paraId="09F66758" w14:textId="77777777" w:rsidTr="00063301">
        <w:tc>
          <w:tcPr>
            <w:tcW w:w="374" w:type="dxa"/>
          </w:tcPr>
          <w:p w14:paraId="4909958A" w14:textId="77777777" w:rsidR="00E76995" w:rsidRPr="00DB1F76" w:rsidRDefault="00E76995" w:rsidP="00063301">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FBABD21" w14:textId="20D3BE4A" w:rsidR="00E76995" w:rsidRPr="00DB1F76" w:rsidRDefault="004312A2" w:rsidP="004312A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(R6) </w:t>
            </w:r>
            <w:r w:rsidR="00835E82">
              <w:rPr>
                <w:rFonts w:asciiTheme="minorHAnsi" w:hAnsiTheme="minorHAnsi" w:cs="Times New Roman"/>
                <w:color w:val="auto"/>
              </w:rPr>
              <w:t>Review evidence (documented date of request and response) to determine if entity responded to change(s) as required in Requirement R6.</w:t>
            </w:r>
          </w:p>
        </w:tc>
      </w:tr>
      <w:tr w:rsidR="00E76995" w:rsidRPr="006C43BC" w14:paraId="3977153E" w14:textId="77777777" w:rsidTr="00063301">
        <w:tc>
          <w:tcPr>
            <w:tcW w:w="10790" w:type="dxa"/>
            <w:gridSpan w:val="2"/>
            <w:shd w:val="clear" w:color="auto" w:fill="DCDCFF"/>
          </w:tcPr>
          <w:p w14:paraId="7410897A" w14:textId="2530E492" w:rsidR="00E76995" w:rsidRPr="006C43BC" w:rsidRDefault="00E76995" w:rsidP="00835E82">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835E82">
              <w:rPr>
                <w:rFonts w:asciiTheme="minorHAnsi" w:hAnsiTheme="minorHAnsi" w:cs="Times New Roman"/>
                <w:bCs/>
                <w:color w:val="auto"/>
              </w:rPr>
              <w:t xml:space="preserve">Based on the auditors professional judgment, they may confirm with Transmission Operators to determine if requests for changes to transformer tap positions were made or simply confirm the existence of such requests with the entity under audit.  </w:t>
            </w:r>
          </w:p>
        </w:tc>
      </w:tr>
    </w:tbl>
    <w:p w14:paraId="2876B22F" w14:textId="77777777" w:rsidR="00E76995" w:rsidRPr="006C43BC" w:rsidRDefault="00E76995" w:rsidP="00E76995">
      <w:pPr>
        <w:widowControl w:val="0"/>
        <w:tabs>
          <w:tab w:val="left" w:pos="0"/>
        </w:tabs>
        <w:rPr>
          <w:rFonts w:asciiTheme="minorHAnsi" w:hAnsiTheme="minorHAnsi" w:cs="Times New Roman"/>
          <w:b/>
          <w:bCs/>
        </w:rPr>
      </w:pPr>
    </w:p>
    <w:p w14:paraId="6C9E7390" w14:textId="77777777" w:rsidR="00E76995" w:rsidRPr="006C43BC" w:rsidRDefault="00E76995" w:rsidP="00E76995">
      <w:pPr>
        <w:pStyle w:val="RqtSection"/>
        <w:rPr>
          <w:color w:val="264D74"/>
        </w:rPr>
      </w:pPr>
      <w:r w:rsidRPr="006C43BC">
        <w:t>Auditor</w:t>
      </w:r>
      <w:r>
        <w:t xml:space="preserve"> </w:t>
      </w:r>
      <w:r w:rsidRPr="006C43BC">
        <w:t>Notes:</w:t>
      </w:r>
      <w:r w:rsidRPr="006C43BC">
        <w:rPr>
          <w:color w:val="264D74"/>
        </w:rPr>
        <w:t xml:space="preserve"> </w:t>
      </w:r>
    </w:p>
    <w:p w14:paraId="15C447E3"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6068A96"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3FF5C08"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67A79F1"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3A506FE"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D09FC16" w14:textId="77777777" w:rsidR="00E76995" w:rsidRDefault="00E76995" w:rsidP="00E7699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4310221" w14:textId="472BA7C5" w:rsidR="00611D93" w:rsidRDefault="00611D93">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br w:type="page"/>
      </w:r>
    </w:p>
    <w:p w14:paraId="26507E6D" w14:textId="77777777" w:rsidR="003C20AB" w:rsidRPr="008F56D6"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790EE5B3" w14:textId="2F06FD41" w:rsidR="007E0126" w:rsidRPr="006C43BC" w:rsidRDefault="00992502">
      <w:pPr>
        <w:autoSpaceDE/>
        <w:autoSpaceDN/>
        <w:adjustRightInd/>
        <w:rPr>
          <w:rFonts w:asciiTheme="minorHAnsi" w:hAnsiTheme="minorHAnsi"/>
        </w:rPr>
      </w:pPr>
      <w:r>
        <w:rPr>
          <w:rFonts w:asciiTheme="minorHAnsi" w:hAnsiTheme="minorHAnsi"/>
        </w:rPr>
        <w:object w:dxaOrig="1513" w:dyaOrig="984" w14:anchorId="3A2E7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4" o:title=""/>
          </v:shape>
          <o:OLEObject Type="Embed" ProgID="Acrobat.Document.11" ShapeID="_x0000_i1025" DrawAspect="Icon" ObjectID="_1572693511" r:id="rId15"/>
        </w:object>
      </w:r>
    </w:p>
    <w:p w14:paraId="4B8EF684" w14:textId="77777777" w:rsidR="00CC7E3E" w:rsidRPr="006C43BC" w:rsidRDefault="00CC7E3E" w:rsidP="00D97E2A">
      <w:pPr>
        <w:pStyle w:val="SubHead"/>
      </w:pPr>
      <w:bookmarkStart w:id="3" w:name="_Toc330463565"/>
      <w:r w:rsidRPr="006C43BC">
        <w:rPr>
          <w:rStyle w:val="SubtitleChar"/>
          <w:rFonts w:asciiTheme="minorHAnsi" w:hAnsiTheme="minorHAnsi" w:cs="Tahoma"/>
          <w:i w:val="0"/>
          <w:color w:val="auto"/>
        </w:rPr>
        <w:t>Reliability Standard</w:t>
      </w:r>
    </w:p>
    <w:p w14:paraId="7C3B05FD" w14:textId="77777777" w:rsidR="0099296E" w:rsidRDefault="0099296E" w:rsidP="0099296E">
      <w:pPr>
        <w:pStyle w:val="SubHead"/>
        <w:rPr>
          <w:u w:val="none"/>
        </w:rPr>
      </w:pPr>
    </w:p>
    <w:p w14:paraId="6D6B1C81" w14:textId="77777777" w:rsidR="0099296E" w:rsidRDefault="0099296E" w:rsidP="0099296E">
      <w:pPr>
        <w:pStyle w:val="SubHead"/>
        <w:rPr>
          <w:u w:val="none"/>
        </w:rPr>
      </w:pPr>
      <w:r w:rsidRPr="00D442E2">
        <w:rPr>
          <w:u w:val="none"/>
        </w:rPr>
        <w:t>Regulatory Background</w:t>
      </w:r>
    </w:p>
    <w:p w14:paraId="41317A06" w14:textId="77777777" w:rsidR="0099296E" w:rsidRDefault="0099296E" w:rsidP="0099296E">
      <w:pPr>
        <w:pStyle w:val="SubHead"/>
        <w:rPr>
          <w:u w:val="none"/>
        </w:rPr>
      </w:pPr>
    </w:p>
    <w:p w14:paraId="22230715" w14:textId="37CF32EE" w:rsidR="0099296E" w:rsidRDefault="0099296E" w:rsidP="0099296E">
      <w:pPr>
        <w:pStyle w:val="SubHead"/>
        <w:rPr>
          <w:b w:val="0"/>
          <w:u w:val="none"/>
        </w:rPr>
      </w:pPr>
      <w:r w:rsidRPr="007C5DDB">
        <w:rPr>
          <w:b w:val="0"/>
          <w:u w:val="none"/>
        </w:rPr>
        <w:t>VAR-002-1</w:t>
      </w:r>
      <w:r>
        <w:rPr>
          <w:b w:val="0"/>
          <w:u w:val="none"/>
        </w:rPr>
        <w:t xml:space="preserve"> was approved in </w:t>
      </w:r>
      <w:hyperlink r:id="rId16" w:history="1">
        <w:r w:rsidRPr="007C5DDB">
          <w:rPr>
            <w:rStyle w:val="Hyperlink"/>
            <w:b w:val="0"/>
          </w:rPr>
          <w:t xml:space="preserve">Order </w:t>
        </w:r>
        <w:r w:rsidR="008C25D9">
          <w:rPr>
            <w:rStyle w:val="Hyperlink"/>
            <w:b w:val="0"/>
          </w:rPr>
          <w:t xml:space="preserve">No. </w:t>
        </w:r>
        <w:r w:rsidRPr="007C5DDB">
          <w:rPr>
            <w:rStyle w:val="Hyperlink"/>
            <w:b w:val="0"/>
          </w:rPr>
          <w:t>693</w:t>
        </w:r>
      </w:hyperlink>
      <w:r>
        <w:rPr>
          <w:b w:val="0"/>
          <w:u w:val="none"/>
        </w:rPr>
        <w:t xml:space="preserve"> on March 16, 2007.  VAR-002-1 was a revision of the previous voluntary standard VAR-002-0.</w:t>
      </w:r>
    </w:p>
    <w:p w14:paraId="34D36E5F" w14:textId="77777777" w:rsidR="0099296E" w:rsidRDefault="0099296E" w:rsidP="0099296E">
      <w:pPr>
        <w:pStyle w:val="SubHead"/>
        <w:rPr>
          <w:b w:val="0"/>
          <w:u w:val="none"/>
        </w:rPr>
      </w:pPr>
    </w:p>
    <w:p w14:paraId="2E3DFFC4" w14:textId="207EB8CD" w:rsidR="0099296E" w:rsidRDefault="0099296E" w:rsidP="0099296E">
      <w:pPr>
        <w:pStyle w:val="SubHead"/>
        <w:rPr>
          <w:b w:val="0"/>
          <w:u w:val="none"/>
        </w:rPr>
      </w:pPr>
      <w:r>
        <w:rPr>
          <w:b w:val="0"/>
          <w:u w:val="none"/>
        </w:rPr>
        <w:t xml:space="preserve">Two interpertations were subsequently approved for VAR-002-1.  The first interpretation, approved in </w:t>
      </w:r>
      <w:hyperlink r:id="rId17" w:history="1">
        <w:r w:rsidRPr="00950C7E">
          <w:rPr>
            <w:rStyle w:val="Hyperlink"/>
            <w:b w:val="0"/>
          </w:rPr>
          <w:t xml:space="preserve">Order </w:t>
        </w:r>
        <w:r w:rsidR="008E608C">
          <w:rPr>
            <w:rStyle w:val="Hyperlink"/>
            <w:b w:val="0"/>
          </w:rPr>
          <w:t xml:space="preserve">No. </w:t>
        </w:r>
        <w:r w:rsidRPr="00950C7E">
          <w:rPr>
            <w:rStyle w:val="Hyperlink"/>
            <w:b w:val="0"/>
          </w:rPr>
          <w:t>713</w:t>
        </w:r>
      </w:hyperlink>
      <w:r>
        <w:rPr>
          <w:b w:val="0"/>
          <w:u w:val="none"/>
        </w:rPr>
        <w:t xml:space="preserve"> on July 21, 2008, added clarity to Requirements R1 and R2.  The second interpretation, approved in a </w:t>
      </w:r>
      <w:hyperlink r:id="rId18" w:history="1">
        <w:r w:rsidRPr="00950C7E">
          <w:rPr>
            <w:rStyle w:val="Hyperlink"/>
            <w:b w:val="0"/>
          </w:rPr>
          <w:t>September 16, 2010 order</w:t>
        </w:r>
      </w:hyperlink>
      <w:r>
        <w:rPr>
          <w:b w:val="0"/>
          <w:u w:val="none"/>
        </w:rPr>
        <w:t>, clarified the applicability of the Standard based on different scenarios.</w:t>
      </w:r>
    </w:p>
    <w:p w14:paraId="1B89C019" w14:textId="77777777" w:rsidR="0099296E" w:rsidRDefault="0099296E" w:rsidP="0099296E">
      <w:pPr>
        <w:pStyle w:val="SubHead"/>
        <w:rPr>
          <w:b w:val="0"/>
          <w:u w:val="none"/>
        </w:rPr>
      </w:pPr>
    </w:p>
    <w:p w14:paraId="0E9B33E9" w14:textId="77777777" w:rsidR="0099296E" w:rsidRDefault="0099296E" w:rsidP="0099296E">
      <w:pPr>
        <w:pStyle w:val="SubHead"/>
        <w:rPr>
          <w:b w:val="0"/>
          <w:u w:val="none"/>
        </w:rPr>
      </w:pPr>
      <w:r>
        <w:rPr>
          <w:b w:val="0"/>
          <w:u w:val="none"/>
        </w:rPr>
        <w:t xml:space="preserve">VAR-002-2b was approved in a </w:t>
      </w:r>
      <w:hyperlink r:id="rId19" w:history="1">
        <w:r w:rsidRPr="00950C7E">
          <w:rPr>
            <w:rStyle w:val="Hyperlink"/>
            <w:b w:val="0"/>
          </w:rPr>
          <w:t>April 16, 2013 order</w:t>
        </w:r>
      </w:hyperlink>
      <w:r>
        <w:rPr>
          <w:b w:val="0"/>
          <w:u w:val="none"/>
        </w:rPr>
        <w:t>.  This Standard clarified startup and shutdown conditions for generators as well as clarified the language of Requirement R2.</w:t>
      </w:r>
    </w:p>
    <w:p w14:paraId="7323274A" w14:textId="77777777" w:rsidR="0099296E" w:rsidRDefault="0099296E" w:rsidP="0099296E">
      <w:pPr>
        <w:pStyle w:val="SubHead"/>
        <w:rPr>
          <w:b w:val="0"/>
          <w:u w:val="none"/>
        </w:rPr>
      </w:pPr>
    </w:p>
    <w:p w14:paraId="26A7442F" w14:textId="77777777" w:rsidR="0099296E" w:rsidRDefault="0099296E" w:rsidP="0099296E">
      <w:pPr>
        <w:pStyle w:val="SubHead"/>
        <w:rPr>
          <w:b w:val="0"/>
          <w:u w:val="none"/>
        </w:rPr>
      </w:pPr>
      <w:r>
        <w:rPr>
          <w:b w:val="0"/>
          <w:u w:val="none"/>
        </w:rPr>
        <w:t>VAR-002-3 requires generator operators to operate in automatic voltage control unless certain specific conditions are met and also requires generator operators to follow transmission operator’s voltage schedules.</w:t>
      </w:r>
    </w:p>
    <w:p w14:paraId="024CED9F" w14:textId="77777777" w:rsidR="006D3EEA" w:rsidRDefault="006D3EEA" w:rsidP="0099296E">
      <w:pPr>
        <w:pStyle w:val="SubHead"/>
        <w:rPr>
          <w:b w:val="0"/>
          <w:u w:val="none"/>
        </w:rPr>
      </w:pPr>
    </w:p>
    <w:p w14:paraId="5C44912D" w14:textId="4349A369" w:rsidR="006D3EEA" w:rsidRDefault="006D3EEA" w:rsidP="0099296E">
      <w:pPr>
        <w:pStyle w:val="SubHead"/>
        <w:rPr>
          <w:b w:val="0"/>
          <w:u w:val="none"/>
        </w:rPr>
      </w:pPr>
      <w:r>
        <w:rPr>
          <w:b w:val="0"/>
          <w:u w:val="none"/>
        </w:rPr>
        <w:t>VAR-002-4 clarified the applicability of Requirement 4 and Requirement 5 to dispersed generation resources.</w:t>
      </w:r>
    </w:p>
    <w:p w14:paraId="51BD3D72" w14:textId="77777777" w:rsidR="007767C1" w:rsidRDefault="007767C1" w:rsidP="0099296E">
      <w:pPr>
        <w:pStyle w:val="SubHead"/>
        <w:rPr>
          <w:b w:val="0"/>
          <w:u w:val="none"/>
        </w:rPr>
      </w:pPr>
    </w:p>
    <w:p w14:paraId="63EB23A4" w14:textId="05929E03" w:rsidR="007767C1" w:rsidRPr="007C5DDB" w:rsidRDefault="007767C1" w:rsidP="0099296E">
      <w:pPr>
        <w:pStyle w:val="SubHead"/>
        <w:rPr>
          <w:b w:val="0"/>
          <w:u w:val="none"/>
        </w:rPr>
      </w:pPr>
      <w:r>
        <w:rPr>
          <w:b w:val="0"/>
          <w:u w:val="none"/>
        </w:rPr>
        <w:t xml:space="preserve">In the </w:t>
      </w:r>
      <w:hyperlink r:id="rId20" w:history="1">
        <w:r w:rsidRPr="0071069B">
          <w:rPr>
            <w:rStyle w:val="Hyperlink"/>
            <w:b w:val="0"/>
          </w:rPr>
          <w:t>letter order</w:t>
        </w:r>
      </w:hyperlink>
      <w:r>
        <w:rPr>
          <w:b w:val="0"/>
          <w:u w:val="none"/>
        </w:rPr>
        <w:t xml:space="preserve"> issued September 26, 2017, FERC approved an errata to VAR-002-4.</w:t>
      </w:r>
    </w:p>
    <w:p w14:paraId="79EF941D" w14:textId="77777777" w:rsidR="0099296E" w:rsidRDefault="0099296E" w:rsidP="0099296E">
      <w:pPr>
        <w:pStyle w:val="SubHead"/>
        <w:rPr>
          <w:u w:val="none"/>
        </w:rPr>
      </w:pPr>
    </w:p>
    <w:p w14:paraId="771222F4" w14:textId="77777777" w:rsidR="0099296E" w:rsidRDefault="0099296E" w:rsidP="0099296E">
      <w:pPr>
        <w:pStyle w:val="SubHead"/>
        <w:rPr>
          <w:u w:val="none"/>
        </w:rPr>
      </w:pPr>
      <w:r>
        <w:rPr>
          <w:u w:val="none"/>
        </w:rPr>
        <w:t>FERC Orders</w:t>
      </w:r>
    </w:p>
    <w:p w14:paraId="0DD3E5C0" w14:textId="77777777" w:rsidR="0099296E" w:rsidRDefault="0099296E" w:rsidP="0099296E">
      <w:pPr>
        <w:pStyle w:val="SubHead"/>
        <w:rPr>
          <w:u w:val="none"/>
        </w:rPr>
      </w:pPr>
    </w:p>
    <w:p w14:paraId="1521BB03" w14:textId="77777777" w:rsidR="0099296E" w:rsidRDefault="0099296E" w:rsidP="0099296E">
      <w:pPr>
        <w:pStyle w:val="SubHead"/>
        <w:rPr>
          <w:u w:val="none"/>
        </w:rPr>
      </w:pPr>
      <w:r>
        <w:rPr>
          <w:u w:val="none"/>
        </w:rPr>
        <w:t>Letter Order</w:t>
      </w:r>
    </w:p>
    <w:p w14:paraId="4A1027C6" w14:textId="77777777" w:rsidR="0099296E" w:rsidRDefault="0099296E" w:rsidP="0099296E">
      <w:pPr>
        <w:pStyle w:val="SubHead"/>
        <w:rPr>
          <w:u w:val="none"/>
        </w:rPr>
      </w:pPr>
    </w:p>
    <w:p w14:paraId="58E5624A" w14:textId="60825FED" w:rsidR="00705285" w:rsidRDefault="004B38C1" w:rsidP="00705285">
      <w:pPr>
        <w:pStyle w:val="SubHead"/>
        <w:rPr>
          <w:u w:val="none"/>
        </w:rPr>
      </w:pPr>
      <w:r w:rsidRPr="00D1274A">
        <w:rPr>
          <w:u w:val="none"/>
        </w:rPr>
        <w:t>North American Electric Reliability Corp.</w:t>
      </w:r>
      <w:r w:rsidR="00705285">
        <w:rPr>
          <w:u w:val="none"/>
        </w:rPr>
        <w:t>, Docket No. RD17-7-000 (Sept. 26, 2017).</w:t>
      </w:r>
    </w:p>
    <w:p w14:paraId="46F9A9D5" w14:textId="77777777" w:rsidR="00705285" w:rsidRDefault="00705285" w:rsidP="00705285">
      <w:pPr>
        <w:pStyle w:val="SubHead"/>
        <w:rPr>
          <w:u w:val="none"/>
        </w:rPr>
      </w:pPr>
    </w:p>
    <w:p w14:paraId="7B38659E" w14:textId="77777777" w:rsidR="00705285" w:rsidRPr="00705285" w:rsidRDefault="00765971" w:rsidP="00705285">
      <w:pPr>
        <w:pStyle w:val="SubHead"/>
        <w:rPr>
          <w:b w:val="0"/>
          <w:u w:val="none"/>
        </w:rPr>
      </w:pPr>
      <w:hyperlink r:id="rId21" w:history="1">
        <w:r w:rsidR="00705285" w:rsidRPr="00705285">
          <w:rPr>
            <w:rStyle w:val="Hyperlink"/>
            <w:b w:val="0"/>
          </w:rPr>
          <w:t>http://www.nerc.com/FilingsOrders/us/FERCOrdersRules/Delegated%20Order%20Approving%20Errata%20to%20Voltage%20and%20Reactive%20Control%20Rel%20Stds%20RD17-7.pdf</w:t>
        </w:r>
      </w:hyperlink>
    </w:p>
    <w:p w14:paraId="00B7E3C8" w14:textId="7CF60CEB" w:rsidR="00705285" w:rsidRDefault="00705285" w:rsidP="00AA7272">
      <w:pPr>
        <w:pStyle w:val="SubHead"/>
        <w:ind w:left="990" w:hanging="990"/>
        <w:rPr>
          <w:u w:val="none"/>
        </w:rPr>
      </w:pPr>
    </w:p>
    <w:p w14:paraId="3D9F621F" w14:textId="6649AE05" w:rsidR="00705285" w:rsidRPr="00705285" w:rsidRDefault="00705285" w:rsidP="00AA7272">
      <w:pPr>
        <w:pStyle w:val="SubHead"/>
        <w:ind w:left="990" w:hanging="990"/>
        <w:rPr>
          <w:b w:val="0"/>
          <w:u w:val="none"/>
        </w:rPr>
      </w:pPr>
      <w:r w:rsidRPr="00705285">
        <w:rPr>
          <w:b w:val="0"/>
          <w:u w:val="none"/>
        </w:rPr>
        <w:t xml:space="preserve">Page 1 </w:t>
      </w:r>
      <w:r w:rsidRPr="00705285">
        <w:rPr>
          <w:b w:val="0"/>
          <w:u w:val="none"/>
        </w:rPr>
        <w:tab/>
      </w:r>
      <w:r>
        <w:rPr>
          <w:b w:val="0"/>
          <w:u w:val="none"/>
        </w:rPr>
        <w:t xml:space="preserve">FERC approved </w:t>
      </w:r>
      <w:r w:rsidR="00E97BC4">
        <w:rPr>
          <w:b w:val="0"/>
          <w:u w:val="none"/>
        </w:rPr>
        <w:t>VAR-002-4.1 which “corrects capitalization of the defined term ‘Reactive Power’ in Requirement R4, footnote 4.</w:t>
      </w:r>
      <w:r w:rsidR="004B38C1">
        <w:rPr>
          <w:b w:val="0"/>
          <w:u w:val="none"/>
        </w:rPr>
        <w:t>”</w:t>
      </w:r>
    </w:p>
    <w:p w14:paraId="29AA2C6D" w14:textId="77777777" w:rsidR="00705285" w:rsidRDefault="00705285" w:rsidP="00AA7272">
      <w:pPr>
        <w:pStyle w:val="SubHead"/>
        <w:ind w:left="990" w:hanging="990"/>
        <w:rPr>
          <w:i/>
          <w:u w:val="none"/>
        </w:rPr>
      </w:pPr>
    </w:p>
    <w:p w14:paraId="6FF95E88" w14:textId="77777777" w:rsidR="00AA7272" w:rsidRPr="00A43A8A" w:rsidRDefault="00AA7272" w:rsidP="00AA7272">
      <w:pPr>
        <w:pStyle w:val="SubHead"/>
        <w:ind w:left="990" w:hanging="990"/>
        <w:rPr>
          <w:i/>
          <w:u w:val="none"/>
        </w:rPr>
      </w:pPr>
      <w:r w:rsidRPr="00A43A8A">
        <w:rPr>
          <w:i/>
          <w:u w:val="none"/>
        </w:rPr>
        <w:t>North Amer</w:t>
      </w:r>
      <w:r>
        <w:rPr>
          <w:i/>
          <w:u w:val="none"/>
        </w:rPr>
        <w:t>ican Electric Reliability Corp.</w:t>
      </w:r>
      <w:r w:rsidRPr="00A43A8A">
        <w:rPr>
          <w:i/>
          <w:u w:val="none"/>
        </w:rPr>
        <w:t xml:space="preserve">, </w:t>
      </w:r>
      <w:r>
        <w:rPr>
          <w:u w:val="none"/>
        </w:rPr>
        <w:t>151 FERC ¶ 61,186 (2015).</w:t>
      </w:r>
    </w:p>
    <w:p w14:paraId="4CAC7F11" w14:textId="77777777" w:rsidR="00AA7272" w:rsidRDefault="00765971" w:rsidP="00AA7272">
      <w:pPr>
        <w:pStyle w:val="FERCparanumberCharChar"/>
        <w:widowControl/>
        <w:numPr>
          <w:ilvl w:val="0"/>
          <w:numId w:val="0"/>
        </w:numPr>
        <w:spacing w:after="260"/>
        <w:rPr>
          <w:sz w:val="24"/>
        </w:rPr>
      </w:pPr>
      <w:hyperlink r:id="rId22" w:history="1">
        <w:r w:rsidR="00AA7272" w:rsidRPr="00B50A89">
          <w:rPr>
            <w:rStyle w:val="Hyperlink"/>
            <w:sz w:val="24"/>
          </w:rPr>
          <w:t>May 29, 2015 Letter Order in Docket No. RD15-3-000</w:t>
        </w:r>
      </w:hyperlink>
    </w:p>
    <w:p w14:paraId="10938C2A" w14:textId="77777777" w:rsidR="00AA7272" w:rsidRPr="00D0633C" w:rsidRDefault="00AA7272" w:rsidP="00AA7272">
      <w:pPr>
        <w:ind w:left="990" w:hanging="990"/>
        <w:rPr>
          <w:rFonts w:asciiTheme="minorHAnsi" w:hAnsiTheme="minorHAnsi" w:cs="Times New Roman"/>
        </w:rPr>
      </w:pPr>
      <w:r w:rsidRPr="00D0633C">
        <w:rPr>
          <w:rFonts w:asciiTheme="minorHAnsi" w:hAnsiTheme="minorHAnsi" w:cs="Times New Roman"/>
        </w:rPr>
        <w:t xml:space="preserve">P 2. </w:t>
      </w:r>
      <w:r w:rsidRPr="00D0633C">
        <w:rPr>
          <w:rFonts w:asciiTheme="minorHAnsi" w:hAnsiTheme="minorHAnsi" w:cs="Times New Roman"/>
        </w:rPr>
        <w:tab/>
      </w:r>
      <w:r w:rsidRPr="00D0633C">
        <w:rPr>
          <w:rFonts w:asciiTheme="minorHAnsi" w:hAnsiTheme="minorHAnsi" w:cs="Times New Roman"/>
        </w:rPr>
        <w:tab/>
        <w:t>The Commission-approved definition of “bulk electric system,” inclusion I4, provides:</w:t>
      </w:r>
    </w:p>
    <w:p w14:paraId="0774EAB2" w14:textId="77777777" w:rsidR="00AA7272" w:rsidRPr="00D0633C" w:rsidRDefault="00AA7272" w:rsidP="00AA7272">
      <w:pPr>
        <w:rPr>
          <w:rFonts w:asciiTheme="minorHAnsi" w:hAnsiTheme="minorHAnsi" w:cs="Times New Roman"/>
        </w:rPr>
      </w:pPr>
    </w:p>
    <w:p w14:paraId="2B5C746D" w14:textId="77777777" w:rsidR="00AA7272" w:rsidRPr="00D0633C" w:rsidRDefault="00AA7272" w:rsidP="00AA7272">
      <w:pPr>
        <w:ind w:left="990" w:right="720"/>
        <w:rPr>
          <w:rFonts w:asciiTheme="minorHAnsi" w:hAnsiTheme="minorHAnsi" w:cs="Times New Roman"/>
        </w:rPr>
      </w:pPr>
      <w:r w:rsidRPr="00D0633C">
        <w:rPr>
          <w:rFonts w:asciiTheme="minorHAnsi" w:hAnsiTheme="minorHAnsi" w:cs="Times New Roman"/>
        </w:rPr>
        <w:lastRenderedPageBreak/>
        <w:t>Dispersed power producing resources that aggregate to a total capacity greater than 75 MVA (gross nameplate rating), and that are connected through a system designed primarily for delivering such capacity to a common point of connection at a voltage of 100 kV or above.</w:t>
      </w:r>
    </w:p>
    <w:p w14:paraId="14EB3133" w14:textId="77777777" w:rsidR="00AA7272" w:rsidRPr="00D0633C" w:rsidRDefault="00AA7272" w:rsidP="00AA7272">
      <w:pPr>
        <w:rPr>
          <w:rFonts w:asciiTheme="minorHAnsi" w:hAnsiTheme="minorHAnsi" w:cs="Times New Roman"/>
        </w:rPr>
      </w:pPr>
    </w:p>
    <w:p w14:paraId="1DCB1C77" w14:textId="77777777" w:rsidR="00AA7272" w:rsidRPr="00D0633C" w:rsidRDefault="00AA7272" w:rsidP="00AA7272">
      <w:pPr>
        <w:ind w:left="990"/>
        <w:rPr>
          <w:rFonts w:asciiTheme="minorHAnsi" w:hAnsiTheme="minorHAnsi" w:cs="Times New Roman"/>
        </w:rPr>
      </w:pPr>
      <w:r w:rsidRPr="00D0633C">
        <w:rPr>
          <w:rFonts w:asciiTheme="minorHAnsi" w:hAnsiTheme="minorHAnsi" w:cs="Times New Roman"/>
        </w:rPr>
        <w:t>Thus, under inclusion I4, the elements designated as bulk electric system are: (i) the individual resources; and (ii) the system designed primarily for delivering capacity from the point where those resources aggregate to greater than 75 MVA to a common point of connection at a voltage of 100 kV or above.</w:t>
      </w:r>
    </w:p>
    <w:p w14:paraId="140FB7C8" w14:textId="77777777" w:rsidR="00AA7272" w:rsidRPr="00D0633C" w:rsidRDefault="00AA7272" w:rsidP="00AA7272">
      <w:pPr>
        <w:rPr>
          <w:rFonts w:asciiTheme="minorHAnsi" w:hAnsiTheme="minorHAnsi" w:cs="Times New Roman"/>
        </w:rPr>
      </w:pPr>
    </w:p>
    <w:p w14:paraId="3A0A3020" w14:textId="77777777" w:rsidR="00AA7272" w:rsidRPr="00D0633C" w:rsidRDefault="00AA7272" w:rsidP="00AA7272">
      <w:pPr>
        <w:ind w:left="990" w:hanging="990"/>
        <w:rPr>
          <w:rFonts w:asciiTheme="minorHAnsi" w:hAnsiTheme="minorHAnsi" w:cs="Times New Roman"/>
        </w:rPr>
      </w:pPr>
      <w:r w:rsidRPr="00D0633C">
        <w:rPr>
          <w:rFonts w:asciiTheme="minorHAnsi" w:hAnsiTheme="minorHAnsi" w:cs="Times New Roman"/>
        </w:rPr>
        <w:t xml:space="preserve">P 4. </w:t>
      </w:r>
      <w:r w:rsidRPr="00D0633C">
        <w:rPr>
          <w:rFonts w:asciiTheme="minorHAnsi" w:hAnsiTheme="minorHAnsi" w:cs="Times New Roman"/>
        </w:rPr>
        <w:tab/>
      </w:r>
      <w:r w:rsidRPr="00D0633C">
        <w:rPr>
          <w:rFonts w:asciiTheme="minorHAnsi" w:hAnsiTheme="minorHAnsi" w:cs="Times New Roman"/>
        </w:rPr>
        <w:tab/>
        <w:t>NERC explains that the design and operational characteristics of dispersed power producing resources are different than traditional generation. In particular, dispersed power producing resources are typically comprised of many individual generating units and, in most instances the units are similar in design and produced by the same manufacturer. The aggregated capability of the facility may contribute significantly to the reliability of the Bulk-Power System, and therefore, the equipment utilized to aggregate the individual units to a common point of interconnection with the transmission system should be operated and maintained as required by the NERC Reliability Standards subject to these petitions. Thus, NERC proposes to modify each of the identified Reliability Standards to include applicability language in provisions pertaining to generator owners and generator operators of resources identified through inclusion I4 of the bulk electric system definition.</w:t>
      </w:r>
    </w:p>
    <w:p w14:paraId="33E50581" w14:textId="77777777" w:rsidR="00AA7272" w:rsidRPr="00D0633C" w:rsidRDefault="00AA7272" w:rsidP="00AA7272">
      <w:pPr>
        <w:rPr>
          <w:rFonts w:asciiTheme="minorHAnsi" w:hAnsiTheme="minorHAnsi" w:cs="Times New Roman"/>
        </w:rPr>
      </w:pPr>
    </w:p>
    <w:p w14:paraId="799185E5" w14:textId="74110372" w:rsidR="00AA7272" w:rsidRPr="00AA7272" w:rsidRDefault="00AA7272" w:rsidP="00AA7272">
      <w:pPr>
        <w:pStyle w:val="SubHead"/>
        <w:ind w:left="990" w:hanging="990"/>
        <w:rPr>
          <w:b w:val="0"/>
          <w:u w:val="none"/>
        </w:rPr>
      </w:pPr>
      <w:r w:rsidRPr="00AA7272">
        <w:rPr>
          <w:rFonts w:cs="Times New Roman"/>
          <w:b w:val="0"/>
          <w:u w:val="none"/>
        </w:rPr>
        <w:t xml:space="preserve">P 16. </w:t>
      </w:r>
      <w:r w:rsidRPr="00AA7272">
        <w:rPr>
          <w:rFonts w:cs="Times New Roman"/>
          <w:b w:val="0"/>
          <w:u w:val="none"/>
        </w:rPr>
        <w:tab/>
        <w:t>The revisions to eight Reliability Standards, approved in this order, are designed to clarify the applicability to owners of dispersed power producing resources. These entities comprise a subset of the generator owners in the NERC Compliance Registry.</w:t>
      </w:r>
    </w:p>
    <w:p w14:paraId="5ECA8CD0" w14:textId="77777777" w:rsidR="00AA7272" w:rsidRDefault="00AA7272" w:rsidP="0099296E">
      <w:pPr>
        <w:pStyle w:val="SubHead"/>
        <w:rPr>
          <w:u w:val="none"/>
        </w:rPr>
      </w:pPr>
    </w:p>
    <w:p w14:paraId="68D2ADEB" w14:textId="646036F3" w:rsidR="0099296E" w:rsidRDefault="0099296E" w:rsidP="0099296E">
      <w:pPr>
        <w:pStyle w:val="SubHead"/>
        <w:rPr>
          <w:u w:val="none"/>
        </w:rPr>
      </w:pPr>
      <w:r w:rsidRPr="00D1274A">
        <w:rPr>
          <w:u w:val="none"/>
        </w:rPr>
        <w:t>North American Electric Reliability Corp., Docket No.</w:t>
      </w:r>
      <w:r>
        <w:rPr>
          <w:u w:val="none"/>
        </w:rPr>
        <w:t xml:space="preserve"> RD14-11-000 (2014).  </w:t>
      </w:r>
    </w:p>
    <w:p w14:paraId="75670C26" w14:textId="77777777" w:rsidR="0099296E" w:rsidRDefault="0099296E" w:rsidP="0099296E">
      <w:pPr>
        <w:pStyle w:val="SubHead"/>
        <w:rPr>
          <w:u w:val="none"/>
        </w:rPr>
      </w:pPr>
    </w:p>
    <w:p w14:paraId="0D4A10B5" w14:textId="77777777" w:rsidR="0099296E" w:rsidRDefault="00765971" w:rsidP="0099296E">
      <w:pPr>
        <w:pStyle w:val="SubHead"/>
        <w:rPr>
          <w:b w:val="0"/>
          <w:u w:val="none"/>
        </w:rPr>
      </w:pPr>
      <w:hyperlink r:id="rId23" w:history="1">
        <w:r w:rsidR="0099296E" w:rsidRPr="00AD1078">
          <w:rPr>
            <w:rStyle w:val="Hyperlink"/>
            <w:b w:val="0"/>
          </w:rPr>
          <w:t>http://www.nerc.com/FilingsOrders/us/FERCOrdersRules/VAR%20Letter%20Order.pdf</w:t>
        </w:r>
      </w:hyperlink>
    </w:p>
    <w:p w14:paraId="6D6FAFD1" w14:textId="77777777" w:rsidR="0099296E" w:rsidRDefault="0099296E" w:rsidP="0099296E">
      <w:pPr>
        <w:pStyle w:val="SubHead"/>
        <w:rPr>
          <w:u w:val="none"/>
        </w:rPr>
      </w:pPr>
    </w:p>
    <w:p w14:paraId="70B8CA60" w14:textId="77777777" w:rsidR="0099296E" w:rsidRDefault="0099296E" w:rsidP="0099296E">
      <w:pPr>
        <w:pStyle w:val="SubHead"/>
        <w:ind w:left="990" w:hanging="990"/>
        <w:rPr>
          <w:b w:val="0"/>
          <w:u w:val="none"/>
        </w:rPr>
      </w:pPr>
      <w:r w:rsidRPr="00D442E2">
        <w:rPr>
          <w:b w:val="0"/>
          <w:u w:val="none"/>
        </w:rPr>
        <w:t>Page 2</w:t>
      </w:r>
      <w:r>
        <w:rPr>
          <w:b w:val="0"/>
          <w:u w:val="none"/>
        </w:rPr>
        <w:tab/>
        <w:t>FERC approved “Reliability Standards VAR-002-3 [which] requires each generator operator to operate each of its generators connected to the interconnected transmission system in automatic voltage control mode or in a different control mode as instructed by the transmission operator, unless the generator operator is exempted by the transmission operator pursuant to the criteria established under Relaibility Standard VAR-001-4, or make certain notifications to the transmission operator specifying the reasons it cannot so operate.  Reliability Standard VAR-002-3 also requires each generator operator to maintain the transmission operator’s generator voltage or reactive power schedule, except in specified circumstances.”</w:t>
      </w:r>
    </w:p>
    <w:p w14:paraId="7C38C2FA" w14:textId="77777777" w:rsidR="0099296E" w:rsidRDefault="0099296E" w:rsidP="0099296E">
      <w:pPr>
        <w:pStyle w:val="SubHead"/>
        <w:ind w:left="990" w:hanging="990"/>
        <w:rPr>
          <w:b w:val="0"/>
          <w:u w:val="none"/>
        </w:rPr>
      </w:pPr>
    </w:p>
    <w:p w14:paraId="289CE5A3" w14:textId="45389DD7" w:rsidR="0099296E" w:rsidRDefault="0099296E" w:rsidP="0099296E">
      <w:pPr>
        <w:pStyle w:val="SubHead"/>
        <w:ind w:left="990" w:hanging="990"/>
        <w:rPr>
          <w:u w:val="none"/>
        </w:rPr>
      </w:pPr>
      <w:r w:rsidRPr="00FD570F">
        <w:rPr>
          <w:i/>
          <w:u w:val="none"/>
        </w:rPr>
        <w:t>Order Approving Reliability Standard,</w:t>
      </w:r>
      <w:r>
        <w:rPr>
          <w:u w:val="none"/>
        </w:rPr>
        <w:t xml:space="preserve"> 143 FERC ¶61,045 (2013).</w:t>
      </w:r>
    </w:p>
    <w:p w14:paraId="26225896" w14:textId="77777777" w:rsidR="0099296E" w:rsidRDefault="0099296E" w:rsidP="0099296E">
      <w:pPr>
        <w:pStyle w:val="SubHead"/>
        <w:ind w:left="990" w:hanging="990"/>
        <w:rPr>
          <w:u w:val="none"/>
        </w:rPr>
      </w:pPr>
    </w:p>
    <w:p w14:paraId="0EAD3914" w14:textId="77777777" w:rsidR="0099296E" w:rsidRPr="000E6123" w:rsidRDefault="00765971" w:rsidP="0099296E">
      <w:pPr>
        <w:pStyle w:val="SubHead"/>
        <w:rPr>
          <w:b w:val="0"/>
          <w:u w:val="none"/>
        </w:rPr>
      </w:pPr>
      <w:hyperlink r:id="rId24" w:history="1">
        <w:r w:rsidR="0099296E" w:rsidRPr="000E6123">
          <w:rPr>
            <w:rStyle w:val="Hyperlink"/>
            <w:b w:val="0"/>
          </w:rPr>
          <w:t>http://www.nerc.com/FilingsOrders/us/FERCOrdersRules/Order%20Approving%20Reliability%20Standard%20VAR-002-2b.pdf</w:t>
        </w:r>
      </w:hyperlink>
    </w:p>
    <w:p w14:paraId="26736BCA" w14:textId="77777777" w:rsidR="0099296E" w:rsidRDefault="0099296E" w:rsidP="0099296E">
      <w:pPr>
        <w:pStyle w:val="SubHead"/>
        <w:ind w:left="990" w:hanging="990"/>
        <w:rPr>
          <w:u w:val="none"/>
        </w:rPr>
      </w:pPr>
    </w:p>
    <w:p w14:paraId="34FAEEB6" w14:textId="77777777" w:rsidR="0099296E" w:rsidRDefault="0099296E" w:rsidP="0099296E">
      <w:pPr>
        <w:pStyle w:val="SubHead"/>
        <w:ind w:left="990" w:hanging="990"/>
        <w:rPr>
          <w:b w:val="0"/>
          <w:u w:val="none"/>
        </w:rPr>
      </w:pPr>
      <w:r w:rsidRPr="000E6123">
        <w:rPr>
          <w:b w:val="0"/>
          <w:u w:val="none"/>
        </w:rPr>
        <w:lastRenderedPageBreak/>
        <w:t>P 21</w:t>
      </w:r>
      <w:r w:rsidRPr="000E6123">
        <w:rPr>
          <w:b w:val="0"/>
          <w:u w:val="none"/>
        </w:rPr>
        <w:tab/>
        <w:t xml:space="preserve">In approving </w:t>
      </w:r>
      <w:r>
        <w:rPr>
          <w:b w:val="0"/>
          <w:u w:val="none"/>
        </w:rPr>
        <w:t>VAR-002-2b, FERC stated “We agree with NERC’s explanation that it is preferable for the generator operator to manually control the generating unit during startup and shutdown rather than utilize the automatic voltage regulator.  In addition, we find that the inclusion of what constitutes a start-up and shutdown in the context of the Relaibility Standard provides additional clarity in the requirement and consistency across the regions.”</w:t>
      </w:r>
    </w:p>
    <w:p w14:paraId="19A49D27" w14:textId="77777777" w:rsidR="0099296E" w:rsidRDefault="0099296E" w:rsidP="0099296E">
      <w:pPr>
        <w:pStyle w:val="SubHead"/>
        <w:ind w:left="990" w:hanging="990"/>
        <w:rPr>
          <w:b w:val="0"/>
          <w:u w:val="none"/>
        </w:rPr>
      </w:pPr>
    </w:p>
    <w:p w14:paraId="5B2D9D42" w14:textId="77777777" w:rsidR="0099296E" w:rsidRPr="000E6123" w:rsidRDefault="0099296E" w:rsidP="0099296E">
      <w:pPr>
        <w:pStyle w:val="SubHead"/>
        <w:ind w:left="990" w:hanging="990"/>
        <w:rPr>
          <w:b w:val="0"/>
          <w:u w:val="none"/>
        </w:rPr>
      </w:pPr>
      <w:r>
        <w:rPr>
          <w:b w:val="0"/>
          <w:u w:val="none"/>
        </w:rPr>
        <w:t>P 22</w:t>
      </w:r>
      <w:r>
        <w:rPr>
          <w:b w:val="0"/>
          <w:u w:val="none"/>
        </w:rPr>
        <w:tab/>
        <w:t>In discussing the VSL of the Standard, FERC states “The language of Requirement R2 provides that any deviation is a violation, and a VSL providing a 30-minute window would be inconsistent with the Commission guidelines that assignments should be consistent with the corresponding requirement.”</w:t>
      </w:r>
    </w:p>
    <w:p w14:paraId="7FF6E0BD" w14:textId="77777777" w:rsidR="0099296E" w:rsidRDefault="0099296E" w:rsidP="0099296E">
      <w:pPr>
        <w:pStyle w:val="SubHead"/>
        <w:ind w:left="990" w:hanging="990"/>
        <w:rPr>
          <w:u w:val="none"/>
        </w:rPr>
      </w:pPr>
    </w:p>
    <w:p w14:paraId="3D18A4DA" w14:textId="7FF3E5BB" w:rsidR="0099296E" w:rsidRPr="00D442E2" w:rsidRDefault="0099296E" w:rsidP="0099296E">
      <w:pPr>
        <w:pStyle w:val="SubHead"/>
        <w:ind w:left="990" w:hanging="990"/>
        <w:rPr>
          <w:u w:val="none"/>
        </w:rPr>
      </w:pPr>
      <w:r w:rsidRPr="000E6123">
        <w:rPr>
          <w:i/>
          <w:u w:val="none"/>
        </w:rPr>
        <w:t>Order on Reliability Standard Interpertation</w:t>
      </w:r>
      <w:r w:rsidRPr="00D442E2">
        <w:rPr>
          <w:u w:val="none"/>
        </w:rPr>
        <w:t>, 132 FERC ¶61,220 (2010).</w:t>
      </w:r>
    </w:p>
    <w:p w14:paraId="75791223" w14:textId="77777777" w:rsidR="0099296E" w:rsidRDefault="0099296E" w:rsidP="0099296E">
      <w:pPr>
        <w:pStyle w:val="SubHead"/>
      </w:pPr>
    </w:p>
    <w:p w14:paraId="40B9CBD7" w14:textId="77777777" w:rsidR="0099296E" w:rsidRDefault="00765971" w:rsidP="0099296E">
      <w:pPr>
        <w:pStyle w:val="SubHead"/>
        <w:rPr>
          <w:b w:val="0"/>
        </w:rPr>
      </w:pPr>
      <w:hyperlink r:id="rId25" w:history="1">
        <w:r w:rsidR="0099296E" w:rsidRPr="00D442E2">
          <w:rPr>
            <w:rStyle w:val="Hyperlink"/>
            <w:b w:val="0"/>
          </w:rPr>
          <w:t>http://www.nerc.com/FilingsOrders/us/FERCOrdersRules/Order_RS_Interp_91610.pdf</w:t>
        </w:r>
      </w:hyperlink>
    </w:p>
    <w:p w14:paraId="32CDCC26" w14:textId="77777777" w:rsidR="0099296E" w:rsidRDefault="0099296E" w:rsidP="0099296E">
      <w:pPr>
        <w:pStyle w:val="SubHead"/>
        <w:rPr>
          <w:b w:val="0"/>
        </w:rPr>
      </w:pPr>
    </w:p>
    <w:p w14:paraId="1C1DADDE" w14:textId="77777777" w:rsidR="0099296E" w:rsidRDefault="0099296E" w:rsidP="0099296E">
      <w:pPr>
        <w:ind w:left="990" w:hanging="990"/>
        <w:rPr>
          <w:rFonts w:asciiTheme="minorHAnsi" w:hAnsiTheme="minorHAnsi" w:cs="Times New Roman"/>
        </w:rPr>
      </w:pPr>
      <w:r w:rsidRPr="00FD570F">
        <w:rPr>
          <w:rFonts w:asciiTheme="minorHAnsi" w:hAnsiTheme="minorHAnsi"/>
        </w:rPr>
        <w:t>P</w:t>
      </w:r>
      <w:r>
        <w:rPr>
          <w:rFonts w:asciiTheme="minorHAnsi" w:hAnsiTheme="minorHAnsi"/>
        </w:rPr>
        <w:t xml:space="preserve"> </w:t>
      </w:r>
      <w:r w:rsidRPr="00FD570F">
        <w:rPr>
          <w:rFonts w:asciiTheme="minorHAnsi" w:hAnsiTheme="minorHAnsi"/>
        </w:rPr>
        <w:t>9</w:t>
      </w:r>
      <w:r w:rsidRPr="00FD570F">
        <w:rPr>
          <w:rFonts w:asciiTheme="minorHAnsi" w:hAnsiTheme="minorHAnsi"/>
        </w:rPr>
        <w:tab/>
        <w:t>In approving the interpretation of VAR-002-1, FERC stated</w:t>
      </w:r>
      <w:r>
        <w:rPr>
          <w:b/>
        </w:rPr>
        <w:t xml:space="preserve"> “</w:t>
      </w:r>
      <w:r w:rsidRPr="00FD570F">
        <w:rPr>
          <w:rFonts w:asciiTheme="minorHAnsi" w:hAnsiTheme="minorHAnsi" w:cs="Times New Roman"/>
        </w:rPr>
        <w:t>NERC’s interpretation clarifies that all of the requirements in VAR-002-1.1a</w:t>
      </w:r>
      <w:r>
        <w:rPr>
          <w:rFonts w:asciiTheme="minorHAnsi" w:hAnsiTheme="minorHAnsi" w:cs="Times New Roman"/>
        </w:rPr>
        <w:t xml:space="preserve"> </w:t>
      </w:r>
      <w:r w:rsidRPr="00FD570F">
        <w:rPr>
          <w:rFonts w:asciiTheme="minorHAnsi" w:hAnsiTheme="minorHAnsi" w:cs="Times New Roman"/>
        </w:rPr>
        <w:t>apply to all generator owners and generator operators that own or operate generators</w:t>
      </w:r>
      <w:r>
        <w:rPr>
          <w:rFonts w:asciiTheme="minorHAnsi" w:hAnsiTheme="minorHAnsi" w:cs="Times New Roman"/>
        </w:rPr>
        <w:t xml:space="preserve"> </w:t>
      </w:r>
      <w:r w:rsidRPr="00FD570F">
        <w:rPr>
          <w:rFonts w:asciiTheme="minorHAnsi" w:hAnsiTheme="minorHAnsi" w:cs="Times New Roman"/>
        </w:rPr>
        <w:t>whether equipped with an automatic voltage regulator or not. The interpretation also</w:t>
      </w:r>
      <w:r>
        <w:rPr>
          <w:rFonts w:asciiTheme="minorHAnsi" w:hAnsiTheme="minorHAnsi" w:cs="Times New Roman"/>
        </w:rPr>
        <w:t xml:space="preserve"> </w:t>
      </w:r>
      <w:r w:rsidRPr="00FD570F">
        <w:rPr>
          <w:rFonts w:asciiTheme="minorHAnsi" w:hAnsiTheme="minorHAnsi" w:cs="Times New Roman"/>
        </w:rPr>
        <w:t>states that the Reliability Standard is predicated on an assumption that the generator has</w:t>
      </w:r>
      <w:r>
        <w:rPr>
          <w:rFonts w:asciiTheme="minorHAnsi" w:hAnsiTheme="minorHAnsi" w:cs="Times New Roman"/>
        </w:rPr>
        <w:t xml:space="preserve"> </w:t>
      </w:r>
      <w:r w:rsidRPr="00FD570F">
        <w:rPr>
          <w:rFonts w:asciiTheme="minorHAnsi" w:hAnsiTheme="minorHAnsi" w:cs="Times New Roman"/>
        </w:rPr>
        <w:t>AVR equipment capable of automatic operation. The interpretation states that a</w:t>
      </w:r>
      <w:r>
        <w:rPr>
          <w:rFonts w:asciiTheme="minorHAnsi" w:hAnsiTheme="minorHAnsi" w:cs="Times New Roman"/>
        </w:rPr>
        <w:t xml:space="preserve"> </w:t>
      </w:r>
      <w:r w:rsidRPr="00FD570F">
        <w:rPr>
          <w:rFonts w:asciiTheme="minorHAnsi" w:hAnsiTheme="minorHAnsi" w:cs="Times New Roman"/>
        </w:rPr>
        <w:t>generator not equipped with AVR is functionally equivalent to a generator equipped with</w:t>
      </w:r>
      <w:r>
        <w:rPr>
          <w:rFonts w:asciiTheme="minorHAnsi" w:hAnsiTheme="minorHAnsi" w:cs="Times New Roman"/>
        </w:rPr>
        <w:t xml:space="preserve"> </w:t>
      </w:r>
      <w:r w:rsidRPr="00FD570F">
        <w:rPr>
          <w:rFonts w:asciiTheme="minorHAnsi" w:hAnsiTheme="minorHAnsi" w:cs="Times New Roman"/>
        </w:rPr>
        <w:t>AVR that is out of service. Finally, the interpretation notes that VAR-002-1.1a does not</w:t>
      </w:r>
      <w:r>
        <w:rPr>
          <w:rFonts w:asciiTheme="minorHAnsi" w:hAnsiTheme="minorHAnsi" w:cs="Times New Roman"/>
        </w:rPr>
        <w:t xml:space="preserve"> </w:t>
      </w:r>
      <w:r w:rsidRPr="00FD570F">
        <w:rPr>
          <w:rFonts w:asciiTheme="minorHAnsi" w:hAnsiTheme="minorHAnsi" w:cs="Times New Roman"/>
        </w:rPr>
        <w:t>require a generator to be equipped with AVR or to add AVR capability.</w:t>
      </w:r>
      <w:r w:rsidRPr="00FD570F">
        <w:rPr>
          <w:rFonts w:asciiTheme="minorHAnsi" w:hAnsiTheme="minorHAnsi" w:cs="Times New Roman"/>
          <w:bCs/>
        </w:rPr>
        <w:t xml:space="preserve"> </w:t>
      </w:r>
      <w:r w:rsidRPr="00FD570F">
        <w:rPr>
          <w:rFonts w:asciiTheme="minorHAnsi" w:hAnsiTheme="minorHAnsi" w:cs="Times New Roman"/>
        </w:rPr>
        <w:t>NERC</w:t>
      </w:r>
      <w:r>
        <w:rPr>
          <w:rFonts w:asciiTheme="minorHAnsi" w:hAnsiTheme="minorHAnsi" w:cs="Times New Roman"/>
        </w:rPr>
        <w:t xml:space="preserve"> </w:t>
      </w:r>
      <w:r w:rsidRPr="00FD570F">
        <w:rPr>
          <w:rFonts w:asciiTheme="minorHAnsi" w:hAnsiTheme="minorHAnsi" w:cs="Times New Roman"/>
        </w:rPr>
        <w:t>comments in its Petition that other NERC Reliability Standards are sufficient to provide</w:t>
      </w:r>
      <w:r>
        <w:rPr>
          <w:rFonts w:asciiTheme="minorHAnsi" w:hAnsiTheme="minorHAnsi" w:cs="Times New Roman"/>
        </w:rPr>
        <w:t xml:space="preserve"> </w:t>
      </w:r>
      <w:r w:rsidRPr="00FD570F">
        <w:rPr>
          <w:rFonts w:asciiTheme="minorHAnsi" w:hAnsiTheme="minorHAnsi" w:cs="Times New Roman"/>
        </w:rPr>
        <w:t>the motivation for AVR or other types of dynamic reactive capability to be installed.</w:t>
      </w:r>
      <w:r>
        <w:rPr>
          <w:rFonts w:asciiTheme="minorHAnsi" w:hAnsiTheme="minorHAnsi" w:cs="Times New Roman"/>
        </w:rPr>
        <w:t>”</w:t>
      </w:r>
    </w:p>
    <w:p w14:paraId="39A3CBE1" w14:textId="77777777" w:rsidR="0099296E" w:rsidRDefault="0099296E" w:rsidP="0099296E">
      <w:pPr>
        <w:ind w:left="990" w:hanging="990"/>
        <w:rPr>
          <w:rFonts w:asciiTheme="minorHAnsi" w:hAnsiTheme="minorHAnsi"/>
        </w:rPr>
      </w:pPr>
    </w:p>
    <w:p w14:paraId="5BD15359" w14:textId="77777777" w:rsidR="0099296E" w:rsidRDefault="0099296E" w:rsidP="0099296E">
      <w:pPr>
        <w:ind w:left="990" w:hanging="990"/>
        <w:rPr>
          <w:rFonts w:asciiTheme="minorHAnsi" w:hAnsiTheme="minorHAnsi"/>
        </w:rPr>
      </w:pPr>
      <w:r>
        <w:rPr>
          <w:rFonts w:asciiTheme="minorHAnsi" w:hAnsiTheme="minorHAnsi"/>
        </w:rPr>
        <w:t>P 10</w:t>
      </w:r>
      <w:r>
        <w:rPr>
          <w:rFonts w:asciiTheme="minorHAnsi" w:hAnsiTheme="minorHAnsi"/>
        </w:rPr>
        <w:tab/>
        <w:t>FERC continues by stating “The interpretation explains that, pursuant to Requirement R1, a generator operator must notify the transmission operator when automatic voltage control is not available, either because the AVR is not functioning or the generator is not capeable of AVR.”</w:t>
      </w:r>
    </w:p>
    <w:p w14:paraId="08776AA8" w14:textId="77777777" w:rsidR="0099296E" w:rsidRDefault="0099296E" w:rsidP="0099296E">
      <w:pPr>
        <w:ind w:left="990" w:hanging="990"/>
        <w:rPr>
          <w:rFonts w:asciiTheme="minorHAnsi" w:hAnsiTheme="minorHAnsi"/>
        </w:rPr>
      </w:pPr>
    </w:p>
    <w:p w14:paraId="68436308" w14:textId="77777777" w:rsidR="0099296E" w:rsidRDefault="0099296E" w:rsidP="0099296E">
      <w:pPr>
        <w:ind w:left="990" w:hanging="990"/>
        <w:rPr>
          <w:rFonts w:asciiTheme="minorHAnsi" w:hAnsiTheme="minorHAnsi"/>
        </w:rPr>
      </w:pPr>
      <w:r>
        <w:rPr>
          <w:rFonts w:asciiTheme="minorHAnsi" w:hAnsiTheme="minorHAnsi"/>
        </w:rPr>
        <w:t>P 11</w:t>
      </w:r>
      <w:r>
        <w:rPr>
          <w:rFonts w:asciiTheme="minorHAnsi" w:hAnsiTheme="minorHAnsi"/>
        </w:rPr>
        <w:tab/>
        <w:t>FERC also notes that “NERC’s interpretation states that these Requirements [R2 and R2.1] apply whether a generator has AVR or not.”</w:t>
      </w:r>
    </w:p>
    <w:p w14:paraId="469414C6" w14:textId="77777777" w:rsidR="00CC7E3E" w:rsidRDefault="00CC7E3E" w:rsidP="00CC7E3E">
      <w:pPr>
        <w:rPr>
          <w:rFonts w:asciiTheme="minorHAnsi" w:hAnsiTheme="minorHAnsi"/>
        </w:rPr>
      </w:pPr>
    </w:p>
    <w:p w14:paraId="3A827235" w14:textId="77777777" w:rsidR="00ED6C9C" w:rsidRPr="006C43BC" w:rsidRDefault="00ED6C9C" w:rsidP="00CC7E3E">
      <w:pPr>
        <w:rPr>
          <w:rFonts w:asciiTheme="minorHAnsi" w:hAnsiTheme="minorHAnsi"/>
        </w:rPr>
      </w:pPr>
    </w:p>
    <w:p w14:paraId="39643EC2" w14:textId="235CAED5" w:rsidR="00490283" w:rsidRPr="006C43BC" w:rsidRDefault="00490283" w:rsidP="00D97E2A">
      <w:pPr>
        <w:pStyle w:val="SubHead"/>
        <w:rPr>
          <w:i/>
        </w:rPr>
      </w:pPr>
      <w:bookmarkStart w:id="4" w:name="_Toc323042589"/>
      <w:bookmarkStart w:id="5" w:name="_Toc330463566"/>
      <w:bookmarkEnd w:id="3"/>
      <w:r w:rsidRPr="006C43BC">
        <w:t>Sampling Methodology</w:t>
      </w:r>
      <w:bookmarkEnd w:id="4"/>
      <w:bookmarkEnd w:id="5"/>
      <w:r w:rsidR="002A01BD">
        <w:t xml:space="preserve"> </w:t>
      </w:r>
    </w:p>
    <w:p w14:paraId="55C87AB5"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375F6A98" w14:textId="48B1852C" w:rsidR="00D54CB4" w:rsidRPr="008F56D6" w:rsidRDefault="00490283"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Pr="00840537" w:rsidRDefault="00D54CB4" w:rsidP="00CC440E">
      <w:pPr>
        <w:pStyle w:val="SubHead"/>
      </w:pPr>
      <w:r w:rsidRPr="00840537">
        <w:lastRenderedPageBreak/>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063301">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063301">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063301">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063301">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063301">
            <w:pPr>
              <w:jc w:val="center"/>
              <w:rPr>
                <w:rFonts w:ascii="Calibri" w:hAnsi="Calibri" w:cs="Times New Roman"/>
                <w:b/>
              </w:rPr>
            </w:pPr>
            <w:r w:rsidRPr="009B28B0">
              <w:rPr>
                <w:rFonts w:ascii="Calibri" w:hAnsi="Calibri" w:cs="Times New Roman"/>
                <w:b/>
              </w:rPr>
              <w:t>Revision Description</w:t>
            </w:r>
          </w:p>
        </w:tc>
      </w:tr>
      <w:tr w:rsidR="00992502" w:rsidRPr="009B28B0" w14:paraId="6239E1A3" w14:textId="77777777" w:rsidTr="00063301">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05C66BE3" w:rsidR="00992502" w:rsidRPr="009B28B0" w:rsidRDefault="00992502" w:rsidP="00992502">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5BE0F8ED" w:rsidR="00992502" w:rsidRPr="009B28B0" w:rsidRDefault="00992502" w:rsidP="00765971">
            <w:pPr>
              <w:jc w:val="center"/>
              <w:rPr>
                <w:rFonts w:ascii="Calibri" w:hAnsi="Calibri" w:cs="Times New Roman"/>
              </w:rPr>
            </w:pPr>
            <w:r>
              <w:rPr>
                <w:rFonts w:ascii="Calibri" w:hAnsi="Calibri" w:cs="Times New Roman"/>
              </w:rPr>
              <w:t>11/</w:t>
            </w:r>
            <w:r w:rsidR="00765971">
              <w:rPr>
                <w:rFonts w:ascii="Calibri" w:hAnsi="Calibri" w:cs="Times New Roman"/>
              </w:rPr>
              <w:t>21</w:t>
            </w:r>
            <w:bookmarkStart w:id="6" w:name="_GoBack"/>
            <w:bookmarkEnd w:id="6"/>
            <w:r>
              <w:rPr>
                <w:rFonts w:ascii="Calibri" w:hAnsi="Calibri" w:cs="Times New Roman"/>
              </w:rPr>
              <w:t>/2017</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75A5D369" w:rsidR="00992502" w:rsidRPr="009B28B0" w:rsidRDefault="00992502" w:rsidP="00992502">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6F8C1499" w:rsidR="00992502" w:rsidRPr="009B28B0" w:rsidRDefault="00992502" w:rsidP="00992502">
            <w:pPr>
              <w:rPr>
                <w:rFonts w:ascii="Calibri" w:hAnsi="Calibri" w:cs="Times New Roman"/>
              </w:rPr>
            </w:pPr>
            <w:r>
              <w:rPr>
                <w:rFonts w:ascii="Calibri" w:hAnsi="Calibri" w:cs="Times New Roman"/>
              </w:rPr>
              <w:t>New Document for consistency with the changes to newest version of approved Standard.</w:t>
            </w:r>
          </w:p>
        </w:tc>
      </w:tr>
      <w:tr w:rsidR="002A01BD" w:rsidRPr="009B28B0" w14:paraId="08B04C58" w14:textId="77777777" w:rsidTr="00AA7272">
        <w:tc>
          <w:tcPr>
            <w:tcW w:w="1016" w:type="dxa"/>
            <w:tcBorders>
              <w:top w:val="single" w:sz="4" w:space="0" w:color="000000"/>
              <w:left w:val="single" w:sz="4" w:space="0" w:color="000000"/>
              <w:bottom w:val="single" w:sz="4" w:space="0" w:color="000000"/>
              <w:right w:val="single" w:sz="4" w:space="0" w:color="000000"/>
            </w:tcBorders>
            <w:vAlign w:val="center"/>
          </w:tcPr>
          <w:p w14:paraId="61920480" w14:textId="3D473EFD"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vAlign w:val="center"/>
          </w:tcPr>
          <w:p w14:paraId="39C39DFC" w14:textId="19070493"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37BE426C" w:rsidR="002A01BD" w:rsidRPr="009B28B0" w:rsidRDefault="002A01BD" w:rsidP="00063301">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6BFF2F16" w:rsidR="002A01BD" w:rsidRPr="00B74D5F" w:rsidRDefault="002A01BD" w:rsidP="00063301">
            <w:pPr>
              <w:rPr>
                <w:rFonts w:asciiTheme="minorHAnsi" w:hAnsiTheme="minorHAnsi" w:cs="Times New Roman"/>
              </w:rPr>
            </w:pPr>
          </w:p>
        </w:tc>
      </w:tr>
      <w:tr w:rsidR="002A01BD" w:rsidRPr="009B28B0" w14:paraId="1F5CB434" w14:textId="77777777" w:rsidTr="00063301">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063301">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063301">
            <w:pPr>
              <w:rPr>
                <w:rFonts w:ascii="Calibri" w:hAnsi="Calibri" w:cs="Times New Roman"/>
              </w:rPr>
            </w:pPr>
          </w:p>
        </w:tc>
      </w:tr>
    </w:tbl>
    <w:p w14:paraId="4279EE94" w14:textId="77777777" w:rsidR="00CF0C11" w:rsidRDefault="00CF0C11" w:rsidP="00CF0C11">
      <w:pPr>
        <w:pStyle w:val="SubHead"/>
      </w:pPr>
    </w:p>
    <w:sectPr w:rsidR="00CF0C11" w:rsidSect="00F019DB">
      <w:headerReference w:type="default" r:id="rId26"/>
      <w:footerReference w:type="default" r:id="rId2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18613" w14:textId="77777777" w:rsidR="0088549C" w:rsidRDefault="0088549C">
      <w:r>
        <w:separator/>
      </w:r>
    </w:p>
  </w:endnote>
  <w:endnote w:type="continuationSeparator" w:id="0">
    <w:p w14:paraId="58060642" w14:textId="77777777" w:rsidR="0088549C" w:rsidRDefault="0088549C">
      <w:r>
        <w:continuationSeparator/>
      </w:r>
    </w:p>
  </w:endnote>
  <w:endnote w:id="1">
    <w:p w14:paraId="3228B43A" w14:textId="77777777" w:rsidR="00644AD6" w:rsidRPr="00A55119" w:rsidRDefault="00644AD6" w:rsidP="00DD6046">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75357A51" w:rsidR="00644AD6" w:rsidRPr="001D34F6" w:rsidRDefault="00644AD6"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644AD6" w:rsidRPr="001D34F6" w:rsidRDefault="00644AD6"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1F7A39C5" w:rsidR="00644AD6" w:rsidRPr="008C17EB" w:rsidRDefault="00644AD6"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VAR-002-4.1_201</w:t>
    </w:r>
    <w:r w:rsidR="00992502">
      <w:rPr>
        <w:rFonts w:asciiTheme="minorHAnsi" w:hAnsiTheme="minorHAnsi"/>
        <w:color w:val="0070C0"/>
        <w:sz w:val="18"/>
        <w:szCs w:val="22"/>
      </w:rPr>
      <w:t>7</w:t>
    </w:r>
    <w:r w:rsidRPr="00F019DB">
      <w:rPr>
        <w:rFonts w:asciiTheme="minorHAnsi" w:hAnsiTheme="minorHAnsi"/>
        <w:color w:val="0070C0"/>
        <w:sz w:val="18"/>
        <w:szCs w:val="22"/>
      </w:rPr>
      <w:t>_v1</w:t>
    </w:r>
    <w:r>
      <w:rPr>
        <w:rFonts w:asciiTheme="minorHAnsi" w:hAnsiTheme="minorHAnsi"/>
        <w:sz w:val="18"/>
        <w:szCs w:val="18"/>
      </w:rPr>
      <w:t xml:space="preserve"> </w:t>
    </w:r>
    <w:r>
      <w:rPr>
        <w:rFonts w:asciiTheme="minorHAnsi" w:hAnsiTheme="minorHAnsi"/>
        <w:color w:val="auto"/>
        <w:sz w:val="18"/>
        <w:szCs w:val="22"/>
      </w:rPr>
      <w:t xml:space="preserve">Revision Date: </w:t>
    </w:r>
    <w:r w:rsidR="00992502">
      <w:rPr>
        <w:rFonts w:asciiTheme="minorHAnsi" w:hAnsiTheme="minorHAnsi"/>
        <w:color w:val="0070C0"/>
        <w:sz w:val="18"/>
        <w:szCs w:val="22"/>
      </w:rPr>
      <w:t>November</w:t>
    </w:r>
    <w:r>
      <w:rPr>
        <w:rFonts w:asciiTheme="minorHAnsi" w:hAnsiTheme="minorHAnsi"/>
        <w:color w:val="0070C0"/>
        <w:sz w:val="18"/>
        <w:szCs w:val="22"/>
      </w:rPr>
      <w:t>, 201</w:t>
    </w:r>
    <w:r w:rsidR="00992502">
      <w:rPr>
        <w:rFonts w:asciiTheme="minorHAnsi" w:hAnsiTheme="minorHAnsi"/>
        <w:color w:val="0070C0"/>
        <w:sz w:val="18"/>
        <w:szCs w:val="22"/>
      </w:rPr>
      <w:t>7</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5C67880" w14:textId="084C627E" w:rsidR="00644AD6" w:rsidRPr="0071254D" w:rsidRDefault="00644AD6"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765971">
      <w:rPr>
        <w:rStyle w:val="PageNumber"/>
        <w:rFonts w:asciiTheme="minorHAnsi" w:hAnsiTheme="minorHAnsi" w:cs="Times New Roman"/>
        <w:noProof/>
        <w:sz w:val="18"/>
        <w:szCs w:val="18"/>
      </w:rPr>
      <w:t>20</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0887A" w14:textId="77777777" w:rsidR="0088549C" w:rsidRDefault="0088549C">
      <w:r>
        <w:separator/>
      </w:r>
    </w:p>
  </w:footnote>
  <w:footnote w:type="continuationSeparator" w:id="0">
    <w:p w14:paraId="55AE38B2" w14:textId="77777777" w:rsidR="0088549C" w:rsidRDefault="0088549C">
      <w:r>
        <w:continuationSeparator/>
      </w:r>
    </w:p>
  </w:footnote>
  <w:footnote w:id="1">
    <w:p w14:paraId="43ED6495" w14:textId="77777777" w:rsidR="00644AD6" w:rsidRPr="004F562B" w:rsidRDefault="00644AD6"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644AD6" w:rsidRPr="004F562B" w:rsidRDefault="00644AD6" w:rsidP="001D52A5">
      <w:pPr>
        <w:jc w:val="both"/>
        <w:rPr>
          <w:rFonts w:asciiTheme="minorHAnsi" w:hAnsiTheme="minorHAnsi" w:cs="Times New Roman"/>
          <w:sz w:val="16"/>
          <w:szCs w:val="16"/>
        </w:rPr>
      </w:pPr>
    </w:p>
    <w:p w14:paraId="4E0BAF8B" w14:textId="46AB5994" w:rsidR="00644AD6" w:rsidRDefault="00644AD6" w:rsidP="003818D1">
      <w:pPr>
        <w:pStyle w:val="FootnoteText"/>
        <w:rPr>
          <w:rFonts w:asciiTheme="minorHAnsi" w:hAnsiTheme="minorHAnsi" w:cs="Times New Roman"/>
          <w:sz w:val="16"/>
          <w:szCs w:val="16"/>
        </w:rPr>
      </w:pPr>
      <w:r w:rsidRPr="003818D1">
        <w:rPr>
          <w:rFonts w:asciiTheme="minorHAnsi" w:hAnsiTheme="minorHAnsi" w:cs="Times New Roman"/>
          <w:sz w:val="16"/>
          <w:szCs w:val="16"/>
        </w:rPr>
        <w:t xml:space="preserve">The RSAW may provide a non 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w:t>
      </w:r>
      <w:r w:rsidR="00340F3B" w:rsidRPr="003818D1">
        <w:rPr>
          <w:rFonts w:asciiTheme="minorHAnsi" w:hAnsiTheme="minorHAnsi" w:cs="Times New Roman"/>
          <w:sz w:val="16"/>
          <w:szCs w:val="16"/>
        </w:rPr>
        <w:t>references which</w:t>
      </w:r>
      <w:r w:rsidRPr="003818D1">
        <w:rPr>
          <w:rFonts w:asciiTheme="minorHAnsi" w:hAnsiTheme="minorHAnsi" w:cs="Times New Roman"/>
          <w:sz w:val="16"/>
          <w:szCs w:val="16"/>
        </w:rPr>
        <w:t xml:space="preserve"> are provided for ease of reference only, and this document does not necessarily include all applicable Order provisions.  In the event of a discrepancy between FERC Orders, and the language included in this document, FERC Orders shall prevail. </w:t>
      </w:r>
    </w:p>
    <w:p w14:paraId="5A4CC534" w14:textId="6625AA85" w:rsidR="00644AD6" w:rsidRDefault="00644AD6" w:rsidP="003818D1">
      <w:pPr>
        <w:pStyle w:val="FootnoteText"/>
      </w:pPr>
      <w:r w:rsidRPr="003818D1">
        <w:rPr>
          <w:rFonts w:asciiTheme="minorHAnsi" w:hAnsiTheme="minorHAnsi" w:cs="Times New Roman"/>
          <w:sz w:val="16"/>
          <w:szCs w:val="16"/>
        </w:rPr>
        <w:t xml:space="preserve">  </w:t>
      </w:r>
    </w:p>
  </w:footnote>
  <w:footnote w:id="2">
    <w:p w14:paraId="4E364D8E" w14:textId="77777777" w:rsidR="00644AD6" w:rsidRPr="005E228B" w:rsidRDefault="00644AD6">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3">
    <w:p w14:paraId="7D472553" w14:textId="77777777" w:rsidR="00644AD6" w:rsidRDefault="00644AD6" w:rsidP="00FB4078">
      <w:pPr>
        <w:pStyle w:val="FootnoteText"/>
        <w:rPr>
          <w:rFonts w:asciiTheme="minorHAnsi" w:hAnsiTheme="minorHAnsi"/>
          <w:sz w:val="18"/>
          <w:szCs w:val="18"/>
        </w:rPr>
      </w:pPr>
      <w:r>
        <w:rPr>
          <w:rStyle w:val="FootnoteReference"/>
          <w:rFonts w:asciiTheme="minorHAnsi" w:hAnsiTheme="minorHAnsi"/>
          <w:sz w:val="18"/>
          <w:szCs w:val="18"/>
        </w:rPr>
        <w:footnoteRef/>
      </w:r>
      <w:r>
        <w:rPr>
          <w:rFonts w:asciiTheme="minorHAnsi" w:hAnsiTheme="minorHAnsi"/>
          <w:sz w:val="18"/>
          <w:szCs w:val="18"/>
        </w:rPr>
        <w:t xml:space="preserve"> Start-up is deemed to have ended when the generator is ramped up to its minimum continuously sustainable load and the generator is prepared for continuous operation.</w:t>
      </w:r>
    </w:p>
  </w:footnote>
  <w:footnote w:id="4">
    <w:p w14:paraId="2D6FE1BB" w14:textId="77777777" w:rsidR="00644AD6" w:rsidRDefault="00644AD6" w:rsidP="00FB4078">
      <w:pPr>
        <w:pStyle w:val="FootnoteText"/>
        <w:rPr>
          <w:rFonts w:asciiTheme="minorHAnsi" w:hAnsiTheme="minorHAnsi"/>
          <w:sz w:val="18"/>
          <w:szCs w:val="18"/>
        </w:rPr>
      </w:pPr>
      <w:r>
        <w:rPr>
          <w:rStyle w:val="FootnoteReference"/>
          <w:rFonts w:asciiTheme="minorHAnsi" w:hAnsiTheme="minorHAnsi"/>
          <w:sz w:val="18"/>
          <w:szCs w:val="18"/>
        </w:rPr>
        <w:footnoteRef/>
      </w:r>
      <w:r>
        <w:rPr>
          <w:rFonts w:asciiTheme="minorHAnsi" w:hAnsiTheme="minorHAnsi"/>
          <w:sz w:val="18"/>
          <w:szCs w:val="18"/>
        </w:rPr>
        <w:t xml:space="preserve"> Shutdown is deemed to begin when the generator is ramped down to its minimum continuously sustainable load and the generator is prepared to go offline.</w:t>
      </w:r>
    </w:p>
  </w:footnote>
  <w:footnote w:id="5">
    <w:p w14:paraId="5DEC8A7C" w14:textId="77777777" w:rsidR="00644AD6" w:rsidRDefault="00644AD6" w:rsidP="00672145">
      <w:pPr>
        <w:pStyle w:val="FootnoteText"/>
        <w:rPr>
          <w:rFonts w:ascii="Calibri" w:hAnsi="Calibri"/>
          <w:sz w:val="16"/>
          <w:szCs w:val="16"/>
        </w:rPr>
      </w:pPr>
      <w:r>
        <w:rPr>
          <w:rStyle w:val="FootnoteReference"/>
          <w:rFonts w:ascii="Calibri" w:hAnsi="Calibri"/>
          <w:sz w:val="16"/>
          <w:szCs w:val="16"/>
        </w:rPr>
        <w:footnoteRef/>
      </w:r>
      <w:r>
        <w:rPr>
          <w:rFonts w:ascii="Calibri" w:hAnsi="Calibri"/>
          <w:sz w:val="16"/>
          <w:szCs w:val="16"/>
        </w:rPr>
        <w:t xml:space="preserve"> The voltage or Reactive Power schedule is a target value with a tolerance band or a voltage or Reactive Power range communicated by the Transmission Operator to the Generator Operator.</w:t>
      </w:r>
    </w:p>
  </w:footnote>
  <w:footnote w:id="6">
    <w:p w14:paraId="568993A8" w14:textId="7003ED36" w:rsidR="00644AD6" w:rsidRDefault="00644AD6" w:rsidP="00672145">
      <w:pPr>
        <w:pStyle w:val="FootnoteText"/>
        <w:rPr>
          <w:rFonts w:ascii="Calibri" w:hAnsi="Calibri"/>
          <w:b/>
          <w:i/>
          <w:sz w:val="16"/>
          <w:szCs w:val="16"/>
        </w:rPr>
      </w:pPr>
      <w:r>
        <w:rPr>
          <w:rStyle w:val="FootnoteReference"/>
          <w:rFonts w:ascii="Calibri" w:hAnsi="Calibri"/>
          <w:sz w:val="16"/>
          <w:szCs w:val="16"/>
        </w:rPr>
        <w:footnoteRef/>
      </w:r>
      <w:r>
        <w:rPr>
          <w:rFonts w:ascii="Calibri" w:hAnsi="Calibri"/>
          <w:sz w:val="16"/>
          <w:szCs w:val="16"/>
        </w:rPr>
        <w:t xml:space="preserve"> Generating Facility capability may be established by test or other means, and may not be sufficient at times to pull the system voltage within the schedule tolerance band.  Also, when a generator is operating in manual control, Reactive Power capability may change based on stability considerations.</w:t>
      </w:r>
    </w:p>
  </w:footnote>
  <w:footnote w:id="7">
    <w:p w14:paraId="7F39721F" w14:textId="03463173" w:rsidR="00644AD6" w:rsidRPr="00310CEF" w:rsidRDefault="00644AD6">
      <w:pPr>
        <w:pStyle w:val="FootnoteText"/>
        <w:rPr>
          <w:rFonts w:asciiTheme="minorHAnsi" w:hAnsiTheme="minorHAnsi"/>
          <w:sz w:val="18"/>
          <w:szCs w:val="18"/>
        </w:rPr>
      </w:pPr>
      <w:r w:rsidRPr="00310CEF">
        <w:rPr>
          <w:rStyle w:val="FootnoteReference"/>
          <w:rFonts w:asciiTheme="minorHAnsi" w:hAnsiTheme="minorHAnsi"/>
          <w:sz w:val="18"/>
          <w:szCs w:val="18"/>
        </w:rPr>
        <w:footnoteRef/>
      </w:r>
      <w:r w:rsidRPr="00310CEF">
        <w:rPr>
          <w:rFonts w:asciiTheme="minorHAnsi" w:hAnsiTheme="minorHAnsi"/>
          <w:sz w:val="18"/>
          <w:szCs w:val="18"/>
        </w:rPr>
        <w:t xml:space="preserve"> For dispersed power producing resources identified through Inclusion I4 of the Bulk Electric System definition, this requirement applies only to those transformers</w:t>
      </w:r>
      <w:r>
        <w:rPr>
          <w:rFonts w:asciiTheme="minorHAnsi" w:hAnsiTheme="minorHAnsi"/>
          <w:sz w:val="18"/>
          <w:szCs w:val="18"/>
        </w:rPr>
        <w:t xml:space="preserve"> that have at least one winding</w:t>
      </w:r>
      <w:r w:rsidRPr="00310CEF">
        <w:rPr>
          <w:rFonts w:asciiTheme="minorHAnsi" w:hAnsiTheme="minorHAnsi"/>
          <w:sz w:val="18"/>
          <w:szCs w:val="18"/>
        </w:rPr>
        <w:t xml:space="preserve"> </w:t>
      </w:r>
      <w:r>
        <w:rPr>
          <w:rFonts w:asciiTheme="minorHAnsi" w:hAnsiTheme="minorHAnsi"/>
          <w:sz w:val="18"/>
          <w:szCs w:val="18"/>
        </w:rPr>
        <w:t>at a voltage of 100 kV or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6AD7BD9E" w:rsidR="00644AD6" w:rsidRDefault="00644AD6" w:rsidP="00E67FE8">
    <w:pPr>
      <w:widowControl w:val="0"/>
      <w:spacing w:line="294" w:lineRule="exact"/>
      <w:rPr>
        <w:rFonts w:ascii="Times New Roman" w:hAnsi="Times New Roman" w:cs="Times New Roman"/>
        <w:b/>
        <w:bCs/>
        <w:color w:val="003366"/>
        <w:sz w:val="28"/>
        <w:szCs w:val="28"/>
      </w:rPr>
    </w:pPr>
  </w:p>
  <w:p w14:paraId="15ACB535" w14:textId="55D0DD59" w:rsidR="00644AD6" w:rsidRPr="00747591" w:rsidRDefault="00644AD6"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644AD6" w:rsidRDefault="00644AD6"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644AD6" w:rsidRDefault="00644AD6">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54CC42"/>
    <w:lvl w:ilvl="0">
      <w:start w:val="1"/>
      <w:numFmt w:val="decimal"/>
      <w:pStyle w:val="Requirement"/>
      <w:lvlText w:val="%1."/>
      <w:lvlJc w:val="left"/>
      <w:pPr>
        <w:tabs>
          <w:tab w:val="num" w:pos="360"/>
        </w:tabs>
        <w:ind w:left="360" w:hanging="360"/>
      </w:pPr>
      <w:rPr>
        <w:rFonts w:cs="Times New Roman"/>
      </w:rPr>
    </w:lvl>
  </w:abstractNum>
  <w:abstractNum w:abstractNumId="1" w15:restartNumberingAfterBreak="0">
    <w:nsid w:val="191E5CAA"/>
    <w:multiLevelType w:val="multilevel"/>
    <w:tmpl w:val="B4E671E2"/>
    <w:lvl w:ilvl="0">
      <w:start w:val="1"/>
      <w:numFmt w:val="decimal"/>
      <w:lvlText w:val="R%1."/>
      <w:lvlJc w:val="left"/>
      <w:pPr>
        <w:tabs>
          <w:tab w:val="num" w:pos="576"/>
        </w:tabs>
        <w:ind w:left="576" w:hanging="576"/>
      </w:pPr>
      <w:rPr>
        <w:b/>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rPr>
    </w:lvl>
    <w:lvl w:ilvl="1">
      <w:start w:val="1"/>
      <w:numFmt w:val="decimal"/>
      <w:lvlText w:val="%1.%2."/>
      <w:lvlJc w:val="left"/>
      <w:pPr>
        <w:tabs>
          <w:tab w:val="num" w:pos="1368"/>
        </w:tabs>
        <w:ind w:left="1368" w:hanging="792"/>
      </w:pPr>
      <w:rPr>
        <w:rFonts w:ascii="Calibri" w:hAnsi="Calibri" w:hint="default"/>
        <w:b/>
        <w:i w:val="0"/>
        <w:sz w:val="22"/>
        <w:szCs w:val="22"/>
      </w:rPr>
    </w:lvl>
    <w:lvl w:ilvl="2">
      <w:start w:val="1"/>
      <w:numFmt w:val="bullet"/>
      <w:lvlText w:val=""/>
      <w:lvlJc w:val="left"/>
      <w:pPr>
        <w:tabs>
          <w:tab w:val="num" w:pos="1368"/>
        </w:tabs>
        <w:ind w:left="2232" w:hanging="864"/>
      </w:pPr>
      <w:rPr>
        <w:rFonts w:ascii="Symbol" w:hAnsi="Symbol" w:hint="default"/>
        <w:b/>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AA31938"/>
    <w:multiLevelType w:val="hybridMultilevel"/>
    <w:tmpl w:val="65BAFCB0"/>
    <w:lvl w:ilvl="0" w:tplc="1EB6801A">
      <w:start w:val="1"/>
      <w:numFmt w:val="decimal"/>
      <w:pStyle w:val="FERCparanumberCharChar"/>
      <w:lvlText w:val="%1."/>
      <w:lvlJc w:val="left"/>
      <w:pPr>
        <w:tabs>
          <w:tab w:val="num" w:pos="720"/>
        </w:tabs>
      </w:pPr>
      <w:rPr>
        <w:rFonts w:cs="Times New Roman" w:hint="default"/>
        <w:b w:val="0"/>
        <w:i w:val="0"/>
        <w:sz w:val="26"/>
        <w:szCs w:val="26"/>
      </w:rPr>
    </w:lvl>
    <w:lvl w:ilvl="1" w:tplc="0182514C">
      <w:start w:val="2"/>
      <w:numFmt w:val="decimal"/>
      <w:lvlText w:val="%2."/>
      <w:lvlJc w:val="left"/>
      <w:pPr>
        <w:tabs>
          <w:tab w:val="num" w:pos="1570"/>
        </w:tabs>
        <w:ind w:left="1570" w:hanging="360"/>
      </w:pPr>
      <w:rPr>
        <w:rFonts w:ascii="Times New Roman" w:eastAsia="Times New Roman" w:hAnsi="Times New Roman" w:cs="Times New Roman"/>
        <w:u w:val="single"/>
      </w:rPr>
    </w:lvl>
    <w:lvl w:ilvl="2" w:tplc="B1C0B04A">
      <w:start w:val="1"/>
      <w:numFmt w:val="lowerRoman"/>
      <w:lvlText w:val="(%3)"/>
      <w:lvlJc w:val="left"/>
      <w:pPr>
        <w:tabs>
          <w:tab w:val="num" w:pos="2650"/>
        </w:tabs>
        <w:ind w:left="2650" w:hanging="720"/>
      </w:pPr>
      <w:rPr>
        <w:rFonts w:cs="Times New Roman"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3" w15:restartNumberingAfterBreak="0">
    <w:nsid w:val="2A606F32"/>
    <w:multiLevelType w:val="multilevel"/>
    <w:tmpl w:val="6C240CEA"/>
    <w:lvl w:ilvl="0">
      <w:start w:val="2"/>
      <w:numFmt w:val="decimal"/>
      <w:lvlText w:val="R%1."/>
      <w:lvlJc w:val="left"/>
      <w:pPr>
        <w:tabs>
          <w:tab w:val="num" w:pos="1152"/>
        </w:tabs>
        <w:ind w:left="1152"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962"/>
        </w:tabs>
        <w:ind w:left="1962" w:hanging="792"/>
      </w:pPr>
      <w:rPr>
        <w:rFonts w:ascii="Calibri" w:hAnsi="Calibri" w:cs="Times New Roman" w:hint="default"/>
        <w:b/>
        <w:i w:val="0"/>
        <w:sz w:val="22"/>
        <w:szCs w:val="22"/>
      </w:rPr>
    </w:lvl>
    <w:lvl w:ilvl="2">
      <w:start w:val="1"/>
      <w:numFmt w:val="decimal"/>
      <w:lvlText w:val="%1.%2.%3."/>
      <w:lvlJc w:val="left"/>
      <w:pPr>
        <w:tabs>
          <w:tab w:val="num" w:pos="1944"/>
        </w:tabs>
        <w:ind w:left="2808" w:hanging="864"/>
      </w:pPr>
      <w:rPr>
        <w:rFonts w:ascii="Times New Roman" w:hAnsi="Times New Roman" w:cs="Times New Roman" w:hint="default"/>
        <w:b/>
        <w:i w:val="0"/>
        <w:sz w:val="22"/>
        <w:szCs w:val="22"/>
      </w:rPr>
    </w:lvl>
    <w:lvl w:ilvl="3">
      <w:start w:val="1"/>
      <w:numFmt w:val="decimal"/>
      <w:lvlText w:val="%1.%2.%3.%4."/>
      <w:lvlJc w:val="left"/>
      <w:pPr>
        <w:tabs>
          <w:tab w:val="num" w:pos="2376"/>
        </w:tabs>
        <w:ind w:left="2304" w:hanging="648"/>
      </w:pPr>
      <w:rPr>
        <w:b w:val="0"/>
        <w:i w:val="0"/>
      </w:rPr>
    </w:lvl>
    <w:lvl w:ilvl="4">
      <w:start w:val="1"/>
      <w:numFmt w:val="decimal"/>
      <w:lvlText w:val="%1.%2.%3.%4.%5."/>
      <w:lvlJc w:val="left"/>
      <w:pPr>
        <w:tabs>
          <w:tab w:val="num" w:pos="3096"/>
        </w:tabs>
        <w:ind w:left="2808" w:hanging="792"/>
      </w:pPr>
    </w:lvl>
    <w:lvl w:ilvl="5">
      <w:start w:val="1"/>
      <w:numFmt w:val="decimal"/>
      <w:lvlText w:val="%1.%2.%3.%4.%5.%6."/>
      <w:lvlJc w:val="left"/>
      <w:pPr>
        <w:tabs>
          <w:tab w:val="num" w:pos="3456"/>
        </w:tabs>
        <w:ind w:left="3312" w:hanging="936"/>
      </w:pPr>
    </w:lvl>
    <w:lvl w:ilvl="6">
      <w:start w:val="1"/>
      <w:numFmt w:val="decimal"/>
      <w:lvlText w:val="%1.%2.%3.%4.%5.%6.%7."/>
      <w:lvlJc w:val="left"/>
      <w:pPr>
        <w:tabs>
          <w:tab w:val="num" w:pos="4176"/>
        </w:tabs>
        <w:ind w:left="3816" w:hanging="1080"/>
      </w:pPr>
    </w:lvl>
    <w:lvl w:ilvl="7">
      <w:start w:val="1"/>
      <w:numFmt w:val="decimal"/>
      <w:lvlText w:val="%1.%2.%3.%4.%5.%6.%7.%8."/>
      <w:lvlJc w:val="left"/>
      <w:pPr>
        <w:tabs>
          <w:tab w:val="num" w:pos="4536"/>
        </w:tabs>
        <w:ind w:left="4320" w:hanging="1224"/>
      </w:pPr>
    </w:lvl>
    <w:lvl w:ilvl="8">
      <w:start w:val="1"/>
      <w:numFmt w:val="decimal"/>
      <w:lvlText w:val="%1.%2.%3.%4.%5.%6.%7.%8.%9."/>
      <w:lvlJc w:val="left"/>
      <w:pPr>
        <w:tabs>
          <w:tab w:val="num" w:pos="5256"/>
        </w:tabs>
        <w:ind w:left="4896" w:hanging="1440"/>
      </w:pPr>
    </w:lvl>
  </w:abstractNum>
  <w:abstractNum w:abstractNumId="4" w15:restartNumberingAfterBreak="0">
    <w:nsid w:val="2A6817A7"/>
    <w:multiLevelType w:val="multilevel"/>
    <w:tmpl w:val="87A8BC6C"/>
    <w:lvl w:ilvl="0">
      <w:start w:val="1"/>
      <w:numFmt w:val="bullet"/>
      <w:lvlText w:val=""/>
      <w:lvlJc w:val="left"/>
      <w:pPr>
        <w:tabs>
          <w:tab w:val="num" w:pos="1296"/>
        </w:tabs>
        <w:ind w:left="1296" w:hanging="576"/>
      </w:pPr>
      <w:rPr>
        <w:rFonts w:ascii="Symbol" w:hAnsi="Symbol" w:hint="default"/>
        <w:b/>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rPr>
    </w:lvl>
    <w:lvl w:ilvl="1">
      <w:start w:val="1"/>
      <w:numFmt w:val="decimal"/>
      <w:lvlText w:val="%1.%2."/>
      <w:lvlJc w:val="left"/>
      <w:pPr>
        <w:tabs>
          <w:tab w:val="num" w:pos="2088"/>
        </w:tabs>
        <w:ind w:left="2088" w:hanging="792"/>
      </w:pPr>
      <w:rPr>
        <w:rFonts w:ascii="Times New Roman" w:hAnsi="Times New Roman" w:cs="Times New Roman" w:hint="default"/>
        <w:b/>
        <w:i w:val="0"/>
        <w:sz w:val="22"/>
        <w:szCs w:val="22"/>
      </w:rPr>
    </w:lvl>
    <w:lvl w:ilvl="2">
      <w:start w:val="1"/>
      <w:numFmt w:val="decimal"/>
      <w:lvlText w:val="%1.%2.%3."/>
      <w:lvlJc w:val="left"/>
      <w:pPr>
        <w:tabs>
          <w:tab w:val="num" w:pos="2088"/>
        </w:tabs>
        <w:ind w:left="2952" w:hanging="864"/>
      </w:pPr>
      <w:rPr>
        <w:rFonts w:ascii="Times New Roman" w:hAnsi="Times New Roman" w:cs="Times New Roman" w:hint="default"/>
        <w:b/>
        <w:i w:val="0"/>
        <w:sz w:val="22"/>
        <w:szCs w:val="22"/>
      </w:rPr>
    </w:lvl>
    <w:lvl w:ilvl="3">
      <w:start w:val="1"/>
      <w:numFmt w:val="decimal"/>
      <w:lvlText w:val="%1.%2.%3.%4."/>
      <w:lvlJc w:val="left"/>
      <w:pPr>
        <w:tabs>
          <w:tab w:val="num" w:pos="2520"/>
        </w:tabs>
        <w:ind w:left="2448" w:hanging="648"/>
      </w:pPr>
      <w:rPr>
        <w:b w:val="0"/>
        <w:i w:val="0"/>
      </w:r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 w15:restartNumberingAfterBreak="0">
    <w:nsid w:val="41187A35"/>
    <w:multiLevelType w:val="multilevel"/>
    <w:tmpl w:val="4370AF02"/>
    <w:lvl w:ilvl="0">
      <w:start w:val="2"/>
      <w:numFmt w:val="decimal"/>
      <w:lvlText w:val="R%1."/>
      <w:lvlJc w:val="left"/>
      <w:pPr>
        <w:tabs>
          <w:tab w:val="num" w:pos="1152"/>
        </w:tabs>
        <w:ind w:left="1152"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962"/>
        </w:tabs>
        <w:ind w:left="1962" w:hanging="792"/>
      </w:pPr>
      <w:rPr>
        <w:rFonts w:ascii="Calibri" w:hAnsi="Calibri" w:cs="Times New Roman" w:hint="default"/>
        <w:b/>
        <w:i w:val="0"/>
        <w:sz w:val="24"/>
        <w:szCs w:val="24"/>
      </w:rPr>
    </w:lvl>
    <w:lvl w:ilvl="2">
      <w:start w:val="1"/>
      <w:numFmt w:val="decimal"/>
      <w:lvlText w:val="%1.%2.%3."/>
      <w:lvlJc w:val="left"/>
      <w:pPr>
        <w:tabs>
          <w:tab w:val="num" w:pos="1944"/>
        </w:tabs>
        <w:ind w:left="2808" w:hanging="864"/>
      </w:pPr>
      <w:rPr>
        <w:rFonts w:ascii="Times New Roman" w:hAnsi="Times New Roman" w:cs="Times New Roman" w:hint="default"/>
        <w:b/>
        <w:i w:val="0"/>
        <w:sz w:val="22"/>
        <w:szCs w:val="22"/>
      </w:rPr>
    </w:lvl>
    <w:lvl w:ilvl="3">
      <w:start w:val="1"/>
      <w:numFmt w:val="decimal"/>
      <w:lvlText w:val="%1.%2.%3.%4."/>
      <w:lvlJc w:val="left"/>
      <w:pPr>
        <w:tabs>
          <w:tab w:val="num" w:pos="2376"/>
        </w:tabs>
        <w:ind w:left="2304" w:hanging="648"/>
      </w:pPr>
      <w:rPr>
        <w:b w:val="0"/>
        <w:i w:val="0"/>
      </w:rPr>
    </w:lvl>
    <w:lvl w:ilvl="4">
      <w:start w:val="1"/>
      <w:numFmt w:val="decimal"/>
      <w:lvlText w:val="%1.%2.%3.%4.%5."/>
      <w:lvlJc w:val="left"/>
      <w:pPr>
        <w:tabs>
          <w:tab w:val="num" w:pos="3096"/>
        </w:tabs>
        <w:ind w:left="2808" w:hanging="792"/>
      </w:pPr>
    </w:lvl>
    <w:lvl w:ilvl="5">
      <w:start w:val="1"/>
      <w:numFmt w:val="decimal"/>
      <w:lvlText w:val="%1.%2.%3.%4.%5.%6."/>
      <w:lvlJc w:val="left"/>
      <w:pPr>
        <w:tabs>
          <w:tab w:val="num" w:pos="3456"/>
        </w:tabs>
        <w:ind w:left="3312" w:hanging="936"/>
      </w:pPr>
    </w:lvl>
    <w:lvl w:ilvl="6">
      <w:start w:val="1"/>
      <w:numFmt w:val="decimal"/>
      <w:lvlText w:val="%1.%2.%3.%4.%5.%6.%7."/>
      <w:lvlJc w:val="left"/>
      <w:pPr>
        <w:tabs>
          <w:tab w:val="num" w:pos="4176"/>
        </w:tabs>
        <w:ind w:left="3816" w:hanging="1080"/>
      </w:pPr>
    </w:lvl>
    <w:lvl w:ilvl="7">
      <w:start w:val="1"/>
      <w:numFmt w:val="decimal"/>
      <w:lvlText w:val="%1.%2.%3.%4.%5.%6.%7.%8."/>
      <w:lvlJc w:val="left"/>
      <w:pPr>
        <w:tabs>
          <w:tab w:val="num" w:pos="4536"/>
        </w:tabs>
        <w:ind w:left="4320" w:hanging="1224"/>
      </w:pPr>
    </w:lvl>
    <w:lvl w:ilvl="8">
      <w:start w:val="1"/>
      <w:numFmt w:val="decimal"/>
      <w:lvlText w:val="%1.%2.%3.%4.%5.%6.%7.%8.%9."/>
      <w:lvlJc w:val="left"/>
      <w:pPr>
        <w:tabs>
          <w:tab w:val="num" w:pos="5256"/>
        </w:tabs>
        <w:ind w:left="4896" w:hanging="1440"/>
      </w:pPr>
    </w:lvl>
  </w:abstractNum>
  <w:abstractNum w:abstractNumId="6" w15:restartNumberingAfterBreak="0">
    <w:nsid w:val="41B156DE"/>
    <w:multiLevelType w:val="multilevel"/>
    <w:tmpl w:val="5B309AE8"/>
    <w:lvl w:ilvl="0">
      <w:start w:val="3"/>
      <w:numFmt w:val="decimal"/>
      <w:lvlText w:val="R%1."/>
      <w:lvlJc w:val="left"/>
      <w:pPr>
        <w:tabs>
          <w:tab w:val="num" w:pos="576"/>
        </w:tabs>
        <w:ind w:left="576"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368"/>
        </w:tabs>
        <w:ind w:left="1368" w:hanging="792"/>
      </w:pPr>
      <w:rPr>
        <w:rFonts w:ascii="Calibri" w:hAnsi="Calibri" w:cs="Times New Roman" w:hint="default"/>
        <w:b/>
        <w:i w:val="0"/>
        <w:sz w:val="24"/>
        <w:szCs w:val="24"/>
      </w:rPr>
    </w:lvl>
    <w:lvl w:ilvl="2">
      <w:start w:val="1"/>
      <w:numFmt w:val="decimal"/>
      <w:lvlText w:val="%1.%2.%3."/>
      <w:lvlJc w:val="left"/>
      <w:pPr>
        <w:tabs>
          <w:tab w:val="num" w:pos="1368"/>
        </w:tabs>
        <w:ind w:left="2232" w:hanging="864"/>
      </w:pPr>
      <w:rPr>
        <w:rFonts w:ascii="Calibri" w:hAnsi="Calibri" w:cs="Tahoma" w:hint="default"/>
        <w:b/>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9EC270F"/>
    <w:multiLevelType w:val="hybridMultilevel"/>
    <w:tmpl w:val="3D04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35F71"/>
    <w:multiLevelType w:val="multilevel"/>
    <w:tmpl w:val="888A84E4"/>
    <w:lvl w:ilvl="0">
      <w:start w:val="5"/>
      <w:numFmt w:val="decimal"/>
      <w:lvlText w:val="M%1."/>
      <w:lvlJc w:val="left"/>
      <w:pPr>
        <w:tabs>
          <w:tab w:val="num" w:pos="576"/>
        </w:tabs>
        <w:ind w:left="576"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368"/>
        </w:tabs>
        <w:ind w:left="1368" w:hanging="792"/>
      </w:pPr>
      <w:rPr>
        <w:rFonts w:ascii="Times New Roman" w:hAnsi="Times New Roman" w:cs="Times New Roman" w:hint="default"/>
        <w:b/>
        <w:i w:val="0"/>
        <w:sz w:val="22"/>
        <w:szCs w:val="22"/>
      </w:rPr>
    </w:lvl>
    <w:lvl w:ilvl="2">
      <w:start w:val="1"/>
      <w:numFmt w:val="decimal"/>
      <w:lvlText w:val="%1.%2.%3."/>
      <w:lvlJc w:val="left"/>
      <w:pPr>
        <w:tabs>
          <w:tab w:val="num" w:pos="1368"/>
        </w:tabs>
        <w:ind w:left="2232" w:hanging="864"/>
      </w:pPr>
      <w:rPr>
        <w:rFonts w:ascii="Times New Roman" w:hAnsi="Times New Roman" w:cs="Times New Roman" w:hint="default"/>
        <w:b/>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4A23C0C"/>
    <w:multiLevelType w:val="multilevel"/>
    <w:tmpl w:val="BBA0A04C"/>
    <w:lvl w:ilvl="0">
      <w:start w:val="3"/>
      <w:numFmt w:val="decimal"/>
      <w:lvlText w:val="R%1."/>
      <w:lvlJc w:val="left"/>
      <w:pPr>
        <w:tabs>
          <w:tab w:val="num" w:pos="576"/>
        </w:tabs>
        <w:ind w:left="576" w:hanging="576"/>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lvlText w:val="%1.%2."/>
      <w:lvlJc w:val="left"/>
      <w:pPr>
        <w:tabs>
          <w:tab w:val="num" w:pos="1368"/>
        </w:tabs>
        <w:ind w:left="1368" w:hanging="792"/>
      </w:pPr>
      <w:rPr>
        <w:rFonts w:ascii="Calibri" w:hAnsi="Calibri" w:cs="Times New Roman" w:hint="default"/>
        <w:b/>
        <w:i w:val="0"/>
        <w:sz w:val="24"/>
        <w:szCs w:val="24"/>
      </w:rPr>
    </w:lvl>
    <w:lvl w:ilvl="2">
      <w:start w:val="1"/>
      <w:numFmt w:val="decimal"/>
      <w:lvlText w:val="%1.%2.%3."/>
      <w:lvlJc w:val="left"/>
      <w:pPr>
        <w:tabs>
          <w:tab w:val="num" w:pos="1368"/>
        </w:tabs>
        <w:ind w:left="2232" w:hanging="864"/>
      </w:pPr>
      <w:rPr>
        <w:rFonts w:ascii="Calibri" w:hAnsi="Calibri" w:cs="Tahoma" w:hint="default"/>
        <w:b/>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7DCA1535"/>
    <w:multiLevelType w:val="multilevel"/>
    <w:tmpl w:val="529A51D0"/>
    <w:lvl w:ilvl="0">
      <w:start w:val="1"/>
      <w:numFmt w:val="decimal"/>
      <w:lvlText w:val="M%1."/>
      <w:lvlJc w:val="left"/>
      <w:pPr>
        <w:tabs>
          <w:tab w:val="num" w:pos="576"/>
        </w:tabs>
        <w:ind w:left="576" w:hanging="576"/>
      </w:pPr>
      <w:rPr>
        <w:b/>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rPr>
    </w:lvl>
    <w:lvl w:ilvl="1">
      <w:start w:val="1"/>
      <w:numFmt w:val="decimal"/>
      <w:lvlText w:val="%1.%2."/>
      <w:lvlJc w:val="left"/>
      <w:pPr>
        <w:tabs>
          <w:tab w:val="num" w:pos="1368"/>
        </w:tabs>
        <w:ind w:left="1368" w:hanging="792"/>
      </w:pPr>
      <w:rPr>
        <w:rFonts w:ascii="Times New Roman" w:hAnsi="Times New Roman" w:cs="Times New Roman" w:hint="default"/>
        <w:b/>
        <w:i w:val="0"/>
        <w:sz w:val="22"/>
        <w:szCs w:val="22"/>
      </w:rPr>
    </w:lvl>
    <w:lvl w:ilvl="2">
      <w:start w:val="1"/>
      <w:numFmt w:val="decimal"/>
      <w:lvlText w:val="%1.%2.%3."/>
      <w:lvlJc w:val="left"/>
      <w:pPr>
        <w:tabs>
          <w:tab w:val="num" w:pos="1368"/>
        </w:tabs>
        <w:ind w:left="2232" w:hanging="864"/>
      </w:pPr>
      <w:rPr>
        <w:rFonts w:ascii="Times New Roman" w:hAnsi="Times New Roman" w:cs="Times New Roman" w:hint="default"/>
        <w:b/>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0"/>
    <w:lvlOverride w:ilvl="0">
      <w:startOverride w:val="1"/>
    </w:lvlOverride>
  </w:num>
  <w:num w:numId="11">
    <w:abstractNumId w:val="9"/>
  </w:num>
  <w:num w:numId="12">
    <w:abstractNumId w:val="0"/>
    <w:lvlOverride w:ilvl="0">
      <w:startOverride w:val="1"/>
    </w:lvlOverride>
  </w:num>
  <w:num w:numId="13">
    <w:abstractNumId w:val="0"/>
    <w:lvlOverride w:ilvl="0">
      <w:startOverride w:val="1"/>
    </w:lvlOverride>
  </w:num>
  <w:num w:numId="14">
    <w:abstractNumId w:val="5"/>
  </w:num>
  <w:num w:numId="15">
    <w:abstractNumId w:val="7"/>
  </w:num>
  <w:num w:numId="1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7231"/>
    <w:rsid w:val="00052F5E"/>
    <w:rsid w:val="0005590C"/>
    <w:rsid w:val="00056282"/>
    <w:rsid w:val="00060F12"/>
    <w:rsid w:val="00061CC7"/>
    <w:rsid w:val="00063301"/>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2F33"/>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57DE"/>
    <w:rsid w:val="001061B6"/>
    <w:rsid w:val="001075BF"/>
    <w:rsid w:val="00107BB5"/>
    <w:rsid w:val="00111900"/>
    <w:rsid w:val="00111E67"/>
    <w:rsid w:val="00113668"/>
    <w:rsid w:val="00113F97"/>
    <w:rsid w:val="00114301"/>
    <w:rsid w:val="0011470E"/>
    <w:rsid w:val="00114F96"/>
    <w:rsid w:val="001150AC"/>
    <w:rsid w:val="00115DBA"/>
    <w:rsid w:val="00116AAD"/>
    <w:rsid w:val="00116E61"/>
    <w:rsid w:val="001209C7"/>
    <w:rsid w:val="00127C1C"/>
    <w:rsid w:val="00135B25"/>
    <w:rsid w:val="0013627F"/>
    <w:rsid w:val="00137112"/>
    <w:rsid w:val="00142616"/>
    <w:rsid w:val="00142A0C"/>
    <w:rsid w:val="00145977"/>
    <w:rsid w:val="001463DA"/>
    <w:rsid w:val="0015166E"/>
    <w:rsid w:val="001566E4"/>
    <w:rsid w:val="00157B1C"/>
    <w:rsid w:val="001600CB"/>
    <w:rsid w:val="00161974"/>
    <w:rsid w:val="00161BCD"/>
    <w:rsid w:val="00162448"/>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0C8"/>
    <w:rsid w:val="001C3ED4"/>
    <w:rsid w:val="001C4056"/>
    <w:rsid w:val="001C51AA"/>
    <w:rsid w:val="001C551D"/>
    <w:rsid w:val="001C6ED7"/>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06F1"/>
    <w:rsid w:val="002420D5"/>
    <w:rsid w:val="0024538A"/>
    <w:rsid w:val="002460D2"/>
    <w:rsid w:val="002462CB"/>
    <w:rsid w:val="00246DD2"/>
    <w:rsid w:val="00247004"/>
    <w:rsid w:val="002515D8"/>
    <w:rsid w:val="00252ABD"/>
    <w:rsid w:val="002613DD"/>
    <w:rsid w:val="002628BA"/>
    <w:rsid w:val="0026524A"/>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B7449"/>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2EA3"/>
    <w:rsid w:val="002F16A7"/>
    <w:rsid w:val="002F3FA2"/>
    <w:rsid w:val="002F6CEE"/>
    <w:rsid w:val="0030012B"/>
    <w:rsid w:val="00304924"/>
    <w:rsid w:val="00304FF0"/>
    <w:rsid w:val="003054C4"/>
    <w:rsid w:val="00305CC5"/>
    <w:rsid w:val="00306738"/>
    <w:rsid w:val="00310CEF"/>
    <w:rsid w:val="003113D1"/>
    <w:rsid w:val="0031156F"/>
    <w:rsid w:val="00311633"/>
    <w:rsid w:val="00323042"/>
    <w:rsid w:val="003230AA"/>
    <w:rsid w:val="00324C2A"/>
    <w:rsid w:val="00330AF1"/>
    <w:rsid w:val="00333561"/>
    <w:rsid w:val="00334436"/>
    <w:rsid w:val="00334A5C"/>
    <w:rsid w:val="003379A2"/>
    <w:rsid w:val="00340802"/>
    <w:rsid w:val="00340F3B"/>
    <w:rsid w:val="0034396E"/>
    <w:rsid w:val="00345FA1"/>
    <w:rsid w:val="00346551"/>
    <w:rsid w:val="00346CA1"/>
    <w:rsid w:val="0035254C"/>
    <w:rsid w:val="00352AC9"/>
    <w:rsid w:val="00353E3C"/>
    <w:rsid w:val="00353EC7"/>
    <w:rsid w:val="00354CBA"/>
    <w:rsid w:val="00357620"/>
    <w:rsid w:val="003612BA"/>
    <w:rsid w:val="003613BA"/>
    <w:rsid w:val="00363C51"/>
    <w:rsid w:val="00364605"/>
    <w:rsid w:val="00364BA3"/>
    <w:rsid w:val="00364E38"/>
    <w:rsid w:val="00365D4D"/>
    <w:rsid w:val="00370777"/>
    <w:rsid w:val="00370F5E"/>
    <w:rsid w:val="0037545A"/>
    <w:rsid w:val="00375760"/>
    <w:rsid w:val="00380334"/>
    <w:rsid w:val="00381769"/>
    <w:rsid w:val="003818D1"/>
    <w:rsid w:val="0038297E"/>
    <w:rsid w:val="00382BCC"/>
    <w:rsid w:val="00382C18"/>
    <w:rsid w:val="003832E7"/>
    <w:rsid w:val="00384CDD"/>
    <w:rsid w:val="00385C89"/>
    <w:rsid w:val="00387C24"/>
    <w:rsid w:val="00390D2D"/>
    <w:rsid w:val="00391448"/>
    <w:rsid w:val="003916DB"/>
    <w:rsid w:val="0039421A"/>
    <w:rsid w:val="0039464A"/>
    <w:rsid w:val="00394AB6"/>
    <w:rsid w:val="00397E23"/>
    <w:rsid w:val="003A134C"/>
    <w:rsid w:val="003A2E40"/>
    <w:rsid w:val="003A35BF"/>
    <w:rsid w:val="003A3B76"/>
    <w:rsid w:val="003A64CA"/>
    <w:rsid w:val="003A705F"/>
    <w:rsid w:val="003B2DE1"/>
    <w:rsid w:val="003B5E7B"/>
    <w:rsid w:val="003B6708"/>
    <w:rsid w:val="003C0AF1"/>
    <w:rsid w:val="003C20AB"/>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37DD"/>
    <w:rsid w:val="00406C2D"/>
    <w:rsid w:val="00407099"/>
    <w:rsid w:val="004112A9"/>
    <w:rsid w:val="00411369"/>
    <w:rsid w:val="004123B0"/>
    <w:rsid w:val="00413564"/>
    <w:rsid w:val="00413E22"/>
    <w:rsid w:val="00415246"/>
    <w:rsid w:val="004158C1"/>
    <w:rsid w:val="004206B7"/>
    <w:rsid w:val="00420DFB"/>
    <w:rsid w:val="00421090"/>
    <w:rsid w:val="0042237A"/>
    <w:rsid w:val="004244ED"/>
    <w:rsid w:val="00424DBA"/>
    <w:rsid w:val="00426C58"/>
    <w:rsid w:val="004303C3"/>
    <w:rsid w:val="004312A2"/>
    <w:rsid w:val="00432056"/>
    <w:rsid w:val="00432445"/>
    <w:rsid w:val="0043375A"/>
    <w:rsid w:val="00437BEF"/>
    <w:rsid w:val="00440BF2"/>
    <w:rsid w:val="004422BC"/>
    <w:rsid w:val="004422C3"/>
    <w:rsid w:val="00442893"/>
    <w:rsid w:val="004436C9"/>
    <w:rsid w:val="00443E7F"/>
    <w:rsid w:val="00444407"/>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97967"/>
    <w:rsid w:val="004A1D06"/>
    <w:rsid w:val="004A2ABA"/>
    <w:rsid w:val="004A308D"/>
    <w:rsid w:val="004A4FFD"/>
    <w:rsid w:val="004A5CF9"/>
    <w:rsid w:val="004A78D6"/>
    <w:rsid w:val="004B0169"/>
    <w:rsid w:val="004B38C1"/>
    <w:rsid w:val="004B49D0"/>
    <w:rsid w:val="004B63D6"/>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062"/>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20D"/>
    <w:rsid w:val="005B6B7F"/>
    <w:rsid w:val="005B77C7"/>
    <w:rsid w:val="005C0BB7"/>
    <w:rsid w:val="005C3556"/>
    <w:rsid w:val="005C359A"/>
    <w:rsid w:val="005C5B55"/>
    <w:rsid w:val="005C664E"/>
    <w:rsid w:val="005D0B81"/>
    <w:rsid w:val="005D0DA7"/>
    <w:rsid w:val="005D4351"/>
    <w:rsid w:val="005D6887"/>
    <w:rsid w:val="005D6B07"/>
    <w:rsid w:val="005D7AED"/>
    <w:rsid w:val="005E228B"/>
    <w:rsid w:val="005E2665"/>
    <w:rsid w:val="005E3D17"/>
    <w:rsid w:val="005E4EA3"/>
    <w:rsid w:val="005F38C9"/>
    <w:rsid w:val="005F4033"/>
    <w:rsid w:val="005F411D"/>
    <w:rsid w:val="005F43DA"/>
    <w:rsid w:val="005F5555"/>
    <w:rsid w:val="005F783F"/>
    <w:rsid w:val="005F7CC9"/>
    <w:rsid w:val="00600A9A"/>
    <w:rsid w:val="00601F88"/>
    <w:rsid w:val="00602021"/>
    <w:rsid w:val="00611D93"/>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4AD6"/>
    <w:rsid w:val="0064547F"/>
    <w:rsid w:val="006477F2"/>
    <w:rsid w:val="00651481"/>
    <w:rsid w:val="00654818"/>
    <w:rsid w:val="00654B57"/>
    <w:rsid w:val="006551DF"/>
    <w:rsid w:val="00660E26"/>
    <w:rsid w:val="00661A57"/>
    <w:rsid w:val="0066403A"/>
    <w:rsid w:val="00664419"/>
    <w:rsid w:val="00665924"/>
    <w:rsid w:val="00672145"/>
    <w:rsid w:val="00672E7A"/>
    <w:rsid w:val="006734AC"/>
    <w:rsid w:val="00677893"/>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1AA0"/>
    <w:rsid w:val="006D3EEA"/>
    <w:rsid w:val="006D6BDF"/>
    <w:rsid w:val="006E2863"/>
    <w:rsid w:val="006E3D69"/>
    <w:rsid w:val="006F054B"/>
    <w:rsid w:val="006F0CB6"/>
    <w:rsid w:val="006F1334"/>
    <w:rsid w:val="006F3938"/>
    <w:rsid w:val="006F5A52"/>
    <w:rsid w:val="006F6D5A"/>
    <w:rsid w:val="00700256"/>
    <w:rsid w:val="0070368D"/>
    <w:rsid w:val="00703C6B"/>
    <w:rsid w:val="00705285"/>
    <w:rsid w:val="00705BB3"/>
    <w:rsid w:val="007062AE"/>
    <w:rsid w:val="00706CF2"/>
    <w:rsid w:val="007072D5"/>
    <w:rsid w:val="00711969"/>
    <w:rsid w:val="007124F6"/>
    <w:rsid w:val="0071254D"/>
    <w:rsid w:val="00713224"/>
    <w:rsid w:val="00714942"/>
    <w:rsid w:val="00714B8E"/>
    <w:rsid w:val="00716670"/>
    <w:rsid w:val="00721842"/>
    <w:rsid w:val="007218AA"/>
    <w:rsid w:val="007244C7"/>
    <w:rsid w:val="007254B0"/>
    <w:rsid w:val="00725A88"/>
    <w:rsid w:val="0072720A"/>
    <w:rsid w:val="00727AC8"/>
    <w:rsid w:val="0073112E"/>
    <w:rsid w:val="00731E2B"/>
    <w:rsid w:val="00731F2C"/>
    <w:rsid w:val="0073245D"/>
    <w:rsid w:val="00741770"/>
    <w:rsid w:val="00741FFF"/>
    <w:rsid w:val="007456A8"/>
    <w:rsid w:val="00747591"/>
    <w:rsid w:val="00752E9F"/>
    <w:rsid w:val="007560B9"/>
    <w:rsid w:val="007563D8"/>
    <w:rsid w:val="0075658E"/>
    <w:rsid w:val="0075724C"/>
    <w:rsid w:val="00760FD3"/>
    <w:rsid w:val="00762707"/>
    <w:rsid w:val="00763025"/>
    <w:rsid w:val="00763804"/>
    <w:rsid w:val="00763816"/>
    <w:rsid w:val="00765971"/>
    <w:rsid w:val="007666F4"/>
    <w:rsid w:val="00766EFB"/>
    <w:rsid w:val="00767D84"/>
    <w:rsid w:val="007717C0"/>
    <w:rsid w:val="00771926"/>
    <w:rsid w:val="00772F74"/>
    <w:rsid w:val="0077482A"/>
    <w:rsid w:val="00776474"/>
    <w:rsid w:val="0077665D"/>
    <w:rsid w:val="007767C1"/>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28E"/>
    <w:rsid w:val="007F66BF"/>
    <w:rsid w:val="007F794F"/>
    <w:rsid w:val="00801C99"/>
    <w:rsid w:val="00802D70"/>
    <w:rsid w:val="00803D25"/>
    <w:rsid w:val="0080748F"/>
    <w:rsid w:val="008117A5"/>
    <w:rsid w:val="00812336"/>
    <w:rsid w:val="00812A54"/>
    <w:rsid w:val="00813503"/>
    <w:rsid w:val="00816182"/>
    <w:rsid w:val="00816AB5"/>
    <w:rsid w:val="008208DB"/>
    <w:rsid w:val="0082291E"/>
    <w:rsid w:val="00825468"/>
    <w:rsid w:val="00825D4B"/>
    <w:rsid w:val="00831345"/>
    <w:rsid w:val="00831668"/>
    <w:rsid w:val="00832575"/>
    <w:rsid w:val="008325C7"/>
    <w:rsid w:val="0083544A"/>
    <w:rsid w:val="00835E74"/>
    <w:rsid w:val="00835E82"/>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3031"/>
    <w:rsid w:val="0086378C"/>
    <w:rsid w:val="00863F53"/>
    <w:rsid w:val="00866825"/>
    <w:rsid w:val="008711BF"/>
    <w:rsid w:val="008716C9"/>
    <w:rsid w:val="0087612A"/>
    <w:rsid w:val="0088549C"/>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25D9"/>
    <w:rsid w:val="008C330D"/>
    <w:rsid w:val="008C595A"/>
    <w:rsid w:val="008C65D1"/>
    <w:rsid w:val="008C7867"/>
    <w:rsid w:val="008D042B"/>
    <w:rsid w:val="008D14DE"/>
    <w:rsid w:val="008D2944"/>
    <w:rsid w:val="008D31F6"/>
    <w:rsid w:val="008D4860"/>
    <w:rsid w:val="008D4C17"/>
    <w:rsid w:val="008E177D"/>
    <w:rsid w:val="008E2539"/>
    <w:rsid w:val="008E2A7F"/>
    <w:rsid w:val="008E321A"/>
    <w:rsid w:val="008E5AE5"/>
    <w:rsid w:val="008E608C"/>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69DF"/>
    <w:rsid w:val="00947870"/>
    <w:rsid w:val="009518B1"/>
    <w:rsid w:val="00952B5D"/>
    <w:rsid w:val="00953AD0"/>
    <w:rsid w:val="00953B08"/>
    <w:rsid w:val="00955457"/>
    <w:rsid w:val="0095786E"/>
    <w:rsid w:val="00960193"/>
    <w:rsid w:val="00963932"/>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502"/>
    <w:rsid w:val="009926E6"/>
    <w:rsid w:val="0099296E"/>
    <w:rsid w:val="00993D5D"/>
    <w:rsid w:val="00994420"/>
    <w:rsid w:val="00995115"/>
    <w:rsid w:val="009A0137"/>
    <w:rsid w:val="009A39CD"/>
    <w:rsid w:val="009A7698"/>
    <w:rsid w:val="009A7E88"/>
    <w:rsid w:val="009B299B"/>
    <w:rsid w:val="009B42B5"/>
    <w:rsid w:val="009C03E5"/>
    <w:rsid w:val="009C3AAE"/>
    <w:rsid w:val="009C4442"/>
    <w:rsid w:val="009C6343"/>
    <w:rsid w:val="009D1C01"/>
    <w:rsid w:val="009D2E9C"/>
    <w:rsid w:val="009D54C0"/>
    <w:rsid w:val="009D61D4"/>
    <w:rsid w:val="009D79B0"/>
    <w:rsid w:val="009E08E2"/>
    <w:rsid w:val="009E11CF"/>
    <w:rsid w:val="009E37EB"/>
    <w:rsid w:val="009E398F"/>
    <w:rsid w:val="009E4B99"/>
    <w:rsid w:val="009E5FE4"/>
    <w:rsid w:val="009F0905"/>
    <w:rsid w:val="009F14D6"/>
    <w:rsid w:val="009F1B9C"/>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B12"/>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A7272"/>
    <w:rsid w:val="00AB1F55"/>
    <w:rsid w:val="00AB271B"/>
    <w:rsid w:val="00AB3C20"/>
    <w:rsid w:val="00AB4786"/>
    <w:rsid w:val="00AB516F"/>
    <w:rsid w:val="00AB5A87"/>
    <w:rsid w:val="00AB7B32"/>
    <w:rsid w:val="00AB7D5B"/>
    <w:rsid w:val="00AC0EC3"/>
    <w:rsid w:val="00AC38BE"/>
    <w:rsid w:val="00AC5876"/>
    <w:rsid w:val="00AC6D06"/>
    <w:rsid w:val="00AD031A"/>
    <w:rsid w:val="00AD0F1F"/>
    <w:rsid w:val="00AD32EC"/>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E92"/>
    <w:rsid w:val="00B25DD1"/>
    <w:rsid w:val="00B2682A"/>
    <w:rsid w:val="00B269C9"/>
    <w:rsid w:val="00B2773E"/>
    <w:rsid w:val="00B30AD3"/>
    <w:rsid w:val="00B30EAB"/>
    <w:rsid w:val="00B31D17"/>
    <w:rsid w:val="00B33F74"/>
    <w:rsid w:val="00B34149"/>
    <w:rsid w:val="00B3496E"/>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63668"/>
    <w:rsid w:val="00B64448"/>
    <w:rsid w:val="00B71AB2"/>
    <w:rsid w:val="00B74D5F"/>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4102"/>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5118"/>
    <w:rsid w:val="00BF5DEB"/>
    <w:rsid w:val="00BF62D7"/>
    <w:rsid w:val="00BF6CB1"/>
    <w:rsid w:val="00BF6F2C"/>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36B"/>
    <w:rsid w:val="00C30D7A"/>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61AF5"/>
    <w:rsid w:val="00C65EA7"/>
    <w:rsid w:val="00C67F84"/>
    <w:rsid w:val="00C70160"/>
    <w:rsid w:val="00C70589"/>
    <w:rsid w:val="00C714F2"/>
    <w:rsid w:val="00C77448"/>
    <w:rsid w:val="00C774E6"/>
    <w:rsid w:val="00C80F10"/>
    <w:rsid w:val="00C823BE"/>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43D"/>
    <w:rsid w:val="00CC2A51"/>
    <w:rsid w:val="00CC2AE6"/>
    <w:rsid w:val="00CC440E"/>
    <w:rsid w:val="00CC5F46"/>
    <w:rsid w:val="00CC7CE8"/>
    <w:rsid w:val="00CC7E3E"/>
    <w:rsid w:val="00CD225D"/>
    <w:rsid w:val="00CD4449"/>
    <w:rsid w:val="00CD766C"/>
    <w:rsid w:val="00CE4B83"/>
    <w:rsid w:val="00CE6B67"/>
    <w:rsid w:val="00CE75DB"/>
    <w:rsid w:val="00CE76B3"/>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5D7C"/>
    <w:rsid w:val="00D26B88"/>
    <w:rsid w:val="00D26BE6"/>
    <w:rsid w:val="00D31315"/>
    <w:rsid w:val="00D318DD"/>
    <w:rsid w:val="00D32FE6"/>
    <w:rsid w:val="00D33FAE"/>
    <w:rsid w:val="00D35720"/>
    <w:rsid w:val="00D43DD8"/>
    <w:rsid w:val="00D466BB"/>
    <w:rsid w:val="00D47F73"/>
    <w:rsid w:val="00D549AD"/>
    <w:rsid w:val="00D54CB4"/>
    <w:rsid w:val="00D5534E"/>
    <w:rsid w:val="00D55D48"/>
    <w:rsid w:val="00D5748B"/>
    <w:rsid w:val="00D57631"/>
    <w:rsid w:val="00D62141"/>
    <w:rsid w:val="00D6740E"/>
    <w:rsid w:val="00D735D7"/>
    <w:rsid w:val="00D739DF"/>
    <w:rsid w:val="00D7415D"/>
    <w:rsid w:val="00D76D53"/>
    <w:rsid w:val="00D76E0E"/>
    <w:rsid w:val="00D77001"/>
    <w:rsid w:val="00D7732A"/>
    <w:rsid w:val="00D81B7A"/>
    <w:rsid w:val="00D82287"/>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739A"/>
    <w:rsid w:val="00DA7E8F"/>
    <w:rsid w:val="00DB0730"/>
    <w:rsid w:val="00DB1337"/>
    <w:rsid w:val="00DB1F76"/>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D6046"/>
    <w:rsid w:val="00DE042E"/>
    <w:rsid w:val="00DE17E7"/>
    <w:rsid w:val="00DE3EDF"/>
    <w:rsid w:val="00DE4CF6"/>
    <w:rsid w:val="00DF1389"/>
    <w:rsid w:val="00DF424C"/>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63"/>
    <w:rsid w:val="00E66BD1"/>
    <w:rsid w:val="00E66F95"/>
    <w:rsid w:val="00E67FE8"/>
    <w:rsid w:val="00E70AA6"/>
    <w:rsid w:val="00E72C47"/>
    <w:rsid w:val="00E731EE"/>
    <w:rsid w:val="00E76995"/>
    <w:rsid w:val="00E769DD"/>
    <w:rsid w:val="00E76BB8"/>
    <w:rsid w:val="00E771B0"/>
    <w:rsid w:val="00E824DF"/>
    <w:rsid w:val="00E83A5C"/>
    <w:rsid w:val="00E92133"/>
    <w:rsid w:val="00E93CB5"/>
    <w:rsid w:val="00E9579B"/>
    <w:rsid w:val="00E957B7"/>
    <w:rsid w:val="00E97917"/>
    <w:rsid w:val="00E97BC4"/>
    <w:rsid w:val="00E97D83"/>
    <w:rsid w:val="00EA0558"/>
    <w:rsid w:val="00EA3627"/>
    <w:rsid w:val="00EA7141"/>
    <w:rsid w:val="00EB0214"/>
    <w:rsid w:val="00EB1A0B"/>
    <w:rsid w:val="00EB5A36"/>
    <w:rsid w:val="00EB746A"/>
    <w:rsid w:val="00EC108C"/>
    <w:rsid w:val="00EC45B0"/>
    <w:rsid w:val="00EC4830"/>
    <w:rsid w:val="00EC4C7D"/>
    <w:rsid w:val="00EC5D8D"/>
    <w:rsid w:val="00EC707F"/>
    <w:rsid w:val="00EC73F1"/>
    <w:rsid w:val="00ED0F50"/>
    <w:rsid w:val="00ED1286"/>
    <w:rsid w:val="00ED63A5"/>
    <w:rsid w:val="00ED6C9C"/>
    <w:rsid w:val="00ED77AD"/>
    <w:rsid w:val="00ED781B"/>
    <w:rsid w:val="00ED7BE5"/>
    <w:rsid w:val="00EE38A2"/>
    <w:rsid w:val="00EE5AE0"/>
    <w:rsid w:val="00EE788E"/>
    <w:rsid w:val="00EF0ADE"/>
    <w:rsid w:val="00EF3DFB"/>
    <w:rsid w:val="00EF41BF"/>
    <w:rsid w:val="00EF57C0"/>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0F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2AFD"/>
    <w:rsid w:val="00F762B6"/>
    <w:rsid w:val="00F824AA"/>
    <w:rsid w:val="00F85553"/>
    <w:rsid w:val="00F86BB8"/>
    <w:rsid w:val="00F90C8A"/>
    <w:rsid w:val="00F92B3A"/>
    <w:rsid w:val="00F944DF"/>
    <w:rsid w:val="00F96378"/>
    <w:rsid w:val="00F966F8"/>
    <w:rsid w:val="00FA09E2"/>
    <w:rsid w:val="00FA29A1"/>
    <w:rsid w:val="00FA4112"/>
    <w:rsid w:val="00FA5454"/>
    <w:rsid w:val="00FA5A58"/>
    <w:rsid w:val="00FA5C2A"/>
    <w:rsid w:val="00FB4078"/>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E1251"/>
    <w:rsid w:val="00FE1D24"/>
    <w:rsid w:val="00FE2D8E"/>
    <w:rsid w:val="00FE3FEB"/>
    <w:rsid w:val="00FE4A7A"/>
    <w:rsid w:val="00FE6819"/>
    <w:rsid w:val="00FE7076"/>
    <w:rsid w:val="00FE7CE4"/>
    <w:rsid w:val="00FF22A1"/>
    <w:rsid w:val="00FF2A4F"/>
    <w:rsid w:val="00FF2AC2"/>
    <w:rsid w:val="00FF2D36"/>
    <w:rsid w:val="00FF4AE1"/>
    <w:rsid w:val="00FF4EA7"/>
    <w:rsid w:val="00FF5C81"/>
    <w:rsid w:val="00FF5FC6"/>
    <w:rsid w:val="00FF6361"/>
    <w:rsid w:val="00FF7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aliases w:val="o"/>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character" w:customStyle="1" w:styleId="RequirementChar">
    <w:name w:val="Requirement Char"/>
    <w:link w:val="Requirement"/>
    <w:locked/>
    <w:rsid w:val="00D25D7C"/>
    <w:rPr>
      <w:rFonts w:ascii="Times New Roman" w:hAnsi="Times New Roman"/>
      <w:color w:val="auto"/>
    </w:rPr>
  </w:style>
  <w:style w:type="paragraph" w:customStyle="1" w:styleId="Requirement">
    <w:name w:val="Requirement"/>
    <w:basedOn w:val="List2"/>
    <w:link w:val="RequirementChar"/>
    <w:rsid w:val="00D25D7C"/>
    <w:pPr>
      <w:numPr>
        <w:numId w:val="1"/>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D25D7C"/>
    <w:pPr>
      <w:ind w:left="720" w:hanging="360"/>
      <w:contextualSpacing/>
    </w:pPr>
  </w:style>
  <w:style w:type="character" w:customStyle="1" w:styleId="FERCparanumberCharCharChar">
    <w:name w:val="FERC paranumber Char Char Char"/>
    <w:basedOn w:val="DefaultParagraphFont"/>
    <w:link w:val="FERCparanumberCharChar"/>
    <w:uiPriority w:val="99"/>
    <w:locked/>
    <w:rsid w:val="00AA7272"/>
    <w:rPr>
      <w:sz w:val="26"/>
    </w:rPr>
  </w:style>
  <w:style w:type="paragraph" w:customStyle="1" w:styleId="FERCparanumberCharChar">
    <w:name w:val="FERC paranumber Char Char"/>
    <w:basedOn w:val="Normal"/>
    <w:link w:val="FERCparanumberCharCharChar"/>
    <w:uiPriority w:val="99"/>
    <w:rsid w:val="00AA7272"/>
    <w:pPr>
      <w:widowControl w:val="0"/>
      <w:numPr>
        <w:numId w:val="16"/>
      </w:numPr>
      <w:autoSpaceDE/>
      <w:autoSpaceDN/>
      <w:adjustRightInd/>
    </w:pPr>
    <w:rPr>
      <w:rFonts w:asciiTheme="minorHAnsi" w:hAnsiTheme="minorHAns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6923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74810244">
      <w:bodyDiv w:val="1"/>
      <w:marLeft w:val="0"/>
      <w:marRight w:val="0"/>
      <w:marTop w:val="0"/>
      <w:marBottom w:val="0"/>
      <w:divBdr>
        <w:top w:val="none" w:sz="0" w:space="0" w:color="auto"/>
        <w:left w:val="none" w:sz="0" w:space="0" w:color="auto"/>
        <w:bottom w:val="none" w:sz="0" w:space="0" w:color="auto"/>
        <w:right w:val="none" w:sz="0" w:space="0" w:color="auto"/>
      </w:divBdr>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253705307">
      <w:bodyDiv w:val="1"/>
      <w:marLeft w:val="0"/>
      <w:marRight w:val="0"/>
      <w:marTop w:val="0"/>
      <w:marBottom w:val="0"/>
      <w:divBdr>
        <w:top w:val="none" w:sz="0" w:space="0" w:color="auto"/>
        <w:left w:val="none" w:sz="0" w:space="0" w:color="auto"/>
        <w:bottom w:val="none" w:sz="0" w:space="0" w:color="auto"/>
        <w:right w:val="none" w:sz="0" w:space="0" w:color="auto"/>
      </w:divBdr>
    </w:div>
    <w:div w:id="268896623">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55037570">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394548163">
      <w:bodyDiv w:val="1"/>
      <w:marLeft w:val="0"/>
      <w:marRight w:val="0"/>
      <w:marTop w:val="0"/>
      <w:marBottom w:val="0"/>
      <w:divBdr>
        <w:top w:val="none" w:sz="0" w:space="0" w:color="auto"/>
        <w:left w:val="none" w:sz="0" w:space="0" w:color="auto"/>
        <w:bottom w:val="none" w:sz="0" w:space="0" w:color="auto"/>
        <w:right w:val="none" w:sz="0" w:space="0" w:color="auto"/>
      </w:divBdr>
    </w:div>
    <w:div w:id="432474975">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3780235">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37117689">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55602660">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45525660">
      <w:bodyDiv w:val="1"/>
      <w:marLeft w:val="0"/>
      <w:marRight w:val="0"/>
      <w:marTop w:val="0"/>
      <w:marBottom w:val="0"/>
      <w:divBdr>
        <w:top w:val="none" w:sz="0" w:space="0" w:color="auto"/>
        <w:left w:val="none" w:sz="0" w:space="0" w:color="auto"/>
        <w:bottom w:val="none" w:sz="0" w:space="0" w:color="auto"/>
        <w:right w:val="none" w:sz="0" w:space="0" w:color="auto"/>
      </w:divBdr>
    </w:div>
    <w:div w:id="1059401200">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57978306">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47784225">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1974096998">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26856473">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10360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nerc.com/FilingsOrders/us/FERCOrdersRules/Order_RS_Interp_91610.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nerc.com/FilingsOrders/us/FERCOrdersRules/Delegated%20Order%20Approving%20Errata%20to%20Voltage%20and%20Reactive%20Control%20Rel%20Stds%20RD17-7.pdf"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Order_713_Modified-INT_and_TLR-Stds-07212008.pdf" TargetMode="External"/><Relationship Id="rId25" Type="http://schemas.openxmlformats.org/officeDocument/2006/relationships/hyperlink" Target="http://www.nerc.com/FilingsOrders/us/FERCOrdersRules/Order_RS_Interp_91610.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ORDER%20693.pdf" TargetMode="External"/><Relationship Id="rId20" Type="http://schemas.openxmlformats.org/officeDocument/2006/relationships/hyperlink" Target="http://www.nerc.com/FilingsOrders/us/FERCOrdersRules/Delegated%20Order%20Approving%20Errata%20to%20Voltage%20and%20Reactive%20Control%20Rel%20Stds%20RD17-7.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nerc.com/FilingsOrders/us/FERCOrdersRules/Order%20Approving%20Reliability%20Standard%20VAR-002-2b.pdf"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www.nerc.com/FilingsOrders/us/FERCOrdersRules/VAR%20Letter%20Order.pdf"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nerc.com/FilingsOrders/us/FERCOrdersRules/Order%20Approving%20Reliability%20Standard%20VAR-002-2b.pdf" TargetMode="External"/><Relationship Id="rId27" Type="http://schemas.openxmlformats.org/officeDocument/2006/relationships/footer" Target="footer1.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www.nerc.com/FilingsOrders/us/FERCOrdersRules/Letter%20Order%20Approving%20DGR%20Reliability%20Standard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VAR-002-4.1</Number>
    <Date xmlns="078344ff-8d50-4bff-90aa-a5f449462ba4">2017-11-29T05:00:00+00:00</Dat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A8F20-D4C9-40F8-90FF-61804480D9C3}"/>
</file>

<file path=customXml/itemProps2.xml><?xml version="1.0" encoding="utf-8"?>
<ds:datastoreItem xmlns:ds="http://schemas.openxmlformats.org/officeDocument/2006/customXml" ds:itemID="{24910B6F-A822-4FCC-A53C-87571EF2F09B}"/>
</file>

<file path=customXml/itemProps3.xml><?xml version="1.0" encoding="utf-8"?>
<ds:datastoreItem xmlns:ds="http://schemas.openxmlformats.org/officeDocument/2006/customXml" ds:itemID="{8FE9C538-CAE3-438A-8149-4198B3022240}"/>
</file>

<file path=customXml/itemProps4.xml><?xml version="1.0" encoding="utf-8"?>
<ds:datastoreItem xmlns:ds="http://schemas.openxmlformats.org/officeDocument/2006/customXml" ds:itemID="{18D832F1-B6F9-4ACA-A18E-57FB0248FECB}"/>
</file>

<file path=customXml/itemProps5.xml><?xml version="1.0" encoding="utf-8"?>
<ds:datastoreItem xmlns:ds="http://schemas.openxmlformats.org/officeDocument/2006/customXml" ds:itemID="{C64F9D11-A64E-4F40-804D-A6F09D6F427F}"/>
</file>

<file path=customXml/itemProps6.xml><?xml version="1.0" encoding="utf-8"?>
<ds:datastoreItem xmlns:ds="http://schemas.openxmlformats.org/officeDocument/2006/customXml" ds:itemID="{06519BFD-D3F4-4ACA-80D3-2964FD70ADC6}"/>
</file>

<file path=docProps/app.xml><?xml version="1.0" encoding="utf-8"?>
<Properties xmlns="http://schemas.openxmlformats.org/officeDocument/2006/extended-properties" xmlns:vt="http://schemas.openxmlformats.org/officeDocument/2006/docPropsVTypes">
  <Template>Normal</Template>
  <TotalTime>0</TotalTime>
  <Pages>20</Pages>
  <Words>4303</Words>
  <Characters>27270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Generator Operation for Maintaining Network Voltage</vt:lpstr>
    </vt:vector>
  </TitlesOfParts>
  <LinksUpToDate>false</LinksUpToDate>
  <CharactersWithSpaces>31510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Generator Operation for Maintaining Network Voltage</dc:title>
  <dc:creator/>
  <cp:lastModifiedBy/>
  <cp:revision>1</cp:revision>
  <dcterms:created xsi:type="dcterms:W3CDTF">2017-11-06T20:33:00Z</dcterms:created>
  <dcterms:modified xsi:type="dcterms:W3CDTF">2017-11-20T19:32:00Z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03168897-b9aa-4bbc-a12c-70616c8c2f1b</vt:lpwstr>
  </property>
  <property fmtid="{D5CDD505-2E9C-101B-9397-08002B2CF9AE}" pid="4" name="Order">
    <vt:r8>38200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