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C7739" w14:textId="77777777" w:rsidR="00770017" w:rsidRPr="00770017" w:rsidRDefault="00770017" w:rsidP="00770017">
      <w:pPr>
        <w:rPr>
          <w:rFonts w:ascii="Tahoma" w:hAnsi="Tahoma"/>
          <w:b/>
          <w:bCs/>
          <w:color w:val="204C81"/>
          <w:sz w:val="44"/>
          <w:szCs w:val="20"/>
        </w:rPr>
      </w:pPr>
      <w:r w:rsidRPr="00770017">
        <w:rPr>
          <w:rFonts w:ascii="Tahoma" w:hAnsi="Tahoma"/>
          <w:b/>
          <w:bCs/>
          <w:color w:val="204C81"/>
          <w:sz w:val="44"/>
          <w:szCs w:val="20"/>
        </w:rPr>
        <w:t>Standard Authorization Request (SAR)</w:t>
      </w:r>
    </w:p>
    <w:p w14:paraId="63C6B9C5" w14:textId="77777777" w:rsidR="00770017" w:rsidRPr="00770017" w:rsidRDefault="00770017" w:rsidP="00770017">
      <w:pPr>
        <w:rPr>
          <w:rFonts w:ascii="Calibri" w:hAnsi="Calibri" w:cs="Calibri"/>
        </w:rPr>
      </w:pPr>
    </w:p>
    <w:p w14:paraId="59D1A257" w14:textId="77777777" w:rsidR="00770017" w:rsidRPr="00770017" w:rsidRDefault="00770017" w:rsidP="00770017">
      <w:pPr>
        <w:rPr>
          <w:rFonts w:ascii="Calibri" w:eastAsia="MS Mincho" w:hAnsi="Calibri" w:cs="Calibri"/>
        </w:rPr>
      </w:pPr>
      <w:r w:rsidRPr="00770017">
        <w:rPr>
          <w:rFonts w:ascii="Calibri" w:hAnsi="Calibri" w:cs="Calibri"/>
          <w:noProof/>
        </w:rPr>
        <mc:AlternateContent>
          <mc:Choice Requires="wps">
            <w:drawing>
              <wp:anchor distT="0" distB="0" distL="114300" distR="114300" simplePos="0" relativeHeight="251659264" behindDoc="0" locked="0" layoutInCell="1" allowOverlap="1" wp14:anchorId="06044F33" wp14:editId="6E5EFE7D">
                <wp:simplePos x="0" y="0"/>
                <wp:positionH relativeFrom="margin">
                  <wp:align>left</wp:align>
                </wp:positionH>
                <wp:positionV relativeFrom="paragraph">
                  <wp:posOffset>5080</wp:posOffset>
                </wp:positionV>
                <wp:extent cx="3124200" cy="1162050"/>
                <wp:effectExtent l="0" t="0" r="57150" b="571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162050"/>
                        </a:xfrm>
                        <a:prstGeom prst="rect">
                          <a:avLst/>
                        </a:prstGeom>
                        <a:gradFill rotWithShape="1">
                          <a:gsLst>
                            <a:gs pos="0">
                              <a:srgbClr val="D3DCE9"/>
                            </a:gs>
                            <a:gs pos="100000">
                              <a:srgbClr val="D3DCE9">
                                <a:gamma/>
                                <a:tint val="0"/>
                                <a:invGamma/>
                              </a:srgbClr>
                            </a:gs>
                          </a:gsLst>
                          <a:lin ang="5400000" scaled="1"/>
                        </a:gradFill>
                        <a:ln w="9525">
                          <a:solidFill>
                            <a:srgbClr val="000000"/>
                          </a:solidFill>
                          <a:miter lim="800000"/>
                          <a:headEnd/>
                          <a:tailEnd/>
                        </a:ln>
                        <a:effectLst>
                          <a:outerShdw dist="35921" dir="2700000" algn="ctr" rotWithShape="0">
                            <a:srgbClr val="808080"/>
                          </a:outerShdw>
                        </a:effectLst>
                      </wps:spPr>
                      <wps:txbx>
                        <w:txbxContent>
                          <w:p w14:paraId="3FA0157A" w14:textId="77777777" w:rsidR="008D71B5" w:rsidRPr="00155ACB" w:rsidRDefault="008D71B5" w:rsidP="00770017">
                            <w:pPr>
                              <w:rPr>
                                <w:rFonts w:ascii="Tahoma" w:hAnsi="Tahoma" w:cs="Tahoma"/>
                                <w:sz w:val="20"/>
                                <w:szCs w:val="20"/>
                              </w:rPr>
                            </w:pPr>
                            <w:r w:rsidRPr="008757A1">
                              <w:rPr>
                                <w:rFonts w:ascii="Tahoma" w:hAnsi="Tahoma" w:cs="Tahoma"/>
                                <w:sz w:val="20"/>
                                <w:szCs w:val="20"/>
                              </w:rPr>
                              <w:t xml:space="preserve">Complete and </w:t>
                            </w:r>
                            <w:r w:rsidRPr="00F73F8B">
                              <w:rPr>
                                <w:rFonts w:ascii="Tahoma" w:hAnsi="Tahoma" w:cs="Tahoma"/>
                                <w:sz w:val="20"/>
                                <w:szCs w:val="20"/>
                              </w:rPr>
                              <w:t>submit this form, with attachment(s) to</w:t>
                            </w:r>
                            <w:r w:rsidRPr="009C548C">
                              <w:rPr>
                                <w:rFonts w:ascii="Tahoma" w:hAnsi="Tahoma" w:cs="Tahoma"/>
                                <w:sz w:val="20"/>
                                <w:szCs w:val="20"/>
                              </w:rPr>
                              <w:t xml:space="preserve"> the </w:t>
                            </w:r>
                            <w:hyperlink r:id="rId11" w:history="1">
                              <w:r w:rsidRPr="009C548C">
                                <w:rPr>
                                  <w:rStyle w:val="Hyperlink"/>
                                  <w:rFonts w:ascii="Tahoma" w:hAnsi="Tahoma" w:cs="Tahoma"/>
                                  <w:sz w:val="20"/>
                                  <w:szCs w:val="20"/>
                                </w:rPr>
                                <w:t>NERC Help Desk</w:t>
                              </w:r>
                            </w:hyperlink>
                            <w:r w:rsidRPr="009C548C">
                              <w:rPr>
                                <w:rFonts w:ascii="Tahoma" w:hAnsi="Tahoma" w:cs="Tahoma"/>
                                <w:sz w:val="20"/>
                                <w:szCs w:val="20"/>
                              </w:rPr>
                              <w:t>.</w:t>
                            </w:r>
                            <w:r w:rsidRPr="008757A1">
                              <w:rPr>
                                <w:rFonts w:ascii="Tahoma" w:hAnsi="Tahoma" w:cs="Tahoma"/>
                                <w:sz w:val="20"/>
                                <w:szCs w:val="20"/>
                              </w:rPr>
                              <w:t xml:space="preserve"> Upon entering the </w:t>
                            </w:r>
                            <w:r w:rsidRPr="00155ACB">
                              <w:rPr>
                                <w:rFonts w:ascii="Tahoma" w:hAnsi="Tahoma" w:cs="Tahoma"/>
                                <w:sz w:val="20"/>
                                <w:szCs w:val="20"/>
                              </w:rPr>
                              <w:t>Captcha, please type in your contact information, and attach the SAR to your ticket. Once submitted, you will receive a confirmation number which you can use to track your request.</w:t>
                            </w:r>
                          </w:p>
                          <w:p w14:paraId="7B64B43F" w14:textId="77777777" w:rsidR="008D71B5" w:rsidRPr="00FD6FD2" w:rsidRDefault="008D71B5" w:rsidP="00770017">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44F33" id="_x0000_t202" coordsize="21600,21600" o:spt="202" path="m,l,21600r21600,l21600,xe">
                <v:stroke joinstyle="miter"/>
                <v:path gradientshapeok="t" o:connecttype="rect"/>
              </v:shapetype>
              <v:shape id="Text Box 5" o:spid="_x0000_s1026" type="#_x0000_t202" style="position:absolute;margin-left:0;margin-top:.4pt;width:246pt;height:9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" fillcolor="#d3dce9">
                <v:fill rotate="t" focus="100%" type="gradient"/>
                <v:shadow on="t"/>
                <v:textbox>
                  <w:txbxContent>
                    <w:p w14:paraId="3FA0157A" w14:textId="77777777" w:rsidR="008D71B5" w:rsidRPr="00155ACB" w:rsidRDefault="008D71B5" w:rsidP="00770017">
                      <w:pPr>
                        <w:rPr>
                          <w:rFonts w:ascii="Tahoma" w:hAnsi="Tahoma" w:cs="Tahoma"/>
                          <w:sz w:val="20"/>
                          <w:szCs w:val="20"/>
                        </w:rPr>
                      </w:pPr>
                      <w:r w:rsidRPr="008757A1">
                        <w:rPr>
                          <w:rFonts w:ascii="Tahoma" w:hAnsi="Tahoma" w:cs="Tahoma"/>
                          <w:sz w:val="20"/>
                          <w:szCs w:val="20"/>
                        </w:rPr>
                        <w:t xml:space="preserve">Complete and </w:t>
                      </w:r>
                      <w:r w:rsidRPr="00F73F8B">
                        <w:rPr>
                          <w:rFonts w:ascii="Tahoma" w:hAnsi="Tahoma" w:cs="Tahoma"/>
                          <w:sz w:val="20"/>
                          <w:szCs w:val="20"/>
                        </w:rPr>
                        <w:t>submit this form, with attachment(s) to</w:t>
                      </w:r>
                      <w:r w:rsidRPr="009C548C">
                        <w:rPr>
                          <w:rFonts w:ascii="Tahoma" w:hAnsi="Tahoma" w:cs="Tahoma"/>
                          <w:sz w:val="20"/>
                          <w:szCs w:val="20"/>
                        </w:rPr>
                        <w:t xml:space="preserve"> the </w:t>
                      </w:r>
                      <w:hyperlink r:id="rId12" w:history="1">
                        <w:r w:rsidRPr="009C548C">
                          <w:rPr>
                            <w:rStyle w:val="Hyperlink"/>
                            <w:rFonts w:ascii="Tahoma" w:hAnsi="Tahoma" w:cs="Tahoma"/>
                            <w:sz w:val="20"/>
                            <w:szCs w:val="20"/>
                          </w:rPr>
                          <w:t>NERC Help Desk</w:t>
                        </w:r>
                      </w:hyperlink>
                      <w:r w:rsidRPr="009C548C">
                        <w:rPr>
                          <w:rFonts w:ascii="Tahoma" w:hAnsi="Tahoma" w:cs="Tahoma"/>
                          <w:sz w:val="20"/>
                          <w:szCs w:val="20"/>
                        </w:rPr>
                        <w:t>.</w:t>
                      </w:r>
                      <w:r w:rsidRPr="008757A1">
                        <w:rPr>
                          <w:rFonts w:ascii="Tahoma" w:hAnsi="Tahoma" w:cs="Tahoma"/>
                          <w:sz w:val="20"/>
                          <w:szCs w:val="20"/>
                        </w:rPr>
                        <w:t xml:space="preserve"> Upon entering the </w:t>
                      </w:r>
                      <w:r w:rsidRPr="00155ACB">
                        <w:rPr>
                          <w:rFonts w:ascii="Tahoma" w:hAnsi="Tahoma" w:cs="Tahoma"/>
                          <w:sz w:val="20"/>
                          <w:szCs w:val="20"/>
                        </w:rPr>
                        <w:t>Captcha, please type in your contact information, and attach the SAR to your ticket. Once submitted, you will receive a confirmation number which you can use to track your request.</w:t>
                      </w:r>
                    </w:p>
                    <w:p w14:paraId="7B64B43F" w14:textId="77777777" w:rsidR="008D71B5" w:rsidRPr="00FD6FD2" w:rsidRDefault="008D71B5" w:rsidP="00770017">
                      <w:pPr>
                        <w:rPr>
                          <w:rFonts w:ascii="Tahoma" w:hAnsi="Tahoma" w:cs="Tahoma"/>
                          <w:sz w:val="20"/>
                          <w:szCs w:val="20"/>
                        </w:rPr>
                      </w:pPr>
                    </w:p>
                  </w:txbxContent>
                </v:textbox>
                <w10:wrap type="square" anchorx="margin"/>
              </v:shape>
            </w:pict>
          </mc:Fallback>
        </mc:AlternateContent>
      </w:r>
      <w:r w:rsidRPr="00770017">
        <w:rPr>
          <w:rFonts w:ascii="Calibri" w:hAnsi="Calibri" w:cs="Calibri"/>
        </w:rPr>
        <w:t xml:space="preserve">The North American Electric Reliability Corporation (NERC) welcomes suggestions to improve the reliability of the bulk power system through improved Reliability Standards. </w:t>
      </w:r>
    </w:p>
    <w:p w14:paraId="5A4DD366" w14:textId="77777777" w:rsidR="00770017" w:rsidRPr="00770017" w:rsidRDefault="00770017" w:rsidP="00770017">
      <w:pPr>
        <w:rPr>
          <w:rFonts w:ascii="Calibri" w:hAnsi="Calibri"/>
        </w:rPr>
      </w:pPr>
    </w:p>
    <w:p w14:paraId="76B3CA31" w14:textId="77777777" w:rsidR="00770017" w:rsidRPr="00770017" w:rsidRDefault="00770017" w:rsidP="00770017">
      <w:pPr>
        <w:rPr>
          <w:rFonts w:ascii="Calibri" w:hAnsi="Calibri"/>
        </w:rPr>
      </w:pPr>
    </w:p>
    <w:tbl>
      <w:tblPr>
        <w:tblW w:w="1039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87"/>
        <w:gridCol w:w="1324"/>
        <w:gridCol w:w="1985"/>
        <w:gridCol w:w="1026"/>
        <w:gridCol w:w="4392"/>
        <w:gridCol w:w="13"/>
      </w:tblGrid>
      <w:tr w:rsidR="00770017" w:rsidRPr="00770017" w14:paraId="1900CA64" w14:textId="77777777" w:rsidTr="007F1DB6">
        <w:trPr>
          <w:tblHeader/>
        </w:trPr>
        <w:tc>
          <w:tcPr>
            <w:tcW w:w="10395" w:type="dxa"/>
            <w:gridSpan w:val="7"/>
            <w:shd w:val="clear" w:color="auto" w:fill="1F497D"/>
          </w:tcPr>
          <w:p w14:paraId="6A60A758" w14:textId="77777777" w:rsidR="00770017" w:rsidRPr="00770017" w:rsidRDefault="00770017" w:rsidP="00770017">
            <w:pPr>
              <w:jc w:val="center"/>
              <w:rPr>
                <w:rFonts w:ascii="Tahoma" w:eastAsia="MS Mincho" w:hAnsi="Tahoma" w:cs="Tahoma"/>
                <w:b/>
                <w:color w:val="FFFFFF"/>
              </w:rPr>
            </w:pPr>
            <w:r w:rsidRPr="00770017">
              <w:rPr>
                <w:rFonts w:ascii="Tahoma" w:eastAsia="MS Mincho" w:hAnsi="Tahoma" w:cs="Tahoma"/>
                <w:b/>
                <w:color w:val="FFFFFF"/>
              </w:rPr>
              <w:t>Requested information</w:t>
            </w:r>
          </w:p>
        </w:tc>
      </w:tr>
      <w:tr w:rsidR="00770017" w:rsidRPr="00770017" w14:paraId="50E9B60A" w14:textId="77777777" w:rsidTr="007F1DB6">
        <w:tc>
          <w:tcPr>
            <w:tcW w:w="2983" w:type="dxa"/>
            <w:gridSpan w:val="3"/>
          </w:tcPr>
          <w:p w14:paraId="4E6115A0" w14:textId="77777777" w:rsidR="00770017" w:rsidRPr="00770017" w:rsidRDefault="00770017" w:rsidP="00770017">
            <w:pPr>
              <w:rPr>
                <w:rFonts w:ascii="Calibri" w:eastAsia="MS Mincho" w:hAnsi="Calibri"/>
              </w:rPr>
            </w:pPr>
            <w:r w:rsidRPr="00770017">
              <w:rPr>
                <w:rFonts w:ascii="Calibri" w:eastAsia="MS Mincho" w:hAnsi="Calibri"/>
              </w:rPr>
              <w:t>SAR Title:</w:t>
            </w:r>
          </w:p>
        </w:tc>
        <w:tc>
          <w:tcPr>
            <w:tcW w:w="7412" w:type="dxa"/>
            <w:gridSpan w:val="4"/>
          </w:tcPr>
          <w:p w14:paraId="7D8776E9" w14:textId="36187A0E" w:rsidR="00770017" w:rsidRPr="00770017" w:rsidRDefault="0029084B" w:rsidP="007B6755">
            <w:pPr>
              <w:rPr>
                <w:rFonts w:ascii="Calibri" w:eastAsia="MS Mincho" w:hAnsi="Calibri"/>
              </w:rPr>
            </w:pPr>
            <w:r>
              <w:rPr>
                <w:rFonts w:ascii="Calibri" w:eastAsia="MS Mincho" w:hAnsi="Calibri"/>
              </w:rPr>
              <w:t>Generator</w:t>
            </w:r>
            <w:r w:rsidR="000F38A5">
              <w:rPr>
                <w:rFonts w:ascii="Calibri" w:eastAsia="MS Mincho" w:hAnsi="Calibri"/>
              </w:rPr>
              <w:t xml:space="preserve"> Ride-Through Standard (PRC-024-3 Replacement)</w:t>
            </w:r>
          </w:p>
        </w:tc>
      </w:tr>
      <w:tr w:rsidR="00770017" w:rsidRPr="00770017" w14:paraId="0AB00CF3" w14:textId="77777777" w:rsidTr="007F1DB6">
        <w:tc>
          <w:tcPr>
            <w:tcW w:w="2983" w:type="dxa"/>
            <w:gridSpan w:val="3"/>
            <w:tcBorders>
              <w:bottom w:val="single" w:sz="4" w:space="0" w:color="auto"/>
            </w:tcBorders>
          </w:tcPr>
          <w:p w14:paraId="30F97EF7" w14:textId="77777777" w:rsidR="00770017" w:rsidRPr="00770017" w:rsidRDefault="00770017" w:rsidP="00770017">
            <w:pPr>
              <w:rPr>
                <w:rFonts w:ascii="Calibri" w:eastAsia="MS Mincho" w:hAnsi="Calibri"/>
              </w:rPr>
            </w:pPr>
            <w:r w:rsidRPr="00770017">
              <w:rPr>
                <w:rFonts w:ascii="Calibri" w:eastAsia="MS Mincho" w:hAnsi="Calibri"/>
              </w:rPr>
              <w:t>Date Submitted:</w:t>
            </w:r>
            <w:r w:rsidRPr="00770017">
              <w:rPr>
                <w:rFonts w:ascii="Calibri" w:eastAsia="MS Mincho" w:hAnsi="Calibri"/>
              </w:rPr>
              <w:tab/>
            </w:r>
          </w:p>
        </w:tc>
        <w:tc>
          <w:tcPr>
            <w:tcW w:w="7412" w:type="dxa"/>
            <w:gridSpan w:val="4"/>
            <w:tcBorders>
              <w:bottom w:val="single" w:sz="4" w:space="0" w:color="auto"/>
            </w:tcBorders>
          </w:tcPr>
          <w:p w14:paraId="6E88A1B2" w14:textId="74E1B15F" w:rsidR="00770017" w:rsidRPr="00770017" w:rsidRDefault="0029084B" w:rsidP="00770017">
            <w:pPr>
              <w:rPr>
                <w:rFonts w:ascii="Calibri" w:eastAsia="MS Mincho" w:hAnsi="Calibri"/>
              </w:rPr>
            </w:pPr>
            <w:r>
              <w:rPr>
                <w:rFonts w:ascii="Calibri" w:eastAsia="MS Mincho" w:hAnsi="Calibri"/>
              </w:rPr>
              <w:t>April 28, 2022</w:t>
            </w:r>
          </w:p>
        </w:tc>
      </w:tr>
      <w:tr w:rsidR="00770017" w:rsidRPr="00770017" w14:paraId="15878842" w14:textId="77777777" w:rsidTr="007F1DB6">
        <w:tc>
          <w:tcPr>
            <w:tcW w:w="10395" w:type="dxa"/>
            <w:gridSpan w:val="7"/>
            <w:shd w:val="clear" w:color="auto" w:fill="C6D9F1"/>
          </w:tcPr>
          <w:p w14:paraId="1EED6D51" w14:textId="77777777" w:rsidR="00770017" w:rsidRPr="00770017" w:rsidRDefault="00770017" w:rsidP="00770017">
            <w:pPr>
              <w:keepNext/>
              <w:rPr>
                <w:rFonts w:ascii="Calibri" w:eastAsia="MS Mincho" w:hAnsi="Calibri"/>
              </w:rPr>
            </w:pPr>
            <w:r w:rsidRPr="00770017">
              <w:rPr>
                <w:rFonts w:ascii="Calibri" w:hAnsi="Calibri" w:cs="Tahoma"/>
              </w:rPr>
              <w:t xml:space="preserve">SAR Requester </w:t>
            </w:r>
          </w:p>
        </w:tc>
      </w:tr>
      <w:tr w:rsidR="00770017" w:rsidRPr="00770017" w14:paraId="5085B503" w14:textId="77777777" w:rsidTr="007F1DB6">
        <w:tc>
          <w:tcPr>
            <w:tcW w:w="1657" w:type="dxa"/>
            <w:gridSpan w:val="2"/>
            <w:vAlign w:val="center"/>
          </w:tcPr>
          <w:p w14:paraId="0B82F890" w14:textId="77777777" w:rsidR="00770017" w:rsidRPr="00770017" w:rsidRDefault="00770017" w:rsidP="00770017">
            <w:pPr>
              <w:rPr>
                <w:rFonts w:ascii="Calibri" w:eastAsia="MS Mincho" w:hAnsi="Calibri"/>
              </w:rPr>
            </w:pPr>
            <w:r w:rsidRPr="00770017">
              <w:rPr>
                <w:rFonts w:ascii="Calibri" w:eastAsia="MS Mincho" w:hAnsi="Calibri"/>
              </w:rPr>
              <w:t>Name:</w:t>
            </w:r>
          </w:p>
        </w:tc>
        <w:tc>
          <w:tcPr>
            <w:tcW w:w="8738" w:type="dxa"/>
            <w:gridSpan w:val="5"/>
            <w:vAlign w:val="center"/>
          </w:tcPr>
          <w:p w14:paraId="3D7392DB" w14:textId="574C598D" w:rsidR="000F38A5" w:rsidRDefault="000F38A5" w:rsidP="00770017">
            <w:pPr>
              <w:rPr>
                <w:rFonts w:ascii="Calibri" w:eastAsia="MS Mincho" w:hAnsi="Calibri"/>
              </w:rPr>
            </w:pPr>
            <w:r>
              <w:rPr>
                <w:rFonts w:ascii="Calibri" w:eastAsia="MS Mincho" w:hAnsi="Calibri"/>
              </w:rPr>
              <w:t>Mark Lauby, Senior V</w:t>
            </w:r>
            <w:r w:rsidR="0029084B">
              <w:rPr>
                <w:rFonts w:ascii="Calibri" w:eastAsia="MS Mincho" w:hAnsi="Calibri"/>
              </w:rPr>
              <w:t xml:space="preserve">ice </w:t>
            </w:r>
            <w:r>
              <w:rPr>
                <w:rFonts w:ascii="Calibri" w:eastAsia="MS Mincho" w:hAnsi="Calibri"/>
              </w:rPr>
              <w:t>P</w:t>
            </w:r>
            <w:r w:rsidR="0029084B">
              <w:rPr>
                <w:rFonts w:ascii="Calibri" w:eastAsia="MS Mincho" w:hAnsi="Calibri"/>
              </w:rPr>
              <w:t>resident and Chief Engineer</w:t>
            </w:r>
            <w:r>
              <w:rPr>
                <w:rFonts w:ascii="Calibri" w:eastAsia="MS Mincho" w:hAnsi="Calibri"/>
              </w:rPr>
              <w:t>, NERC</w:t>
            </w:r>
          </w:p>
          <w:p w14:paraId="6720A711" w14:textId="66490654" w:rsidR="000F38A5" w:rsidRDefault="000F38A5" w:rsidP="00770017">
            <w:pPr>
              <w:rPr>
                <w:rFonts w:ascii="Calibri" w:eastAsia="MS Mincho" w:hAnsi="Calibri"/>
              </w:rPr>
            </w:pPr>
            <w:r>
              <w:rPr>
                <w:rFonts w:ascii="Calibri" w:eastAsia="MS Mincho" w:hAnsi="Calibri"/>
              </w:rPr>
              <w:t xml:space="preserve">Howard Gugel, </w:t>
            </w:r>
            <w:r w:rsidR="0029084B">
              <w:rPr>
                <w:rFonts w:ascii="Calibri" w:eastAsia="MS Mincho" w:hAnsi="Calibri"/>
              </w:rPr>
              <w:t>Vice President</w:t>
            </w:r>
            <w:r>
              <w:rPr>
                <w:rFonts w:ascii="Calibri" w:eastAsia="MS Mincho" w:hAnsi="Calibri"/>
              </w:rPr>
              <w:t>, NERC</w:t>
            </w:r>
          </w:p>
          <w:p w14:paraId="03B10F1F" w14:textId="21483F9B" w:rsidR="000F38A5" w:rsidRDefault="000F38A5" w:rsidP="00770017">
            <w:pPr>
              <w:rPr>
                <w:rFonts w:ascii="Calibri" w:eastAsia="MS Mincho" w:hAnsi="Calibri"/>
              </w:rPr>
            </w:pPr>
            <w:r>
              <w:rPr>
                <w:rFonts w:ascii="Calibri" w:eastAsia="MS Mincho" w:hAnsi="Calibri"/>
              </w:rPr>
              <w:t>John Moura, Director, NERC</w:t>
            </w:r>
          </w:p>
          <w:p w14:paraId="5DF5EDB7" w14:textId="5A6FCA39" w:rsidR="000F38A5" w:rsidRDefault="000F38A5" w:rsidP="00770017">
            <w:pPr>
              <w:rPr>
                <w:rFonts w:ascii="Calibri" w:eastAsia="MS Mincho" w:hAnsi="Calibri"/>
              </w:rPr>
            </w:pPr>
            <w:r>
              <w:rPr>
                <w:rFonts w:ascii="Calibri" w:eastAsia="MS Mincho" w:hAnsi="Calibri"/>
              </w:rPr>
              <w:t>Ryan Quint, Senior Manager, NERC</w:t>
            </w:r>
          </w:p>
          <w:p w14:paraId="39069967" w14:textId="13360F4F" w:rsidR="000F38A5" w:rsidRDefault="000F38A5" w:rsidP="00770017">
            <w:pPr>
              <w:rPr>
                <w:rFonts w:ascii="Calibri" w:eastAsia="MS Mincho" w:hAnsi="Calibri"/>
              </w:rPr>
            </w:pPr>
            <w:r>
              <w:rPr>
                <w:rFonts w:ascii="Calibri" w:eastAsia="MS Mincho" w:hAnsi="Calibri"/>
              </w:rPr>
              <w:t>Rich Bauer, Principal, NERC</w:t>
            </w:r>
          </w:p>
          <w:p w14:paraId="3A8662B6" w14:textId="6746873C" w:rsidR="00C36FB1" w:rsidRPr="00770017" w:rsidRDefault="000F38A5" w:rsidP="00306EDF">
            <w:pPr>
              <w:rPr>
                <w:rFonts w:ascii="Calibri" w:eastAsia="MS Mincho" w:hAnsi="Calibri"/>
              </w:rPr>
            </w:pPr>
            <w:r>
              <w:rPr>
                <w:rFonts w:ascii="Calibri" w:eastAsia="MS Mincho" w:hAnsi="Calibri"/>
              </w:rPr>
              <w:t>Matt Lewis, Manager, NERC</w:t>
            </w:r>
          </w:p>
        </w:tc>
      </w:tr>
      <w:tr w:rsidR="00770017" w:rsidRPr="00770017" w14:paraId="49539801" w14:textId="77777777" w:rsidTr="007F1DB6">
        <w:tc>
          <w:tcPr>
            <w:tcW w:w="1657" w:type="dxa"/>
            <w:gridSpan w:val="2"/>
            <w:vAlign w:val="center"/>
          </w:tcPr>
          <w:p w14:paraId="347E0636" w14:textId="77777777" w:rsidR="00770017" w:rsidRPr="00770017" w:rsidRDefault="00770017" w:rsidP="00770017">
            <w:pPr>
              <w:rPr>
                <w:rFonts w:ascii="Calibri" w:eastAsia="MS Mincho" w:hAnsi="Calibri"/>
              </w:rPr>
            </w:pPr>
            <w:r w:rsidRPr="00770017">
              <w:rPr>
                <w:rFonts w:ascii="Calibri" w:eastAsia="MS Mincho" w:hAnsi="Calibri"/>
              </w:rPr>
              <w:t>Organization:</w:t>
            </w:r>
          </w:p>
        </w:tc>
        <w:tc>
          <w:tcPr>
            <w:tcW w:w="8738" w:type="dxa"/>
            <w:gridSpan w:val="5"/>
            <w:vAlign w:val="center"/>
          </w:tcPr>
          <w:p w14:paraId="61C12274" w14:textId="23636B4E" w:rsidR="00770017" w:rsidRPr="00770017" w:rsidRDefault="000F38A5" w:rsidP="00FA64B0">
            <w:pPr>
              <w:rPr>
                <w:rFonts w:ascii="Calibri" w:eastAsia="MS Mincho" w:hAnsi="Calibri"/>
              </w:rPr>
            </w:pPr>
            <w:r>
              <w:rPr>
                <w:rFonts w:ascii="Calibri" w:eastAsia="MS Mincho" w:hAnsi="Calibri"/>
              </w:rPr>
              <w:t>North American Electric Reliability Corporation</w:t>
            </w:r>
          </w:p>
        </w:tc>
      </w:tr>
      <w:tr w:rsidR="00770017" w:rsidRPr="00770017" w14:paraId="704530D9" w14:textId="77777777" w:rsidTr="007F1DB6">
        <w:tc>
          <w:tcPr>
            <w:tcW w:w="1657" w:type="dxa"/>
            <w:gridSpan w:val="2"/>
            <w:tcBorders>
              <w:bottom w:val="single" w:sz="4" w:space="0" w:color="auto"/>
            </w:tcBorders>
            <w:vAlign w:val="center"/>
          </w:tcPr>
          <w:p w14:paraId="26FB2C5E" w14:textId="77777777" w:rsidR="00770017" w:rsidRPr="00770017" w:rsidRDefault="00770017" w:rsidP="00770017">
            <w:pPr>
              <w:rPr>
                <w:rFonts w:ascii="Calibri" w:eastAsia="MS Mincho" w:hAnsi="Calibri"/>
              </w:rPr>
            </w:pPr>
            <w:r w:rsidRPr="00770017">
              <w:rPr>
                <w:rFonts w:ascii="Calibri" w:eastAsia="MS Mincho" w:hAnsi="Calibri"/>
              </w:rPr>
              <w:t>Telephone:</w:t>
            </w:r>
          </w:p>
        </w:tc>
        <w:tc>
          <w:tcPr>
            <w:tcW w:w="3315" w:type="dxa"/>
            <w:gridSpan w:val="2"/>
            <w:tcBorders>
              <w:bottom w:val="single" w:sz="4" w:space="0" w:color="auto"/>
            </w:tcBorders>
            <w:vAlign w:val="center"/>
          </w:tcPr>
          <w:p w14:paraId="0CE1C900" w14:textId="7E5C863C" w:rsidR="00C36FB1" w:rsidRPr="00770017" w:rsidRDefault="000F38A5" w:rsidP="00FA64B0">
            <w:pPr>
              <w:rPr>
                <w:rFonts w:ascii="Calibri" w:eastAsia="MS Mincho" w:hAnsi="Calibri"/>
              </w:rPr>
            </w:pPr>
            <w:r>
              <w:rPr>
                <w:rFonts w:ascii="Calibri" w:eastAsia="MS Mincho" w:hAnsi="Calibri"/>
              </w:rPr>
              <w:t xml:space="preserve">Mark Lauby – </w:t>
            </w:r>
            <w:r w:rsidRPr="000F38A5">
              <w:rPr>
                <w:rFonts w:ascii="Calibri" w:eastAsia="MS Mincho" w:hAnsi="Calibri"/>
              </w:rPr>
              <w:t>404-446-9723</w:t>
            </w:r>
          </w:p>
        </w:tc>
        <w:tc>
          <w:tcPr>
            <w:tcW w:w="1028" w:type="dxa"/>
            <w:tcBorders>
              <w:bottom w:val="single" w:sz="4" w:space="0" w:color="auto"/>
            </w:tcBorders>
            <w:vAlign w:val="center"/>
          </w:tcPr>
          <w:p w14:paraId="4CE8B6FA" w14:textId="77777777" w:rsidR="00770017" w:rsidRPr="00770017" w:rsidRDefault="00770017" w:rsidP="00770017">
            <w:pPr>
              <w:rPr>
                <w:rFonts w:ascii="Calibri" w:eastAsia="MS Mincho" w:hAnsi="Calibri"/>
              </w:rPr>
            </w:pPr>
            <w:r w:rsidRPr="00770017">
              <w:rPr>
                <w:rFonts w:ascii="Calibri" w:eastAsia="MS Mincho" w:hAnsi="Calibri"/>
              </w:rPr>
              <w:t>Email:</w:t>
            </w:r>
          </w:p>
        </w:tc>
        <w:tc>
          <w:tcPr>
            <w:tcW w:w="4395" w:type="dxa"/>
            <w:gridSpan w:val="2"/>
            <w:tcBorders>
              <w:bottom w:val="single" w:sz="4" w:space="0" w:color="auto"/>
            </w:tcBorders>
            <w:vAlign w:val="center"/>
          </w:tcPr>
          <w:p w14:paraId="16C07495" w14:textId="53D65F5D" w:rsidR="000F38A5" w:rsidRPr="00FA64B0" w:rsidRDefault="0029084B" w:rsidP="000F38A5">
            <w:hyperlink r:id="rId13" w:history="1">
              <w:r w:rsidR="000F38A5" w:rsidRPr="00AD5666">
                <w:rPr>
                  <w:rStyle w:val="Hyperlink"/>
                </w:rPr>
                <w:t>mark.lauby@nerc.net</w:t>
              </w:r>
            </w:hyperlink>
          </w:p>
        </w:tc>
      </w:tr>
      <w:tr w:rsidR="00770017" w:rsidRPr="00770017" w14:paraId="443B2CEB" w14:textId="77777777" w:rsidTr="007F1DB6">
        <w:tc>
          <w:tcPr>
            <w:tcW w:w="10395" w:type="dxa"/>
            <w:gridSpan w:val="7"/>
            <w:shd w:val="clear" w:color="auto" w:fill="C6D9F1"/>
            <w:vAlign w:val="center"/>
          </w:tcPr>
          <w:p w14:paraId="296FE1EE" w14:textId="77777777" w:rsidR="00770017" w:rsidRPr="00770017" w:rsidRDefault="00770017" w:rsidP="00770017">
            <w:pPr>
              <w:keepNext/>
              <w:rPr>
                <w:rFonts w:ascii="Calibri" w:eastAsia="MS Mincho" w:hAnsi="Calibri" w:cs="Tahoma"/>
              </w:rPr>
            </w:pPr>
            <w:r w:rsidRPr="00770017">
              <w:rPr>
                <w:rFonts w:ascii="Calibri" w:hAnsi="Calibri" w:cs="Tahoma"/>
              </w:rPr>
              <w:t>SAR Type (Check as many as apply)</w:t>
            </w:r>
          </w:p>
        </w:tc>
      </w:tr>
      <w:tr w:rsidR="00770017" w:rsidRPr="00770017" w14:paraId="7A78A4D6" w14:textId="77777777" w:rsidTr="007F1DB6">
        <w:tc>
          <w:tcPr>
            <w:tcW w:w="4972" w:type="dxa"/>
            <w:gridSpan w:val="4"/>
            <w:vAlign w:val="center"/>
          </w:tcPr>
          <w:p w14:paraId="2D371BD3" w14:textId="0CF8BF4A" w:rsidR="00770017" w:rsidRPr="00770017" w:rsidRDefault="000F38A5" w:rsidP="00770017">
            <w:pPr>
              <w:rPr>
                <w:rFonts w:ascii="Calibri" w:eastAsia="MS Mincho" w:hAnsi="Calibri"/>
              </w:rPr>
            </w:pPr>
            <w:r>
              <w:rPr>
                <w:rFonts w:ascii="Calibri" w:eastAsia="MS Mincho" w:hAnsi="Calibri"/>
              </w:rPr>
              <w:fldChar w:fldCharType="begin">
                <w:ffData>
                  <w:name w:val=""/>
                  <w:enabled/>
                  <w:calcOnExit w:val="0"/>
                  <w:checkBox>
                    <w:sizeAuto/>
                    <w:default w:val="1"/>
                  </w:checkBox>
                </w:ffData>
              </w:fldChar>
            </w:r>
            <w:r>
              <w:rPr>
                <w:rFonts w:ascii="Calibri" w:eastAsia="MS Mincho" w:hAnsi="Calibri"/>
              </w:rPr>
              <w:instrText xml:space="preserve"> FORMCHECKBOX </w:instrText>
            </w:r>
            <w:r w:rsidR="0029084B">
              <w:rPr>
                <w:rFonts w:ascii="Calibri" w:eastAsia="MS Mincho" w:hAnsi="Calibri"/>
              </w:rPr>
            </w:r>
            <w:r w:rsidR="0029084B">
              <w:rPr>
                <w:rFonts w:ascii="Calibri" w:eastAsia="MS Mincho" w:hAnsi="Calibri"/>
              </w:rPr>
              <w:fldChar w:fldCharType="separate"/>
            </w:r>
            <w:r>
              <w:rPr>
                <w:rFonts w:ascii="Calibri" w:eastAsia="MS Mincho" w:hAnsi="Calibri"/>
              </w:rPr>
              <w:fldChar w:fldCharType="end"/>
            </w:r>
            <w:r w:rsidR="00770017" w:rsidRPr="00770017">
              <w:rPr>
                <w:rFonts w:ascii="Calibri" w:eastAsia="MS Mincho" w:hAnsi="Calibri"/>
              </w:rPr>
              <w:t xml:space="preserve">     New Standard</w:t>
            </w:r>
          </w:p>
          <w:p w14:paraId="36332912" w14:textId="575F787B" w:rsidR="00770017" w:rsidRPr="00770017" w:rsidRDefault="000F38A5" w:rsidP="00770017">
            <w:pPr>
              <w:rPr>
                <w:rFonts w:ascii="Calibri" w:eastAsia="MS Mincho" w:hAnsi="Calibri"/>
              </w:rPr>
            </w:pPr>
            <w:r>
              <w:rPr>
                <w:rFonts w:ascii="Calibri" w:eastAsia="MS Mincho" w:hAnsi="Calibri"/>
              </w:rPr>
              <w:fldChar w:fldCharType="begin">
                <w:ffData>
                  <w:name w:val=""/>
                  <w:enabled/>
                  <w:calcOnExit w:val="0"/>
                  <w:checkBox>
                    <w:sizeAuto/>
                    <w:default w:val="0"/>
                  </w:checkBox>
                </w:ffData>
              </w:fldChar>
            </w:r>
            <w:r>
              <w:rPr>
                <w:rFonts w:ascii="Calibri" w:eastAsia="MS Mincho" w:hAnsi="Calibri"/>
              </w:rPr>
              <w:instrText xml:space="preserve"> FORMCHECKBOX </w:instrText>
            </w:r>
            <w:r w:rsidR="0029084B">
              <w:rPr>
                <w:rFonts w:ascii="Calibri" w:eastAsia="MS Mincho" w:hAnsi="Calibri"/>
              </w:rPr>
            </w:r>
            <w:r w:rsidR="0029084B">
              <w:rPr>
                <w:rFonts w:ascii="Calibri" w:eastAsia="MS Mincho" w:hAnsi="Calibri"/>
              </w:rPr>
              <w:fldChar w:fldCharType="separate"/>
            </w:r>
            <w:r>
              <w:rPr>
                <w:rFonts w:ascii="Calibri" w:eastAsia="MS Mincho" w:hAnsi="Calibri"/>
              </w:rPr>
              <w:fldChar w:fldCharType="end"/>
            </w:r>
            <w:r w:rsidR="00770017" w:rsidRPr="00770017">
              <w:rPr>
                <w:rFonts w:ascii="Calibri" w:eastAsia="MS Mincho" w:hAnsi="Calibri"/>
              </w:rPr>
              <w:t xml:space="preserve">     Revision to Existing Standard</w:t>
            </w:r>
          </w:p>
          <w:p w14:paraId="63BB72F3" w14:textId="5E822F4A" w:rsidR="00770017" w:rsidRDefault="000F1460" w:rsidP="00770017">
            <w:pPr>
              <w:rPr>
                <w:rFonts w:ascii="Calibri" w:eastAsia="MS Mincho" w:hAnsi="Calibri"/>
              </w:rPr>
            </w:pPr>
            <w:r>
              <w:rPr>
                <w:rFonts w:ascii="Calibri" w:eastAsia="MS Mincho" w:hAnsi="Calibri"/>
              </w:rPr>
              <w:fldChar w:fldCharType="begin">
                <w:ffData>
                  <w:name w:val=""/>
                  <w:enabled/>
                  <w:calcOnExit w:val="0"/>
                  <w:checkBox>
                    <w:sizeAuto/>
                    <w:default w:val="1"/>
                  </w:checkBox>
                </w:ffData>
              </w:fldChar>
            </w:r>
            <w:r>
              <w:rPr>
                <w:rFonts w:ascii="Calibri" w:eastAsia="MS Mincho" w:hAnsi="Calibri"/>
              </w:rPr>
              <w:instrText xml:space="preserve"> FORMCHECKBOX </w:instrText>
            </w:r>
            <w:r w:rsidR="0029084B">
              <w:rPr>
                <w:rFonts w:ascii="Calibri" w:eastAsia="MS Mincho" w:hAnsi="Calibri"/>
              </w:rPr>
            </w:r>
            <w:r w:rsidR="0029084B">
              <w:rPr>
                <w:rFonts w:ascii="Calibri" w:eastAsia="MS Mincho" w:hAnsi="Calibri"/>
              </w:rPr>
              <w:fldChar w:fldCharType="separate"/>
            </w:r>
            <w:r>
              <w:rPr>
                <w:rFonts w:ascii="Calibri" w:eastAsia="MS Mincho" w:hAnsi="Calibri"/>
              </w:rPr>
              <w:fldChar w:fldCharType="end"/>
            </w:r>
            <w:r w:rsidR="00770017" w:rsidRPr="00770017">
              <w:rPr>
                <w:rFonts w:ascii="Calibri" w:eastAsia="MS Mincho" w:hAnsi="Calibri"/>
              </w:rPr>
              <w:t xml:space="preserve">     Add, Modify or Retire a Glossary Term</w:t>
            </w:r>
          </w:p>
          <w:p w14:paraId="435D116F" w14:textId="76F21E91" w:rsidR="000F1460" w:rsidRPr="000F1460" w:rsidRDefault="000F1460" w:rsidP="00770017">
            <w:pPr>
              <w:rPr>
                <w:rFonts w:ascii="Calibri" w:eastAsia="MS Mincho" w:hAnsi="Calibri"/>
                <w:i/>
              </w:rPr>
            </w:pPr>
            <w:r>
              <w:rPr>
                <w:rFonts w:ascii="Calibri" w:eastAsia="MS Mincho" w:hAnsi="Calibri"/>
              </w:rPr>
              <w:t xml:space="preserve">                                                          </w:t>
            </w:r>
            <w:r w:rsidRPr="000F1460">
              <w:rPr>
                <w:rFonts w:ascii="Calibri" w:eastAsia="MS Mincho" w:hAnsi="Calibri"/>
                <w:i/>
              </w:rPr>
              <w:t>(as needed)</w:t>
            </w:r>
          </w:p>
          <w:p w14:paraId="2935C532" w14:textId="4B6A0957" w:rsidR="00770017" w:rsidRPr="00770017" w:rsidRDefault="000F38A5" w:rsidP="00770017">
            <w:pPr>
              <w:rPr>
                <w:rFonts w:ascii="Calibri" w:eastAsia="MS Mincho" w:hAnsi="Calibri"/>
              </w:rPr>
            </w:pPr>
            <w:r>
              <w:rPr>
                <w:rFonts w:ascii="Calibri" w:eastAsia="MS Mincho" w:hAnsi="Calibri"/>
              </w:rPr>
              <w:fldChar w:fldCharType="begin">
                <w:ffData>
                  <w:name w:val="Check4"/>
                  <w:enabled/>
                  <w:calcOnExit w:val="0"/>
                  <w:checkBox>
                    <w:sizeAuto/>
                    <w:default w:val="1"/>
                  </w:checkBox>
                </w:ffData>
              </w:fldChar>
            </w:r>
            <w:bookmarkStart w:id="0" w:name="Check4"/>
            <w:r>
              <w:rPr>
                <w:rFonts w:ascii="Calibri" w:eastAsia="MS Mincho" w:hAnsi="Calibri"/>
              </w:rPr>
              <w:instrText xml:space="preserve"> FORMCHECKBOX </w:instrText>
            </w:r>
            <w:r w:rsidR="0029084B">
              <w:rPr>
                <w:rFonts w:ascii="Calibri" w:eastAsia="MS Mincho" w:hAnsi="Calibri"/>
              </w:rPr>
            </w:r>
            <w:r w:rsidR="0029084B">
              <w:rPr>
                <w:rFonts w:ascii="Calibri" w:eastAsia="MS Mincho" w:hAnsi="Calibri"/>
              </w:rPr>
              <w:fldChar w:fldCharType="separate"/>
            </w:r>
            <w:r>
              <w:rPr>
                <w:rFonts w:ascii="Calibri" w:eastAsia="MS Mincho" w:hAnsi="Calibri"/>
              </w:rPr>
              <w:fldChar w:fldCharType="end"/>
            </w:r>
            <w:bookmarkEnd w:id="0"/>
            <w:r w:rsidR="00770017" w:rsidRPr="00770017">
              <w:rPr>
                <w:rFonts w:ascii="Calibri" w:eastAsia="MS Mincho" w:hAnsi="Calibri"/>
              </w:rPr>
              <w:t xml:space="preserve">     Withdraw/retire an Existing Standard</w:t>
            </w:r>
          </w:p>
        </w:tc>
        <w:tc>
          <w:tcPr>
            <w:tcW w:w="5423" w:type="dxa"/>
            <w:gridSpan w:val="3"/>
            <w:vAlign w:val="center"/>
          </w:tcPr>
          <w:p w14:paraId="0EDADEBE" w14:textId="77777777" w:rsidR="00770017" w:rsidRPr="00770017" w:rsidRDefault="00770017" w:rsidP="00770017">
            <w:pPr>
              <w:ind w:left="720" w:hanging="720"/>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0029084B">
              <w:rPr>
                <w:rFonts w:ascii="Calibri" w:eastAsia="MS Mincho" w:hAnsi="Calibri"/>
              </w:rPr>
            </w:r>
            <w:r w:rsidR="0029084B">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Imminent Action/ Confidential Issue (SPM Section 10)</w:t>
            </w:r>
          </w:p>
          <w:p w14:paraId="7D9FCEC0"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0029084B">
              <w:rPr>
                <w:rFonts w:ascii="Calibri" w:eastAsia="MS Mincho" w:hAnsi="Calibri"/>
              </w:rPr>
            </w:r>
            <w:r w:rsidR="0029084B">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Variance development or revision</w:t>
            </w:r>
          </w:p>
          <w:p w14:paraId="76CB90A3"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0029084B">
              <w:rPr>
                <w:rFonts w:ascii="Calibri" w:eastAsia="MS Mincho" w:hAnsi="Calibri"/>
              </w:rPr>
            </w:r>
            <w:r w:rsidR="0029084B">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Other (Please specify)</w:t>
            </w:r>
          </w:p>
        </w:tc>
      </w:tr>
      <w:tr w:rsidR="00770017" w:rsidRPr="00770017" w14:paraId="421978B2" w14:textId="77777777" w:rsidTr="007F1DB6">
        <w:tc>
          <w:tcPr>
            <w:tcW w:w="10395" w:type="dxa"/>
            <w:gridSpan w:val="7"/>
            <w:shd w:val="clear" w:color="auto" w:fill="C6D9F1"/>
            <w:vAlign w:val="center"/>
          </w:tcPr>
          <w:p w14:paraId="0158AE0A" w14:textId="77777777" w:rsidR="00770017" w:rsidRPr="00770017" w:rsidRDefault="00770017" w:rsidP="00770017">
            <w:pPr>
              <w:keepNext/>
              <w:rPr>
                <w:rFonts w:ascii="Calibri" w:eastAsia="MS Mincho" w:hAnsi="Calibri" w:cs="Tahoma"/>
              </w:rPr>
            </w:pPr>
            <w:r w:rsidRPr="00770017">
              <w:rPr>
                <w:rFonts w:ascii="Calibri" w:hAnsi="Calibri" w:cs="Tahoma"/>
              </w:rPr>
              <w:t xml:space="preserve"> Justification for this proposed standard development project (Check all that apply to help NERC prioritize development)</w:t>
            </w:r>
          </w:p>
        </w:tc>
      </w:tr>
      <w:tr w:rsidR="00770017" w:rsidRPr="00770017" w14:paraId="6952CD43" w14:textId="77777777" w:rsidTr="007F1DB6">
        <w:tc>
          <w:tcPr>
            <w:tcW w:w="4972" w:type="dxa"/>
            <w:gridSpan w:val="4"/>
            <w:vAlign w:val="center"/>
          </w:tcPr>
          <w:p w14:paraId="66380DF1" w14:textId="6AB9FCEE" w:rsidR="00770017" w:rsidRPr="00770017" w:rsidRDefault="000F38A5" w:rsidP="00770017">
            <w:pPr>
              <w:rPr>
                <w:rFonts w:ascii="Calibri" w:eastAsia="MS Mincho" w:hAnsi="Calibri"/>
              </w:rPr>
            </w:pPr>
            <w:r>
              <w:rPr>
                <w:rFonts w:ascii="Calibri" w:eastAsia="MS Mincho" w:hAnsi="Calibri"/>
              </w:rPr>
              <w:fldChar w:fldCharType="begin">
                <w:ffData>
                  <w:name w:val=""/>
                  <w:enabled/>
                  <w:calcOnExit w:val="0"/>
                  <w:checkBox>
                    <w:sizeAuto/>
                    <w:default w:val="1"/>
                  </w:checkBox>
                </w:ffData>
              </w:fldChar>
            </w:r>
            <w:r>
              <w:rPr>
                <w:rFonts w:ascii="Calibri" w:eastAsia="MS Mincho" w:hAnsi="Calibri"/>
              </w:rPr>
              <w:instrText xml:space="preserve"> FORMCHECKBOX </w:instrText>
            </w:r>
            <w:r w:rsidR="0029084B">
              <w:rPr>
                <w:rFonts w:ascii="Calibri" w:eastAsia="MS Mincho" w:hAnsi="Calibri"/>
              </w:rPr>
            </w:r>
            <w:r w:rsidR="0029084B">
              <w:rPr>
                <w:rFonts w:ascii="Calibri" w:eastAsia="MS Mincho" w:hAnsi="Calibri"/>
              </w:rPr>
              <w:fldChar w:fldCharType="separate"/>
            </w:r>
            <w:r>
              <w:rPr>
                <w:rFonts w:ascii="Calibri" w:eastAsia="MS Mincho" w:hAnsi="Calibri"/>
              </w:rPr>
              <w:fldChar w:fldCharType="end"/>
            </w:r>
            <w:r w:rsidR="00770017" w:rsidRPr="00770017">
              <w:rPr>
                <w:rFonts w:ascii="Calibri" w:eastAsia="MS Mincho" w:hAnsi="Calibri"/>
              </w:rPr>
              <w:t xml:space="preserve">     Regulatory Initiation</w:t>
            </w:r>
          </w:p>
          <w:p w14:paraId="0F7BD495" w14:textId="79F24DA5" w:rsidR="00770017" w:rsidRPr="00770017" w:rsidRDefault="000F38A5" w:rsidP="00770017">
            <w:pPr>
              <w:rPr>
                <w:rFonts w:ascii="Calibri" w:eastAsia="MS Mincho" w:hAnsi="Calibri"/>
              </w:rPr>
            </w:pPr>
            <w:r>
              <w:rPr>
                <w:rFonts w:ascii="Calibri" w:eastAsia="MS Mincho" w:hAnsi="Calibri"/>
              </w:rPr>
              <w:fldChar w:fldCharType="begin">
                <w:ffData>
                  <w:name w:val=""/>
                  <w:enabled/>
                  <w:calcOnExit w:val="0"/>
                  <w:checkBox>
                    <w:sizeAuto/>
                    <w:default w:val="0"/>
                  </w:checkBox>
                </w:ffData>
              </w:fldChar>
            </w:r>
            <w:r>
              <w:rPr>
                <w:rFonts w:ascii="Calibri" w:eastAsia="MS Mincho" w:hAnsi="Calibri"/>
              </w:rPr>
              <w:instrText xml:space="preserve"> FORMCHECKBOX </w:instrText>
            </w:r>
            <w:r w:rsidR="0029084B">
              <w:rPr>
                <w:rFonts w:ascii="Calibri" w:eastAsia="MS Mincho" w:hAnsi="Calibri"/>
              </w:rPr>
            </w:r>
            <w:r w:rsidR="0029084B">
              <w:rPr>
                <w:rFonts w:ascii="Calibri" w:eastAsia="MS Mincho" w:hAnsi="Calibri"/>
              </w:rPr>
              <w:fldChar w:fldCharType="separate"/>
            </w:r>
            <w:r>
              <w:rPr>
                <w:rFonts w:ascii="Calibri" w:eastAsia="MS Mincho" w:hAnsi="Calibri"/>
              </w:rPr>
              <w:fldChar w:fldCharType="end"/>
            </w:r>
            <w:r w:rsidR="00770017" w:rsidRPr="00770017">
              <w:rPr>
                <w:rFonts w:ascii="Calibri" w:eastAsia="MS Mincho" w:hAnsi="Calibri"/>
              </w:rPr>
              <w:t xml:space="preserve">     Emerging Risk (Reliability Issues Steering Committee) Identified</w:t>
            </w:r>
          </w:p>
          <w:p w14:paraId="1C971F8A"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0029084B">
              <w:rPr>
                <w:rFonts w:ascii="Calibri" w:eastAsia="MS Mincho" w:hAnsi="Calibri"/>
              </w:rPr>
            </w:r>
            <w:r w:rsidR="0029084B">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Reliability Standard Development Plan </w:t>
            </w:r>
          </w:p>
        </w:tc>
        <w:tc>
          <w:tcPr>
            <w:tcW w:w="5423" w:type="dxa"/>
            <w:gridSpan w:val="3"/>
            <w:vAlign w:val="center"/>
          </w:tcPr>
          <w:p w14:paraId="6CA1A894" w14:textId="268CD628" w:rsidR="00770017" w:rsidRPr="00770017" w:rsidRDefault="000F38A5" w:rsidP="00770017">
            <w:pPr>
              <w:rPr>
                <w:rFonts w:ascii="Calibri" w:eastAsia="MS Mincho" w:hAnsi="Calibri"/>
              </w:rPr>
            </w:pPr>
            <w:r>
              <w:rPr>
                <w:rFonts w:ascii="Calibri" w:eastAsia="MS Mincho" w:hAnsi="Calibri"/>
              </w:rPr>
              <w:fldChar w:fldCharType="begin">
                <w:ffData>
                  <w:name w:val=""/>
                  <w:enabled/>
                  <w:calcOnExit w:val="0"/>
                  <w:checkBox>
                    <w:sizeAuto/>
                    <w:default w:val="0"/>
                  </w:checkBox>
                </w:ffData>
              </w:fldChar>
            </w:r>
            <w:r>
              <w:rPr>
                <w:rFonts w:ascii="Calibri" w:eastAsia="MS Mincho" w:hAnsi="Calibri"/>
              </w:rPr>
              <w:instrText xml:space="preserve"> FORMCHECKBOX </w:instrText>
            </w:r>
            <w:r w:rsidR="0029084B">
              <w:rPr>
                <w:rFonts w:ascii="Calibri" w:eastAsia="MS Mincho" w:hAnsi="Calibri"/>
              </w:rPr>
            </w:r>
            <w:r w:rsidR="0029084B">
              <w:rPr>
                <w:rFonts w:ascii="Calibri" w:eastAsia="MS Mincho" w:hAnsi="Calibri"/>
              </w:rPr>
              <w:fldChar w:fldCharType="separate"/>
            </w:r>
            <w:r>
              <w:rPr>
                <w:rFonts w:ascii="Calibri" w:eastAsia="MS Mincho" w:hAnsi="Calibri"/>
              </w:rPr>
              <w:fldChar w:fldCharType="end"/>
            </w:r>
            <w:r w:rsidR="00770017" w:rsidRPr="00770017">
              <w:rPr>
                <w:rFonts w:ascii="Calibri" w:eastAsia="MS Mincho" w:hAnsi="Calibri"/>
              </w:rPr>
              <w:t xml:space="preserve">     NERC Standing Committee Identified</w:t>
            </w:r>
          </w:p>
          <w:p w14:paraId="10CD1F7E"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0029084B">
              <w:rPr>
                <w:rFonts w:ascii="Calibri" w:eastAsia="MS Mincho" w:hAnsi="Calibri"/>
              </w:rPr>
            </w:r>
            <w:r w:rsidR="0029084B">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Enhanced Periodic Review Initiated</w:t>
            </w:r>
          </w:p>
          <w:p w14:paraId="283DE3A4" w14:textId="20AFB894" w:rsidR="00770017" w:rsidRPr="00770017" w:rsidRDefault="00915937" w:rsidP="00770017">
            <w:pPr>
              <w:rPr>
                <w:rFonts w:ascii="Calibri" w:eastAsia="MS Mincho" w:hAnsi="Calibri"/>
              </w:rPr>
            </w:pPr>
            <w:r>
              <w:rPr>
                <w:rFonts w:ascii="Calibri" w:eastAsia="MS Mincho" w:hAnsi="Calibri"/>
              </w:rPr>
              <w:fldChar w:fldCharType="begin">
                <w:ffData>
                  <w:name w:val=""/>
                  <w:enabled/>
                  <w:calcOnExit w:val="0"/>
                  <w:checkBox>
                    <w:sizeAuto/>
                    <w:default w:val="1"/>
                  </w:checkBox>
                </w:ffData>
              </w:fldChar>
            </w:r>
            <w:r>
              <w:rPr>
                <w:rFonts w:ascii="Calibri" w:eastAsia="MS Mincho" w:hAnsi="Calibri"/>
              </w:rPr>
              <w:instrText xml:space="preserve"> FORMCHECKBOX </w:instrText>
            </w:r>
            <w:r w:rsidR="0029084B">
              <w:rPr>
                <w:rFonts w:ascii="Calibri" w:eastAsia="MS Mincho" w:hAnsi="Calibri"/>
              </w:rPr>
            </w:r>
            <w:r w:rsidR="0029084B">
              <w:rPr>
                <w:rFonts w:ascii="Calibri" w:eastAsia="MS Mincho" w:hAnsi="Calibri"/>
              </w:rPr>
              <w:fldChar w:fldCharType="separate"/>
            </w:r>
            <w:r>
              <w:rPr>
                <w:rFonts w:ascii="Calibri" w:eastAsia="MS Mincho" w:hAnsi="Calibri"/>
              </w:rPr>
              <w:fldChar w:fldCharType="end"/>
            </w:r>
            <w:r w:rsidR="00770017" w:rsidRPr="00770017">
              <w:rPr>
                <w:rFonts w:ascii="Calibri" w:eastAsia="MS Mincho" w:hAnsi="Calibri"/>
              </w:rPr>
              <w:t xml:space="preserve">     Industry Stakeholder Identified</w:t>
            </w:r>
          </w:p>
        </w:tc>
      </w:tr>
      <w:tr w:rsidR="00770017" w:rsidRPr="00770017" w14:paraId="226413AC" w14:textId="77777777" w:rsidTr="007F1DB6">
        <w:tc>
          <w:tcPr>
            <w:tcW w:w="10395" w:type="dxa"/>
            <w:gridSpan w:val="7"/>
            <w:shd w:val="clear" w:color="auto" w:fill="C6D9F1"/>
            <w:vAlign w:val="center"/>
          </w:tcPr>
          <w:p w14:paraId="28997682" w14:textId="77777777" w:rsidR="00770017" w:rsidRPr="00770017" w:rsidRDefault="00770017" w:rsidP="00770017">
            <w:pPr>
              <w:keepNext/>
              <w:rPr>
                <w:rFonts w:ascii="Calibri" w:eastAsia="MS Mincho" w:hAnsi="Calibri"/>
              </w:rPr>
            </w:pPr>
            <w:r w:rsidRPr="00770017">
              <w:rPr>
                <w:rFonts w:ascii="Calibri" w:eastAsia="MS Mincho" w:hAnsi="Calibri"/>
              </w:rPr>
              <w:t>Industry Need (What Bulk Electric System (BES) reliability benefit does the proposed project provide?):</w:t>
            </w:r>
          </w:p>
        </w:tc>
      </w:tr>
      <w:tr w:rsidR="00770017" w:rsidRPr="00770017" w14:paraId="41A3E209" w14:textId="77777777" w:rsidTr="007F1DB6">
        <w:tc>
          <w:tcPr>
            <w:tcW w:w="10395" w:type="dxa"/>
            <w:gridSpan w:val="7"/>
            <w:tcBorders>
              <w:bottom w:val="single" w:sz="4" w:space="0" w:color="auto"/>
            </w:tcBorders>
            <w:vAlign w:val="center"/>
          </w:tcPr>
          <w:p w14:paraId="652EDE56" w14:textId="20255D46" w:rsidR="000F38A5" w:rsidRDefault="000F38A5" w:rsidP="0074600B">
            <w:pPr>
              <w:pBdr>
                <w:top w:val="nil"/>
                <w:left w:val="nil"/>
                <w:bottom w:val="nil"/>
                <w:right w:val="nil"/>
                <w:between w:val="nil"/>
              </w:pBdr>
              <w:jc w:val="both"/>
            </w:pPr>
            <w:r>
              <w:t xml:space="preserve">The ERO Enterprise has analyzed over 10 disturbances involving widespread loss of solar photovoltaic (PV) resources and has published multiple disturbance reports highlighting key findings and recommendations from these analyses. Across all events, a widespread loss of generating resources – solar PV, wind, synchronous generation, and battery energy storage systems (BESS) – have abnormally tripped, ceased current injection, or reduced power output with control interactions. </w:t>
            </w:r>
            <w:r w:rsidR="00F12B73">
              <w:t xml:space="preserve">Generator ride-through is a foundational essential reliability service. </w:t>
            </w:r>
            <w:r>
              <w:t>BPS</w:t>
            </w:r>
            <w:r w:rsidR="00F12B73">
              <w:t>-connected generating resources</w:t>
            </w:r>
            <w:r>
              <w:t xml:space="preserve"> </w:t>
            </w:r>
            <w:r w:rsidR="00F12B73">
              <w:t xml:space="preserve">remaining connected during </w:t>
            </w:r>
            <w:r>
              <w:t xml:space="preserve">normal and contingency conditions </w:t>
            </w:r>
            <w:r w:rsidR="00F12B73">
              <w:t xml:space="preserve">is a critical component of BPS reliability. Ensuring </w:t>
            </w:r>
            <w:r>
              <w:t>fault ride-through capability</w:t>
            </w:r>
            <w:r w:rsidR="00F12B73">
              <w:t xml:space="preserve"> enables </w:t>
            </w:r>
            <w:r>
              <w:t xml:space="preserve">dynamic reactive </w:t>
            </w:r>
            <w:r w:rsidR="00F12B73">
              <w:t xml:space="preserve">power </w:t>
            </w:r>
            <w:r>
              <w:t xml:space="preserve">support, frequency response, and other </w:t>
            </w:r>
            <w:r>
              <w:lastRenderedPageBreak/>
              <w:t xml:space="preserve">services. The unexpected loss of widespread generating assets poses a significant risk to BPS reliability. The existing PRC-024-3 is an equipment settings standard focused solely on voltage and frequency protection. However, this standard is serving little to no value for ensuring BPS-connected inverter-based resources remain connected and supporting the BPS during grid disturbances. Furthermore, NERC has experienced multiple asset owners during the event analyses who have misconstrued PRC-024-3, resulting in incorrect or unnecessary protections applied to generating assets that have resulted in spurious and abnormal tripping events. </w:t>
            </w:r>
          </w:p>
          <w:p w14:paraId="21E5585D" w14:textId="02B1ADC7" w:rsidR="000F38A5" w:rsidRDefault="000F38A5" w:rsidP="0074600B">
            <w:pPr>
              <w:pBdr>
                <w:top w:val="nil"/>
                <w:left w:val="nil"/>
                <w:bottom w:val="nil"/>
                <w:right w:val="nil"/>
                <w:between w:val="nil"/>
              </w:pBdr>
              <w:jc w:val="both"/>
            </w:pPr>
          </w:p>
          <w:p w14:paraId="75646463" w14:textId="257E639E" w:rsidR="000F38A5" w:rsidRDefault="000F38A5" w:rsidP="0074600B">
            <w:pPr>
              <w:pBdr>
                <w:top w:val="nil"/>
                <w:left w:val="nil"/>
                <w:bottom w:val="nil"/>
                <w:right w:val="nil"/>
                <w:between w:val="nil"/>
              </w:pBdr>
              <w:jc w:val="both"/>
            </w:pPr>
            <w:r>
              <w:t xml:space="preserve">The systemic tripping and reductions of inverter-based resources, in addition to notable concurrent tripping or performance from synchronous generating resources poses a risk to BPS reliability that must be addressed in a timely manner. This proposed standards project </w:t>
            </w:r>
            <w:r w:rsidR="0074600B">
              <w:t xml:space="preserve">will address this known </w:t>
            </w:r>
            <w:r>
              <w:t xml:space="preserve">reliability risk with a more suitable performance-based standard </w:t>
            </w:r>
            <w:r w:rsidR="0074600B">
              <w:t>that ensures</w:t>
            </w:r>
            <w:r>
              <w:t xml:space="preserve"> generating resource ride-through performance for expected </w:t>
            </w:r>
            <w:r w:rsidR="0074600B">
              <w:t xml:space="preserve">or planned BPS disturbances rather than focusing solely on a small subset of protections and controls that can trip generating resources. </w:t>
            </w:r>
          </w:p>
          <w:p w14:paraId="74537B08" w14:textId="69586FE5" w:rsidR="00B23A65" w:rsidRPr="00770017" w:rsidRDefault="00B23A65" w:rsidP="0074600B">
            <w:pPr>
              <w:pBdr>
                <w:top w:val="nil"/>
                <w:left w:val="nil"/>
                <w:bottom w:val="nil"/>
                <w:right w:val="nil"/>
                <w:between w:val="nil"/>
              </w:pBdr>
              <w:rPr>
                <w:rFonts w:ascii="Calibri" w:eastAsia="MS Mincho" w:hAnsi="Calibri"/>
              </w:rPr>
            </w:pPr>
          </w:p>
        </w:tc>
      </w:tr>
      <w:tr w:rsidR="00770017" w:rsidRPr="00770017" w14:paraId="2E1316B6" w14:textId="77777777" w:rsidTr="007F1DB6">
        <w:tc>
          <w:tcPr>
            <w:tcW w:w="10395" w:type="dxa"/>
            <w:gridSpan w:val="7"/>
            <w:shd w:val="clear" w:color="auto" w:fill="C6D9F1"/>
            <w:vAlign w:val="center"/>
          </w:tcPr>
          <w:p w14:paraId="47233E1F" w14:textId="77777777" w:rsidR="00770017" w:rsidRPr="00770017" w:rsidRDefault="00770017" w:rsidP="00770017">
            <w:pPr>
              <w:keepNext/>
              <w:rPr>
                <w:rFonts w:ascii="Calibri" w:eastAsia="MS Mincho" w:hAnsi="Calibri"/>
              </w:rPr>
            </w:pPr>
            <w:r w:rsidRPr="00770017">
              <w:rPr>
                <w:rFonts w:ascii="Calibri" w:eastAsia="MS Mincho" w:hAnsi="Calibri"/>
              </w:rPr>
              <w:lastRenderedPageBreak/>
              <w:t>Purpose or Goal (How does this proposed project provide the reliability-related benefit described above?):</w:t>
            </w:r>
          </w:p>
        </w:tc>
      </w:tr>
      <w:tr w:rsidR="00770017" w:rsidRPr="00770017" w14:paraId="1890F499" w14:textId="77777777" w:rsidTr="007F1DB6">
        <w:tc>
          <w:tcPr>
            <w:tcW w:w="10395" w:type="dxa"/>
            <w:gridSpan w:val="7"/>
            <w:tcBorders>
              <w:bottom w:val="single" w:sz="4" w:space="0" w:color="auto"/>
            </w:tcBorders>
            <w:vAlign w:val="center"/>
          </w:tcPr>
          <w:p w14:paraId="2F24F7E6" w14:textId="2E3B47CC" w:rsidR="0074600B" w:rsidRDefault="0074600B" w:rsidP="007B6755">
            <w:pPr>
              <w:jc w:val="both"/>
              <w:rPr>
                <w:rFonts w:ascii="Calibri" w:eastAsia="MS Mincho" w:hAnsi="Calibri"/>
              </w:rPr>
            </w:pPr>
            <w:r>
              <w:rPr>
                <w:rFonts w:ascii="Calibri" w:eastAsia="MS Mincho" w:hAnsi="Calibri"/>
              </w:rPr>
              <w:t xml:space="preserve">The purpose of this SAR is to retire PRC-024-3 and replace it with a performance-based ride-through standard </w:t>
            </w:r>
            <w:r w:rsidR="000F1460">
              <w:rPr>
                <w:rFonts w:ascii="Calibri" w:eastAsia="MS Mincho" w:hAnsi="Calibri"/>
              </w:rPr>
              <w:t xml:space="preserve">that </w:t>
            </w:r>
            <w:r>
              <w:rPr>
                <w:rFonts w:ascii="Calibri" w:eastAsia="MS Mincho" w:hAnsi="Calibri"/>
              </w:rPr>
              <w:t>ensure</w:t>
            </w:r>
            <w:r w:rsidR="000F1460">
              <w:rPr>
                <w:rFonts w:ascii="Calibri" w:eastAsia="MS Mincho" w:hAnsi="Calibri"/>
              </w:rPr>
              <w:t>s</w:t>
            </w:r>
            <w:r>
              <w:rPr>
                <w:rFonts w:ascii="Calibri" w:eastAsia="MS Mincho" w:hAnsi="Calibri"/>
              </w:rPr>
              <w:t xml:space="preserve"> </w:t>
            </w:r>
            <w:r w:rsidR="00F869C4">
              <w:rPr>
                <w:rFonts w:ascii="Calibri" w:eastAsia="MS Mincho" w:hAnsi="Calibri"/>
              </w:rPr>
              <w:t>generator</w:t>
            </w:r>
            <w:r w:rsidR="000F1460">
              <w:rPr>
                <w:rFonts w:ascii="Calibri" w:eastAsia="MS Mincho" w:hAnsi="Calibri"/>
              </w:rPr>
              <w:t xml:space="preserve">s remain connected to the BPS during system disturbances. Specifically, this SAR focuses on the generator protection and control systems that can result in the reduction or disconnection of generating resources during these events. The SAR also ensures </w:t>
            </w:r>
            <w:r>
              <w:rPr>
                <w:rFonts w:ascii="Calibri" w:eastAsia="MS Mincho" w:hAnsi="Calibri"/>
              </w:rPr>
              <w:t xml:space="preserve">protection or controls </w:t>
            </w:r>
            <w:r w:rsidR="000F1460">
              <w:rPr>
                <w:rFonts w:ascii="Calibri" w:eastAsia="MS Mincho" w:hAnsi="Calibri"/>
              </w:rPr>
              <w:t xml:space="preserve">that fail to ride through system events are </w:t>
            </w:r>
            <w:r>
              <w:rPr>
                <w:rFonts w:ascii="Calibri" w:eastAsia="MS Mincho" w:hAnsi="Calibri"/>
              </w:rPr>
              <w:t xml:space="preserve">analyzed, addressed with a corrective action plan (if possible), and reported to </w:t>
            </w:r>
            <w:r w:rsidR="000F1460">
              <w:rPr>
                <w:rFonts w:ascii="Calibri" w:eastAsia="MS Mincho" w:hAnsi="Calibri"/>
              </w:rPr>
              <w:t>necessary entities for situational awareness</w:t>
            </w:r>
            <w:r>
              <w:rPr>
                <w:rFonts w:ascii="Calibri" w:eastAsia="MS Mincho" w:hAnsi="Calibri"/>
              </w:rPr>
              <w:t xml:space="preserve">. From a risk-based perspective, the goal of the standard is to mitigate the ongoing and systemic performance issues identified across multiple Interconnections and across many disturbances analyzed by NERC and the Regions. These issues have been identified in inverter-based resources as well as synchronous generators, </w:t>
            </w:r>
            <w:r w:rsidR="00F869C4">
              <w:rPr>
                <w:rFonts w:ascii="Calibri" w:eastAsia="MS Mincho" w:hAnsi="Calibri"/>
              </w:rPr>
              <w:t xml:space="preserve">with many causes of tripping </w:t>
            </w:r>
            <w:r>
              <w:rPr>
                <w:rFonts w:ascii="Calibri" w:eastAsia="MS Mincho" w:hAnsi="Calibri"/>
              </w:rPr>
              <w:t xml:space="preserve">entirely unrelated to voltage and frequency protection settings as dictated by </w:t>
            </w:r>
            <w:r w:rsidR="00F869C4">
              <w:rPr>
                <w:rFonts w:ascii="Calibri" w:eastAsia="MS Mincho" w:hAnsi="Calibri"/>
              </w:rPr>
              <w:t xml:space="preserve">the currently effective version of </w:t>
            </w:r>
            <w:r>
              <w:rPr>
                <w:rFonts w:ascii="Calibri" w:eastAsia="MS Mincho" w:hAnsi="Calibri"/>
              </w:rPr>
              <w:t xml:space="preserve">PRC-024. </w:t>
            </w:r>
          </w:p>
          <w:p w14:paraId="2D5B09BA" w14:textId="3D1E4EC4" w:rsidR="008D063B" w:rsidRPr="00770017" w:rsidRDefault="008D063B" w:rsidP="00E77051">
            <w:pPr>
              <w:rPr>
                <w:rFonts w:ascii="Calibri" w:eastAsia="MS Mincho" w:hAnsi="Calibri"/>
              </w:rPr>
            </w:pPr>
          </w:p>
        </w:tc>
      </w:tr>
      <w:tr w:rsidR="00770017" w:rsidRPr="00770017" w14:paraId="1ACEA2A4" w14:textId="77777777" w:rsidTr="007F1DB6">
        <w:tc>
          <w:tcPr>
            <w:tcW w:w="10395" w:type="dxa"/>
            <w:gridSpan w:val="7"/>
            <w:shd w:val="clear" w:color="auto" w:fill="C6D9F1"/>
            <w:vAlign w:val="center"/>
          </w:tcPr>
          <w:p w14:paraId="0C0444C3" w14:textId="77777777" w:rsidR="00770017" w:rsidRPr="00770017" w:rsidRDefault="00770017" w:rsidP="00770017">
            <w:pPr>
              <w:keepNext/>
              <w:rPr>
                <w:rFonts w:ascii="Calibri" w:eastAsia="MS Mincho" w:hAnsi="Calibri"/>
              </w:rPr>
            </w:pPr>
            <w:r w:rsidRPr="00770017">
              <w:rPr>
                <w:rFonts w:ascii="Calibri" w:eastAsia="MS Mincho" w:hAnsi="Calibri"/>
              </w:rPr>
              <w:t>Project Scope (Define the parameters of the proposed project):</w:t>
            </w:r>
          </w:p>
        </w:tc>
      </w:tr>
      <w:tr w:rsidR="00770017" w:rsidRPr="00770017" w14:paraId="7A620C14" w14:textId="77777777" w:rsidTr="007F1DB6">
        <w:tc>
          <w:tcPr>
            <w:tcW w:w="10395" w:type="dxa"/>
            <w:gridSpan w:val="7"/>
            <w:tcBorders>
              <w:bottom w:val="single" w:sz="4" w:space="0" w:color="auto"/>
            </w:tcBorders>
            <w:vAlign w:val="center"/>
          </w:tcPr>
          <w:p w14:paraId="66689BF6" w14:textId="3A76A5DA" w:rsidR="00AB2EE8" w:rsidRPr="00E77051" w:rsidRDefault="0074600B" w:rsidP="007B6755">
            <w:pPr>
              <w:jc w:val="both"/>
              <w:rPr>
                <w:rFonts w:ascii="Calibri" w:eastAsia="MS Mincho" w:hAnsi="Calibri"/>
              </w:rPr>
            </w:pPr>
            <w:r>
              <w:rPr>
                <w:rFonts w:ascii="Calibri" w:eastAsia="MS Mincho" w:hAnsi="Calibri"/>
              </w:rPr>
              <w:t xml:space="preserve">The scope of this project includes the following: </w:t>
            </w:r>
          </w:p>
          <w:p w14:paraId="2E1204BD" w14:textId="77777777" w:rsidR="008D71B5" w:rsidRDefault="0074600B" w:rsidP="007B6755">
            <w:pPr>
              <w:pStyle w:val="ListParagraph"/>
              <w:numPr>
                <w:ilvl w:val="0"/>
                <w:numId w:val="33"/>
              </w:numPr>
              <w:jc w:val="both"/>
              <w:rPr>
                <w:rFonts w:ascii="Calibri" w:eastAsia="MS Mincho" w:hAnsi="Calibri"/>
              </w:rPr>
            </w:pPr>
            <w:r w:rsidRPr="008D71B5">
              <w:rPr>
                <w:rFonts w:ascii="Calibri" w:eastAsia="MS Mincho" w:hAnsi="Calibri"/>
              </w:rPr>
              <w:t>Retire PRC-024-3</w:t>
            </w:r>
            <w:r w:rsidR="008D71B5">
              <w:rPr>
                <w:rFonts w:ascii="Calibri" w:eastAsia="MS Mincho" w:hAnsi="Calibri"/>
              </w:rPr>
              <w:t>,</w:t>
            </w:r>
            <w:r w:rsidR="008D71B5" w:rsidRPr="008D71B5">
              <w:rPr>
                <w:rFonts w:ascii="Calibri" w:eastAsia="MS Mincho" w:hAnsi="Calibri"/>
              </w:rPr>
              <w:t xml:space="preserve"> and create </w:t>
            </w:r>
            <w:r w:rsidRPr="008D71B5">
              <w:rPr>
                <w:rFonts w:ascii="Calibri" w:eastAsia="MS Mincho" w:hAnsi="Calibri"/>
              </w:rPr>
              <w:t>a new PRC standard or completely overhaul and replace the existing PRC-024 standard</w:t>
            </w:r>
            <w:r w:rsidR="008D71B5">
              <w:rPr>
                <w:rFonts w:ascii="Calibri" w:eastAsia="MS Mincho" w:hAnsi="Calibri"/>
              </w:rPr>
              <w:t>.</w:t>
            </w:r>
          </w:p>
          <w:p w14:paraId="2D29FB9C" w14:textId="1DF9489E" w:rsidR="0074600B" w:rsidRPr="008D71B5" w:rsidRDefault="008D71B5" w:rsidP="007B6755">
            <w:pPr>
              <w:pStyle w:val="ListParagraph"/>
              <w:numPr>
                <w:ilvl w:val="0"/>
                <w:numId w:val="33"/>
              </w:numPr>
              <w:jc w:val="both"/>
              <w:rPr>
                <w:rFonts w:ascii="Calibri" w:eastAsia="MS Mincho" w:hAnsi="Calibri"/>
              </w:rPr>
            </w:pPr>
            <w:r>
              <w:rPr>
                <w:rFonts w:ascii="Calibri" w:eastAsia="MS Mincho" w:hAnsi="Calibri"/>
              </w:rPr>
              <w:t>C</w:t>
            </w:r>
            <w:r w:rsidR="0074600B" w:rsidRPr="008D71B5">
              <w:rPr>
                <w:rFonts w:ascii="Calibri" w:eastAsia="MS Mincho" w:hAnsi="Calibri"/>
              </w:rPr>
              <w:t>reates a comprehensive</w:t>
            </w:r>
            <w:r>
              <w:rPr>
                <w:rFonts w:ascii="Calibri" w:eastAsia="MS Mincho" w:hAnsi="Calibri"/>
              </w:rPr>
              <w:t>, performance-based</w:t>
            </w:r>
            <w:r w:rsidR="0074600B" w:rsidRPr="008D71B5">
              <w:rPr>
                <w:rFonts w:ascii="Calibri" w:eastAsia="MS Mincho" w:hAnsi="Calibri"/>
              </w:rPr>
              <w:t xml:space="preserve"> ride-through standard </w:t>
            </w:r>
            <w:r>
              <w:rPr>
                <w:rFonts w:ascii="Calibri" w:eastAsia="MS Mincho" w:hAnsi="Calibri"/>
              </w:rPr>
              <w:t xml:space="preserve">with the </w:t>
            </w:r>
            <w:r w:rsidR="0074600B" w:rsidRPr="008D71B5">
              <w:rPr>
                <w:rFonts w:ascii="Calibri" w:eastAsia="MS Mincho" w:hAnsi="Calibri"/>
              </w:rPr>
              <w:t>purpose of ensuring BES generating resources remain connected and providing essential reliability services during grid disturbances.</w:t>
            </w:r>
          </w:p>
          <w:p w14:paraId="33FE6DEC" w14:textId="2038EEA5" w:rsidR="0074600B" w:rsidRDefault="0074600B" w:rsidP="007B6755">
            <w:pPr>
              <w:pStyle w:val="ListParagraph"/>
              <w:numPr>
                <w:ilvl w:val="0"/>
                <w:numId w:val="33"/>
              </w:numPr>
              <w:jc w:val="both"/>
              <w:rPr>
                <w:rFonts w:ascii="Calibri" w:eastAsia="MS Mincho" w:hAnsi="Calibri"/>
              </w:rPr>
            </w:pPr>
            <w:r>
              <w:rPr>
                <w:rFonts w:ascii="Calibri" w:eastAsia="MS Mincho" w:hAnsi="Calibri"/>
              </w:rPr>
              <w:t xml:space="preserve">The scope of protections and controls involved in this ride-through standard </w:t>
            </w:r>
            <w:r w:rsidR="00463918">
              <w:rPr>
                <w:rFonts w:ascii="Calibri" w:eastAsia="MS Mincho" w:hAnsi="Calibri"/>
              </w:rPr>
              <w:t xml:space="preserve">shall </w:t>
            </w:r>
            <w:r>
              <w:rPr>
                <w:rFonts w:ascii="Calibri" w:eastAsia="MS Mincho" w:hAnsi="Calibri"/>
              </w:rPr>
              <w:t xml:space="preserve">include all </w:t>
            </w:r>
            <w:r w:rsidR="00F869C4">
              <w:rPr>
                <w:rFonts w:ascii="Calibri" w:eastAsia="MS Mincho" w:hAnsi="Calibri"/>
              </w:rPr>
              <w:t xml:space="preserve">generator </w:t>
            </w:r>
            <w:r>
              <w:rPr>
                <w:rFonts w:ascii="Calibri" w:eastAsia="MS Mincho" w:hAnsi="Calibri"/>
              </w:rPr>
              <w:t>protections and controls that affect the electrical output of the BES generating resource or plant</w:t>
            </w:r>
            <w:r w:rsidR="00F869C4">
              <w:rPr>
                <w:rFonts w:ascii="Calibri" w:eastAsia="MS Mincho" w:hAnsi="Calibri"/>
              </w:rPr>
              <w:t xml:space="preserve">. To be clear, the project should specify the protections and controls in scope of the ride-through performance and define the term ride-through, as necessary. This should, at a minimum, include all generator (synchronous or inverter-based) protections and controls at the individual </w:t>
            </w:r>
            <w:r w:rsidR="00F869C4">
              <w:rPr>
                <w:rFonts w:ascii="Calibri" w:eastAsia="MS Mincho" w:hAnsi="Calibri"/>
              </w:rPr>
              <w:lastRenderedPageBreak/>
              <w:t xml:space="preserve">generators, at the inverters, or within the plant (i.e., plant-level controls and protections or collector system protections). </w:t>
            </w:r>
          </w:p>
          <w:p w14:paraId="4E526F12" w14:textId="14972031" w:rsidR="0074600B" w:rsidRDefault="0074600B" w:rsidP="007B6755">
            <w:pPr>
              <w:pStyle w:val="ListParagraph"/>
              <w:numPr>
                <w:ilvl w:val="0"/>
                <w:numId w:val="33"/>
              </w:numPr>
              <w:jc w:val="both"/>
              <w:rPr>
                <w:rFonts w:ascii="Calibri" w:eastAsia="MS Mincho" w:hAnsi="Calibri"/>
              </w:rPr>
            </w:pPr>
            <w:r>
              <w:rPr>
                <w:rFonts w:ascii="Calibri" w:eastAsia="MS Mincho" w:hAnsi="Calibri"/>
              </w:rPr>
              <w:t xml:space="preserve">The scope of the ride-through standard </w:t>
            </w:r>
            <w:r w:rsidR="00463918">
              <w:rPr>
                <w:rFonts w:ascii="Calibri" w:eastAsia="MS Mincho" w:hAnsi="Calibri"/>
              </w:rPr>
              <w:t xml:space="preserve">shall </w:t>
            </w:r>
            <w:r>
              <w:rPr>
                <w:rFonts w:ascii="Calibri" w:eastAsia="MS Mincho" w:hAnsi="Calibri"/>
              </w:rPr>
              <w:t xml:space="preserve">explicitly exclude auxiliary systems and their protection systems. </w:t>
            </w:r>
            <w:r w:rsidR="00463918">
              <w:rPr>
                <w:rFonts w:ascii="Calibri" w:eastAsia="MS Mincho" w:hAnsi="Calibri"/>
              </w:rPr>
              <w:t>Abnormal performance or unexpected tripping of these protections do not pose a systemic BES reliability risk</w:t>
            </w:r>
            <w:r w:rsidR="00F869C4">
              <w:rPr>
                <w:rFonts w:ascii="Calibri" w:eastAsia="MS Mincho" w:hAnsi="Calibri"/>
              </w:rPr>
              <w:t>. However, protections and controls directly focused on the generator</w:t>
            </w:r>
            <w:r w:rsidR="00C26902">
              <w:rPr>
                <w:rFonts w:ascii="Calibri" w:eastAsia="MS Mincho" w:hAnsi="Calibri"/>
              </w:rPr>
              <w:t xml:space="preserve"> and its prime mover</w:t>
            </w:r>
            <w:r w:rsidR="00F869C4">
              <w:rPr>
                <w:rFonts w:ascii="Calibri" w:eastAsia="MS Mincho" w:hAnsi="Calibri"/>
              </w:rPr>
              <w:t xml:space="preserve"> (e.g., </w:t>
            </w:r>
            <w:proofErr w:type="spellStart"/>
            <w:r w:rsidR="00F869C4">
              <w:rPr>
                <w:rFonts w:ascii="Calibri" w:eastAsia="MS Mincho" w:hAnsi="Calibri"/>
              </w:rPr>
              <w:t>overspeed</w:t>
            </w:r>
            <w:proofErr w:type="spellEnd"/>
            <w:r w:rsidR="00F869C4">
              <w:rPr>
                <w:rFonts w:ascii="Calibri" w:eastAsia="MS Mincho" w:hAnsi="Calibri"/>
              </w:rPr>
              <w:t xml:space="preserve">, </w:t>
            </w:r>
            <w:r w:rsidR="00C26902">
              <w:rPr>
                <w:rFonts w:ascii="Calibri" w:eastAsia="MS Mincho" w:hAnsi="Calibri"/>
              </w:rPr>
              <w:t xml:space="preserve">power-load imbalance, </w:t>
            </w:r>
            <w:r w:rsidR="00F869C4">
              <w:rPr>
                <w:rFonts w:ascii="Calibri" w:eastAsia="MS Mincho" w:hAnsi="Calibri"/>
              </w:rPr>
              <w:t>overvoltage, phase jump, overcurrent) or plant-level (e.g., voltage, current, frequency, phase, etc.)</w:t>
            </w:r>
            <w:r w:rsidR="00463918">
              <w:rPr>
                <w:rFonts w:ascii="Calibri" w:eastAsia="MS Mincho" w:hAnsi="Calibri"/>
              </w:rPr>
              <w:t xml:space="preserve"> </w:t>
            </w:r>
            <w:r w:rsidR="00F869C4">
              <w:rPr>
                <w:rFonts w:ascii="Calibri" w:eastAsia="MS Mincho" w:hAnsi="Calibri"/>
              </w:rPr>
              <w:t>have posed notable risks to BES reliability and should be addressed directly in this standard.</w:t>
            </w:r>
          </w:p>
          <w:p w14:paraId="2F147C75" w14:textId="42E80EC0" w:rsidR="00306EDF" w:rsidRPr="008D71B5" w:rsidRDefault="00463918" w:rsidP="007B6755">
            <w:pPr>
              <w:pStyle w:val="ListParagraph"/>
              <w:numPr>
                <w:ilvl w:val="0"/>
                <w:numId w:val="33"/>
              </w:numPr>
              <w:jc w:val="both"/>
              <w:rPr>
                <w:rFonts w:ascii="Calibri" w:eastAsia="MS Mincho" w:hAnsi="Calibri"/>
              </w:rPr>
            </w:pPr>
            <w:r>
              <w:rPr>
                <w:rFonts w:ascii="Calibri" w:eastAsia="MS Mincho" w:hAnsi="Calibri"/>
              </w:rPr>
              <w:t xml:space="preserve">The new standard shall </w:t>
            </w:r>
            <w:r w:rsidR="008D71B5">
              <w:rPr>
                <w:rFonts w:ascii="Calibri" w:eastAsia="MS Mincho" w:hAnsi="Calibri"/>
              </w:rPr>
              <w:t xml:space="preserve">ensure that all unexpected or abnormal tripping or reductions in power output are reported by the GO to the </w:t>
            </w:r>
            <w:r w:rsidR="004A0671">
              <w:rPr>
                <w:rFonts w:ascii="Calibri" w:eastAsia="MS Mincho" w:hAnsi="Calibri"/>
              </w:rPr>
              <w:t xml:space="preserve">TOP, BA, and </w:t>
            </w:r>
            <w:r w:rsidR="008D71B5">
              <w:rPr>
                <w:rFonts w:ascii="Calibri" w:eastAsia="MS Mincho" w:hAnsi="Calibri"/>
              </w:rPr>
              <w:t>RC.</w:t>
            </w:r>
          </w:p>
          <w:p w14:paraId="04423118" w14:textId="091BADFE" w:rsidR="00E1734B" w:rsidRPr="009A1838" w:rsidRDefault="00E1734B" w:rsidP="007B6755">
            <w:pPr>
              <w:jc w:val="both"/>
              <w:rPr>
                <w:rFonts w:ascii="Calibri" w:eastAsia="MS Mincho" w:hAnsi="Calibri"/>
              </w:rPr>
            </w:pPr>
          </w:p>
        </w:tc>
      </w:tr>
      <w:tr w:rsidR="00770017" w:rsidRPr="00770017" w14:paraId="3D9FDC57" w14:textId="77777777" w:rsidTr="007F1DB6">
        <w:tc>
          <w:tcPr>
            <w:tcW w:w="10395" w:type="dxa"/>
            <w:gridSpan w:val="7"/>
            <w:shd w:val="clear" w:color="auto" w:fill="C6D9F1"/>
            <w:vAlign w:val="center"/>
          </w:tcPr>
          <w:p w14:paraId="1E765B78" w14:textId="3ACD0141" w:rsidR="00770017" w:rsidRPr="00770017" w:rsidRDefault="00820D8E" w:rsidP="00770017">
            <w:pPr>
              <w:keepNext/>
              <w:rPr>
                <w:rFonts w:ascii="Calibri" w:eastAsia="MS Mincho" w:hAnsi="Calibri"/>
              </w:rPr>
            </w:pPr>
            <w:r>
              <w:rPr>
                <w:rFonts w:ascii="Calibri" w:eastAsia="MS Mincho" w:hAnsi="Calibri"/>
              </w:rPr>
              <w:lastRenderedPageBreak/>
              <w:t>-</w:t>
            </w:r>
            <w:r w:rsidR="00770017" w:rsidRPr="00770017">
              <w:rPr>
                <w:rFonts w:ascii="Calibri" w:eastAsia="MS Mincho" w:hAnsi="Calibri"/>
              </w:rPr>
              <w:t>Detailed Description (Describe the proposed deliverable(s) with sufficient detail for a drafting team to execute the project. If you propose a new or substantially revised Reliability Standard or definition, provide: (1) a technical justification</w:t>
            </w:r>
            <w:r w:rsidR="00770017" w:rsidRPr="00770017">
              <w:rPr>
                <w:rFonts w:ascii="Calibri" w:eastAsia="MS Mincho" w:hAnsi="Calibri"/>
                <w:vertAlign w:val="superscript"/>
              </w:rPr>
              <w:footnoteReference w:id="1"/>
            </w:r>
            <w:r w:rsidR="00770017" w:rsidRPr="00770017">
              <w:rPr>
                <w:rFonts w:ascii="Calibri" w:eastAsia="MS Mincho" w:hAnsi="Calibri"/>
              </w:rPr>
              <w:t xml:space="preserve"> which includes a discussion of the reliability-related benefits of developing a new or revised Reliability Standard or definition, and (2) a technical foundation document (</w:t>
            </w:r>
            <w:r w:rsidR="00770017" w:rsidRPr="00770017">
              <w:rPr>
                <w:rFonts w:ascii="Calibri" w:eastAsia="MS Mincho" w:hAnsi="Calibri"/>
                <w:i/>
              </w:rPr>
              <w:t>e.g.,</w:t>
            </w:r>
            <w:r w:rsidR="00770017" w:rsidRPr="00770017">
              <w:rPr>
                <w:rFonts w:ascii="Calibri" w:eastAsia="MS Mincho" w:hAnsi="Calibri"/>
              </w:rPr>
              <w:t xml:space="preserve"> research paper) to guide development of the Standard or definition):</w:t>
            </w:r>
          </w:p>
        </w:tc>
      </w:tr>
      <w:tr w:rsidR="00770017" w:rsidRPr="00770017" w14:paraId="58212ED5" w14:textId="77777777" w:rsidTr="00E84A22">
        <w:tc>
          <w:tcPr>
            <w:tcW w:w="10395" w:type="dxa"/>
            <w:gridSpan w:val="7"/>
            <w:shd w:val="clear" w:color="auto" w:fill="auto"/>
            <w:vAlign w:val="center"/>
          </w:tcPr>
          <w:p w14:paraId="48E5668D" w14:textId="1716212D" w:rsidR="008D71B5" w:rsidRDefault="008D71B5" w:rsidP="00E1254E">
            <w:r>
              <w:t>The following describe the proposed deliverable for this project:</w:t>
            </w:r>
          </w:p>
          <w:p w14:paraId="47036C20" w14:textId="6024EDFA" w:rsidR="008D71B5" w:rsidRDefault="003F2FB8" w:rsidP="003F2FB8">
            <w:pPr>
              <w:pStyle w:val="ListBullet"/>
              <w:jc w:val="both"/>
            </w:pPr>
            <w:r>
              <w:t>The proposed deliverable is a new NERC standard (or significant overhaul and revision of PRC-024-3) that includes the following key elements:</w:t>
            </w:r>
          </w:p>
          <w:p w14:paraId="03CA7ABF" w14:textId="66785789" w:rsidR="003F2FB8" w:rsidRDefault="003F2FB8" w:rsidP="007B6755">
            <w:pPr>
              <w:pStyle w:val="ListBullet2"/>
              <w:jc w:val="both"/>
            </w:pPr>
            <w:r>
              <w:t>A performance-based approach to generator ride-through rather than an equipment settings standard. The new standard shall include requirements that BES resources shall ride through grid disturbances and include quantitative measures (see below) on expectations for ride-through that address all possible causes of tripping and power reductions from BES generating resources</w:t>
            </w:r>
            <w:r w:rsidR="004A0671">
              <w:t xml:space="preserve"> (particularly generator, turbine, inverter, and all plant-level protection and controls)</w:t>
            </w:r>
            <w:r>
              <w:t xml:space="preserve">. </w:t>
            </w:r>
          </w:p>
          <w:p w14:paraId="1E2F21E4" w14:textId="78B99B3E" w:rsidR="003F2FB8" w:rsidRDefault="003F2FB8" w:rsidP="007B6755">
            <w:pPr>
              <w:pStyle w:val="ListBullet2"/>
              <w:jc w:val="both"/>
            </w:pPr>
            <w:r>
              <w:t>A reporting requirement that all trips or reductions in power output are reported by the GO to the TOP</w:t>
            </w:r>
            <w:r w:rsidR="004A0671">
              <w:t>, BA,</w:t>
            </w:r>
            <w:r>
              <w:t xml:space="preserve"> and RC.</w:t>
            </w:r>
          </w:p>
          <w:p w14:paraId="0A2CAB70" w14:textId="634695C6" w:rsidR="003F2FB8" w:rsidRDefault="003F2FB8" w:rsidP="007B6755">
            <w:pPr>
              <w:pStyle w:val="ListBullet2"/>
              <w:jc w:val="both"/>
            </w:pPr>
            <w:r>
              <w:t xml:space="preserve">A requirement that </w:t>
            </w:r>
            <w:r w:rsidR="00F869C4">
              <w:t xml:space="preserve">abnormal reductions in active power (i.e., tripping from protections or notable reductions from controls) </w:t>
            </w:r>
            <w:r>
              <w:t>are analyzed by the GO</w:t>
            </w:r>
            <w:r w:rsidR="004A0671">
              <w:t xml:space="preserve"> </w:t>
            </w:r>
            <w:r>
              <w:t>to develop a corrective action plan</w:t>
            </w:r>
            <w:r w:rsidR="004A0671">
              <w:t>,</w:t>
            </w:r>
            <w:r>
              <w:t xml:space="preserve"> if possible. Situations where corrective action plans are not able to be developed shall be reported to the </w:t>
            </w:r>
            <w:r w:rsidR="004A0671">
              <w:t>TOP, BA, and RC.</w:t>
            </w:r>
          </w:p>
          <w:p w14:paraId="61D14691" w14:textId="5908312C" w:rsidR="007E4753" w:rsidRDefault="003F2FB8" w:rsidP="007B6755">
            <w:pPr>
              <w:pStyle w:val="ListBullet2"/>
              <w:jc w:val="both"/>
            </w:pPr>
            <w:r>
              <w:t xml:space="preserve">A clear requirement that momentary cessation, or temporary ceasing of current injection during BPS fault events, is deemed unacceptable performance for BES generating resources. Inverter-based generating resources employing momentary cessation shall develop a corrective action to mitigate its use. Legacy facilities prior to the effective date of the standard should receive an exemption; however, resources with a commercial operation date after the effective date of the standard </w:t>
            </w:r>
            <w:r w:rsidR="00F869C4">
              <w:t>(</w:t>
            </w:r>
            <w:r w:rsidR="004A0671">
              <w:t>and possibly</w:t>
            </w:r>
            <w:r w:rsidR="00F869C4">
              <w:t xml:space="preserve"> the PRC-024-3 implementation date) </w:t>
            </w:r>
            <w:r>
              <w:t xml:space="preserve">shall be </w:t>
            </w:r>
            <w:r>
              <w:lastRenderedPageBreak/>
              <w:t xml:space="preserve">required to eliminate the use of momentary cessation within “ride through envelopes” (e.g., the existing PRC-024 “No Trip Zone”). </w:t>
            </w:r>
          </w:p>
          <w:p w14:paraId="4FDA594B" w14:textId="6FE62FB2" w:rsidR="003F2FB8" w:rsidRDefault="00F869C4" w:rsidP="007B6755">
            <w:pPr>
              <w:pStyle w:val="ListBullet2"/>
              <w:jc w:val="both"/>
            </w:pPr>
            <w:r>
              <w:t>The term</w:t>
            </w:r>
            <w:r w:rsidR="007E4753">
              <w:t>s</w:t>
            </w:r>
            <w:r>
              <w:t xml:space="preserve"> </w:t>
            </w:r>
            <w:r w:rsidR="007E4753">
              <w:t xml:space="preserve">ride-through, trip, </w:t>
            </w:r>
            <w:r>
              <w:t>momentary cessation</w:t>
            </w:r>
            <w:r w:rsidR="007E4753">
              <w:t xml:space="preserve">, and any other relevant terms should be defined in the NERC Glossary of </w:t>
            </w:r>
            <w:r w:rsidR="004A0671">
              <w:t>T</w:t>
            </w:r>
            <w:r w:rsidR="007E4753">
              <w:t xml:space="preserve">erms, if deemed necessary. </w:t>
            </w:r>
          </w:p>
          <w:p w14:paraId="117B3BA9" w14:textId="05A7EB3D" w:rsidR="007B6755" w:rsidRDefault="007B6755" w:rsidP="007B6755">
            <w:pPr>
              <w:pStyle w:val="ListBullet2"/>
              <w:jc w:val="both"/>
            </w:pPr>
            <w:r>
              <w:t xml:space="preserve">A clear requirement that prolonged plant controller interactions that impede the ability of the resource to dynamically respond to the grid disturbance and </w:t>
            </w:r>
            <w:r w:rsidR="007E4753">
              <w:t xml:space="preserve">preclude the ability to fully </w:t>
            </w:r>
            <w:r>
              <w:t xml:space="preserve">provide essential reliability services </w:t>
            </w:r>
            <w:r w:rsidR="007E4753">
              <w:t xml:space="preserve">are </w:t>
            </w:r>
            <w:r>
              <w:t xml:space="preserve">deemed unacceptable and should be addressed by a corrective action plan. </w:t>
            </w:r>
          </w:p>
          <w:p w14:paraId="7C95E8BB" w14:textId="2B2137A3" w:rsidR="003F2FB8" w:rsidRDefault="003F2FB8" w:rsidP="007B6755">
            <w:pPr>
              <w:pStyle w:val="ListBullet2"/>
              <w:jc w:val="both"/>
            </w:pPr>
            <w:r>
              <w:t>A requirement that if the TOP</w:t>
            </w:r>
            <w:r w:rsidR="004A0671">
              <w:t>, BA,</w:t>
            </w:r>
            <w:r>
              <w:t xml:space="preserve"> </w:t>
            </w:r>
            <w:r w:rsidR="004A0671">
              <w:t xml:space="preserve">or </w:t>
            </w:r>
            <w:r>
              <w:t>RC inform the GO of a tripping occurrence</w:t>
            </w:r>
            <w:r w:rsidR="007B6755">
              <w:t>, cessation event, or plant controller interactions that are</w:t>
            </w:r>
            <w:r>
              <w:t xml:space="preserve"> not reported by the GO, then the GO shall be responsible for analyzing the facility’s performance duri</w:t>
            </w:r>
            <w:r w:rsidR="007B6755">
              <w:t xml:space="preserve">ng the event, </w:t>
            </w:r>
            <w:r>
              <w:t>develop</w:t>
            </w:r>
            <w:r w:rsidR="007B6755">
              <w:t>ing a</w:t>
            </w:r>
            <w:r>
              <w:t xml:space="preserve"> correct</w:t>
            </w:r>
            <w:r w:rsidR="007B6755">
              <w:t xml:space="preserve">ive action plan, and reporting this to the TOP, </w:t>
            </w:r>
            <w:r w:rsidR="004A0671">
              <w:t xml:space="preserve">BA, and </w:t>
            </w:r>
            <w:r w:rsidR="007B6755">
              <w:t>RC</w:t>
            </w:r>
            <w:r w:rsidR="004A0671">
              <w:t>.</w:t>
            </w:r>
            <w:r>
              <w:t xml:space="preserve"> </w:t>
            </w:r>
          </w:p>
          <w:p w14:paraId="31E5A94B" w14:textId="4ECC7076" w:rsidR="008D71B5" w:rsidRDefault="008D71B5" w:rsidP="00E1254E"/>
          <w:p w14:paraId="14034D8B" w14:textId="7FEB688E" w:rsidR="008D71B5" w:rsidRDefault="008D71B5" w:rsidP="003F2FB8">
            <w:pPr>
              <w:jc w:val="both"/>
            </w:pPr>
            <w:r>
              <w:t xml:space="preserve">The technical justification regarding the reliability-related need and benefits of this project are described in extensive detail in multiple NERC disturbance reports. All widespread solar PV loss events analyzed by the ERO Enterprise have involved extensive tripping and causes of reduction that are largely not address by PRC-024-3, many of which are unrelated to voltage and frequency tripping entirely. </w:t>
            </w:r>
            <w:r w:rsidR="007E4753">
              <w:t xml:space="preserve">Furthermore, these multiple events have also involved the loss of synchronous generators for various reasons that should be considered in the development activities of this proposed project. </w:t>
            </w:r>
            <w:r>
              <w:t>Key disturbance reports include:</w:t>
            </w:r>
          </w:p>
          <w:p w14:paraId="235CBDB3" w14:textId="3AF59E11" w:rsidR="008D71B5" w:rsidRDefault="008D71B5" w:rsidP="008D71B5">
            <w:pPr>
              <w:pStyle w:val="ListBullet"/>
              <w:jc w:val="both"/>
            </w:pPr>
            <w:r>
              <w:t>NERC 2021 California Disturbances Report (</w:t>
            </w:r>
            <w:hyperlink r:id="rId14" w:history="1">
              <w:r w:rsidRPr="001A710E">
                <w:rPr>
                  <w:rStyle w:val="Hyperlink"/>
                </w:rPr>
                <w:t>2022</w:t>
              </w:r>
            </w:hyperlink>
            <w:r>
              <w:t>)</w:t>
            </w:r>
          </w:p>
          <w:p w14:paraId="37E65292" w14:textId="77777777" w:rsidR="008D71B5" w:rsidRDefault="008D71B5" w:rsidP="008D71B5">
            <w:pPr>
              <w:pStyle w:val="ListBullet"/>
              <w:jc w:val="both"/>
            </w:pPr>
            <w:r>
              <w:t>NERC Odessa Disturbance Report (</w:t>
            </w:r>
            <w:hyperlink r:id="rId15" w:history="1">
              <w:r w:rsidRPr="0097073D">
                <w:rPr>
                  <w:rStyle w:val="Hyperlink"/>
                </w:rPr>
                <w:t>2021</w:t>
              </w:r>
            </w:hyperlink>
            <w:r>
              <w:t>)</w:t>
            </w:r>
          </w:p>
          <w:p w14:paraId="19FA7D03" w14:textId="77777777" w:rsidR="008D71B5" w:rsidRDefault="008D71B5" w:rsidP="008D71B5">
            <w:pPr>
              <w:pStyle w:val="ListBullet"/>
              <w:jc w:val="both"/>
            </w:pPr>
            <w:r>
              <w:t>NERC San Fernando Disturbance Report (</w:t>
            </w:r>
            <w:hyperlink r:id="rId16" w:history="1">
              <w:r w:rsidRPr="0097073D">
                <w:rPr>
                  <w:rStyle w:val="Hyperlink"/>
                </w:rPr>
                <w:t>2020</w:t>
              </w:r>
            </w:hyperlink>
            <w:r>
              <w:t>)</w:t>
            </w:r>
          </w:p>
          <w:p w14:paraId="399AAAFD" w14:textId="77777777" w:rsidR="008D71B5" w:rsidRDefault="008D71B5" w:rsidP="008D71B5">
            <w:pPr>
              <w:pStyle w:val="ListBullet"/>
              <w:jc w:val="both"/>
            </w:pPr>
            <w:r>
              <w:t>NERC Palmdale Roost and Angeles Forest Disturbances Report (</w:t>
            </w:r>
            <w:hyperlink r:id="rId17" w:history="1">
              <w:r w:rsidRPr="0097073D">
                <w:rPr>
                  <w:rStyle w:val="Hyperlink"/>
                </w:rPr>
                <w:t>2019</w:t>
              </w:r>
            </w:hyperlink>
            <w:r>
              <w:t>)</w:t>
            </w:r>
          </w:p>
          <w:p w14:paraId="7D9E9003" w14:textId="77777777" w:rsidR="008D71B5" w:rsidRDefault="008D71B5" w:rsidP="008D71B5">
            <w:pPr>
              <w:pStyle w:val="ListBullet"/>
              <w:jc w:val="both"/>
            </w:pPr>
            <w:r>
              <w:t>NERC Canyon 2 Fire Disturbance Report (</w:t>
            </w:r>
            <w:hyperlink r:id="rId18" w:history="1">
              <w:r w:rsidRPr="0097073D">
                <w:rPr>
                  <w:rStyle w:val="Hyperlink"/>
                </w:rPr>
                <w:t>2018</w:t>
              </w:r>
            </w:hyperlink>
            <w:r>
              <w:t>)</w:t>
            </w:r>
          </w:p>
          <w:p w14:paraId="4707B6B4" w14:textId="77777777" w:rsidR="008D71B5" w:rsidRDefault="008D71B5" w:rsidP="008D71B5">
            <w:pPr>
              <w:pStyle w:val="ListBullet"/>
              <w:jc w:val="both"/>
            </w:pPr>
            <w:r>
              <w:t>NERC Blue Cut Fire Disturbance Report (</w:t>
            </w:r>
            <w:hyperlink r:id="rId19" w:history="1">
              <w:r>
                <w:rPr>
                  <w:rStyle w:val="Hyperlink"/>
                </w:rPr>
                <w:t>2017</w:t>
              </w:r>
            </w:hyperlink>
            <w:r>
              <w:t>)</w:t>
            </w:r>
          </w:p>
          <w:p w14:paraId="54D31941" w14:textId="005C4783" w:rsidR="008D71B5" w:rsidRDefault="008D71B5" w:rsidP="00E1254E"/>
          <w:p w14:paraId="6F3014F9" w14:textId="1C8B8A53" w:rsidR="008D71B5" w:rsidRDefault="008D71B5" w:rsidP="00E1254E">
            <w:r>
              <w:t>NERC Reliability Guideline: Improvements to Interconnection Requirements for BPS-Connected Inverter-Based Resources (</w:t>
            </w:r>
            <w:hyperlink r:id="rId20" w:history="1">
              <w:r w:rsidRPr="008D71B5">
                <w:rPr>
                  <w:rStyle w:val="Hyperlink"/>
                </w:rPr>
                <w:t>2019</w:t>
              </w:r>
            </w:hyperlink>
            <w:r>
              <w:t xml:space="preserve">), developed by the NERC Inverter-Based Resource Performance Working Group (IRPWG) and endorsed by the NERC Planning Committee, specifically recommends that all Transmission Owners (TOs) per FAC-001 establish </w:t>
            </w:r>
            <w:r w:rsidR="003F2FB8">
              <w:t>or improve interconnection requirements by including quantitative requirements related to ride-through performance. Below is an excerpt from this guideline:</w:t>
            </w:r>
          </w:p>
          <w:p w14:paraId="1C5FCEAC" w14:textId="6112795E" w:rsidR="008D71B5" w:rsidRDefault="008D71B5" w:rsidP="00E1254E"/>
          <w:p w14:paraId="096ECC27" w14:textId="00983444" w:rsidR="008D71B5" w:rsidRPr="003F2FB8" w:rsidRDefault="008D71B5" w:rsidP="007B6755">
            <w:pPr>
              <w:jc w:val="both"/>
              <w:rPr>
                <w:i/>
              </w:rPr>
            </w:pPr>
            <w:r w:rsidRPr="003F2FB8">
              <w:rPr>
                <w:i/>
              </w:rPr>
              <w:t>Quantitative requirements ensure that resources behave in a manner that supports BPS reliability and also assists the GOs and inverter manufacturers in specifying equipment to meet these requirements. These requirements may involve a performance envelope (FRT capability) that must be met by the resource, typically derived based on interconnection studies, grid codes, Reliability Standards, and other factors deemed necessary by the TO. Having these requirements ensures that the resources, particularly inverter-</w:t>
            </w:r>
            <w:r w:rsidRPr="003F2FB8">
              <w:rPr>
                <w:i/>
              </w:rPr>
              <w:lastRenderedPageBreak/>
              <w:t>based resources, are unlikely to operate in a mode that has not been previously studied. Examples of these quantitative performance requirements include, but are not limited to, the following:</w:t>
            </w:r>
          </w:p>
          <w:p w14:paraId="1CECD649" w14:textId="645B82C1" w:rsidR="008D71B5" w:rsidRPr="003F2FB8" w:rsidRDefault="008D71B5" w:rsidP="007B6755">
            <w:pPr>
              <w:pStyle w:val="ListParagraph"/>
              <w:numPr>
                <w:ilvl w:val="0"/>
                <w:numId w:val="34"/>
              </w:numPr>
              <w:jc w:val="both"/>
              <w:rPr>
                <w:i/>
              </w:rPr>
            </w:pPr>
            <w:r w:rsidRPr="003F2FB8">
              <w:rPr>
                <w:i/>
              </w:rPr>
              <w:t>Pre- and post-fault short-circuit strength (equivalent impedance or short-circuit ratio (SCR)-based metric)) for worst case contingency conditions</w:t>
            </w:r>
          </w:p>
          <w:p w14:paraId="44E56717" w14:textId="42EF2E7E" w:rsidR="008D71B5" w:rsidRPr="003F2FB8" w:rsidRDefault="008D71B5" w:rsidP="008D71B5">
            <w:pPr>
              <w:pStyle w:val="ListParagraph"/>
              <w:numPr>
                <w:ilvl w:val="0"/>
                <w:numId w:val="34"/>
              </w:numPr>
              <w:rPr>
                <w:i/>
              </w:rPr>
            </w:pPr>
            <w:r w:rsidRPr="003F2FB8">
              <w:rPr>
                <w:i/>
              </w:rPr>
              <w:t>RMS low voltage ride-through and high voltage ride-through</w:t>
            </w:r>
          </w:p>
          <w:p w14:paraId="2FB0BC84" w14:textId="175F70EA" w:rsidR="008D71B5" w:rsidRPr="003F2FB8" w:rsidRDefault="008D71B5" w:rsidP="008D71B5">
            <w:pPr>
              <w:pStyle w:val="ListParagraph"/>
              <w:numPr>
                <w:ilvl w:val="0"/>
                <w:numId w:val="34"/>
              </w:numPr>
              <w:rPr>
                <w:i/>
              </w:rPr>
            </w:pPr>
            <w:r w:rsidRPr="003F2FB8">
              <w:rPr>
                <w:i/>
              </w:rPr>
              <w:t>Instantaneous transient overvoltage</w:t>
            </w:r>
          </w:p>
          <w:p w14:paraId="2A3CE1A8" w14:textId="34BD100D" w:rsidR="008D71B5" w:rsidRPr="003F2FB8" w:rsidRDefault="008D71B5" w:rsidP="008D71B5">
            <w:pPr>
              <w:pStyle w:val="ListParagraph"/>
              <w:numPr>
                <w:ilvl w:val="0"/>
                <w:numId w:val="34"/>
              </w:numPr>
              <w:rPr>
                <w:i/>
              </w:rPr>
            </w:pPr>
            <w:r w:rsidRPr="003F2FB8">
              <w:rPr>
                <w:i/>
              </w:rPr>
              <w:t>Instantaneous change in phase angle</w:t>
            </w:r>
          </w:p>
          <w:p w14:paraId="7CA9AB5E" w14:textId="0D952688" w:rsidR="008D71B5" w:rsidRPr="003F2FB8" w:rsidRDefault="008D71B5" w:rsidP="008D71B5">
            <w:pPr>
              <w:pStyle w:val="ListParagraph"/>
              <w:numPr>
                <w:ilvl w:val="0"/>
                <w:numId w:val="34"/>
              </w:numPr>
              <w:rPr>
                <w:i/>
              </w:rPr>
            </w:pPr>
            <w:r w:rsidRPr="003F2FB8">
              <w:rPr>
                <w:i/>
              </w:rPr>
              <w:t>Low frequency ride-through and high frequency ride-through</w:t>
            </w:r>
          </w:p>
          <w:p w14:paraId="1CC6F5C6" w14:textId="151B21C2" w:rsidR="008D71B5" w:rsidRPr="003F2FB8" w:rsidRDefault="008D71B5" w:rsidP="008D71B5">
            <w:pPr>
              <w:pStyle w:val="ListParagraph"/>
              <w:numPr>
                <w:ilvl w:val="0"/>
                <w:numId w:val="34"/>
              </w:numPr>
              <w:rPr>
                <w:i/>
              </w:rPr>
            </w:pPr>
            <w:r w:rsidRPr="003F2FB8">
              <w:rPr>
                <w:i/>
              </w:rPr>
              <w:t>No use of momentary cessation, by exception only</w:t>
            </w:r>
          </w:p>
          <w:p w14:paraId="1608041E" w14:textId="77777777" w:rsidR="003F2FB8" w:rsidRDefault="003F2FB8" w:rsidP="003F2FB8">
            <w:pPr>
              <w:ind w:right="320"/>
              <w:rPr>
                <w:rFonts w:ascii="Calibri" w:eastAsia="MS Mincho" w:hAnsi="Calibri"/>
              </w:rPr>
            </w:pPr>
          </w:p>
          <w:p w14:paraId="41D06DE5" w14:textId="77777777" w:rsidR="003F2FB8" w:rsidRDefault="003F2FB8" w:rsidP="007B6755">
            <w:pPr>
              <w:ind w:right="320"/>
              <w:jc w:val="both"/>
              <w:rPr>
                <w:rFonts w:ascii="Calibri" w:eastAsia="MS Mincho" w:hAnsi="Calibri"/>
              </w:rPr>
            </w:pPr>
            <w:r>
              <w:rPr>
                <w:rFonts w:ascii="Calibri" w:eastAsia="MS Mincho" w:hAnsi="Calibri"/>
              </w:rPr>
              <w:t>These deliverables developed by the ERO Enterprise and its stakeholder groups serve as a strong technical basis for ensuring resources successfully ride through grid disturbances and support the BPS by providing essential reliability services moving forward.</w:t>
            </w:r>
          </w:p>
          <w:p w14:paraId="38D4D5F7" w14:textId="0ABE4E59" w:rsidR="004A0671" w:rsidRPr="00E84A22" w:rsidRDefault="004A0671" w:rsidP="007B6755">
            <w:pPr>
              <w:ind w:right="320"/>
              <w:jc w:val="both"/>
              <w:rPr>
                <w:rFonts w:ascii="Calibri" w:eastAsia="MS Mincho" w:hAnsi="Calibri"/>
              </w:rPr>
            </w:pPr>
          </w:p>
        </w:tc>
      </w:tr>
      <w:tr w:rsidR="00770017" w:rsidRPr="00770017" w14:paraId="264B9A78" w14:textId="77777777" w:rsidTr="007F1DB6">
        <w:tc>
          <w:tcPr>
            <w:tcW w:w="10395" w:type="dxa"/>
            <w:gridSpan w:val="7"/>
            <w:shd w:val="clear" w:color="auto" w:fill="C6D9F1"/>
            <w:vAlign w:val="center"/>
          </w:tcPr>
          <w:p w14:paraId="0C0E93DF" w14:textId="77777777" w:rsidR="00770017" w:rsidRPr="00770017" w:rsidRDefault="00770017" w:rsidP="00770017">
            <w:pPr>
              <w:rPr>
                <w:rFonts w:ascii="Calibri" w:eastAsia="MS Mincho" w:hAnsi="Calibri"/>
              </w:rPr>
            </w:pPr>
            <w:r w:rsidRPr="00770017">
              <w:rPr>
                <w:rFonts w:ascii="Calibri" w:eastAsia="MS Mincho" w:hAnsi="Calibri"/>
              </w:rPr>
              <w:lastRenderedPageBreak/>
              <w:t xml:space="preserve">Cost Impact Assessment, if known (Provide a paragraph describing the </w:t>
            </w:r>
            <w:r w:rsidRPr="00770017">
              <w:rPr>
                <w:rFonts w:ascii="Calibri" w:eastAsia="MS Mincho" w:hAnsi="Calibri"/>
                <w:color w:val="000000"/>
              </w:rPr>
              <w:t xml:space="preserve">potential cost </w:t>
            </w:r>
            <w:r w:rsidRPr="00770017">
              <w:rPr>
                <w:rFonts w:ascii="Calibri" w:eastAsia="MS Mincho" w:hAnsi="Calibri"/>
              </w:rPr>
              <w:t xml:space="preserve">impacts associated with the proposed project): </w:t>
            </w:r>
          </w:p>
        </w:tc>
      </w:tr>
      <w:tr w:rsidR="00770017" w:rsidRPr="00770017" w14:paraId="4EF47667" w14:textId="77777777" w:rsidTr="007F1DB6">
        <w:tc>
          <w:tcPr>
            <w:tcW w:w="10395" w:type="dxa"/>
            <w:gridSpan w:val="7"/>
            <w:shd w:val="clear" w:color="auto" w:fill="auto"/>
            <w:vAlign w:val="center"/>
          </w:tcPr>
          <w:p w14:paraId="41922FDB" w14:textId="15C8B64D" w:rsidR="00770017" w:rsidRDefault="007B6755" w:rsidP="007B6755">
            <w:pPr>
              <w:jc w:val="both"/>
              <w:rPr>
                <w:rFonts w:ascii="Calibri" w:eastAsia="MS Mincho" w:hAnsi="Calibri"/>
              </w:rPr>
            </w:pPr>
            <w:r>
              <w:rPr>
                <w:rFonts w:ascii="Calibri" w:eastAsia="MS Mincho" w:hAnsi="Calibri"/>
              </w:rPr>
              <w:t>Incremental costs are expected for GOs that currently do not analyze the performance of their generating assets following grid disturbances, which has been shown during the NERC disturbance analyses to be a systemic reliability issue for solar PV resources in particular. GOs will need to assess their ride-through capabilities more comprehensively than in the past, which may have some associated costs. Minimal costs are associated with reporting of tripping occurrences. Facilities with abnormal or unexpected trips that can be mitigated with corrective actions will have some incremental costs; however, these improvements will help ensure adequate levels of reliability of the BES. Otherwise, cost impacts for this project are expected to be minimal.</w:t>
            </w:r>
          </w:p>
          <w:p w14:paraId="3D71B9DF" w14:textId="47C73D94" w:rsidR="00DA66C5" w:rsidRPr="00770017" w:rsidRDefault="00DA66C5" w:rsidP="00770017">
            <w:pPr>
              <w:rPr>
                <w:rFonts w:ascii="Calibri" w:eastAsia="MS Mincho" w:hAnsi="Calibri"/>
              </w:rPr>
            </w:pPr>
          </w:p>
        </w:tc>
      </w:tr>
      <w:tr w:rsidR="00770017" w:rsidRPr="00770017" w14:paraId="2CBD2412" w14:textId="77777777" w:rsidTr="007F1DB6">
        <w:tc>
          <w:tcPr>
            <w:tcW w:w="10395" w:type="dxa"/>
            <w:gridSpan w:val="7"/>
            <w:shd w:val="clear" w:color="auto" w:fill="C6D9F1"/>
            <w:vAlign w:val="center"/>
          </w:tcPr>
          <w:p w14:paraId="136F37D2" w14:textId="77777777" w:rsidR="00770017" w:rsidRPr="00770017" w:rsidRDefault="00770017" w:rsidP="00770017">
            <w:pPr>
              <w:rPr>
                <w:rFonts w:ascii="Calibri" w:eastAsia="MS Mincho" w:hAnsi="Calibri"/>
              </w:rPr>
            </w:pPr>
            <w:r w:rsidRPr="00770017">
              <w:rPr>
                <w:rFonts w:ascii="Calibri" w:eastAsia="MS Mincho" w:hAnsi="Calibri"/>
              </w:rPr>
              <w:t>Please describe any unique characteristics of the BES facilities that may be impacted by this proposed standard development project (</w:t>
            </w:r>
            <w:r w:rsidRPr="00770017">
              <w:rPr>
                <w:rFonts w:ascii="Calibri" w:eastAsia="MS Mincho" w:hAnsi="Calibri"/>
                <w:i/>
              </w:rPr>
              <w:t>e.g</w:t>
            </w:r>
            <w:r w:rsidRPr="00770017">
              <w:rPr>
                <w:rFonts w:ascii="Calibri" w:eastAsia="MS Mincho" w:hAnsi="Calibri"/>
              </w:rPr>
              <w:t>., Dispersed Generation Resources):</w:t>
            </w:r>
          </w:p>
        </w:tc>
      </w:tr>
      <w:tr w:rsidR="00770017" w:rsidRPr="00770017" w14:paraId="5A4BCCB3" w14:textId="77777777" w:rsidTr="007F1DB6">
        <w:tc>
          <w:tcPr>
            <w:tcW w:w="10395" w:type="dxa"/>
            <w:gridSpan w:val="7"/>
            <w:shd w:val="clear" w:color="auto" w:fill="auto"/>
            <w:vAlign w:val="center"/>
          </w:tcPr>
          <w:p w14:paraId="293C4721" w14:textId="1E48AC6C" w:rsidR="00770017" w:rsidRDefault="007B6755" w:rsidP="00770017">
            <w:pPr>
              <w:rPr>
                <w:rFonts w:ascii="Calibri" w:eastAsia="MS Mincho" w:hAnsi="Calibri"/>
              </w:rPr>
            </w:pPr>
            <w:r>
              <w:rPr>
                <w:rFonts w:ascii="Calibri" w:eastAsia="MS Mincho" w:hAnsi="Calibri"/>
              </w:rPr>
              <w:t>BES generating resources.</w:t>
            </w:r>
          </w:p>
          <w:p w14:paraId="6F1D8387" w14:textId="300E2208" w:rsidR="00DA66C5" w:rsidRPr="00770017" w:rsidRDefault="00DA66C5" w:rsidP="00770017">
            <w:pPr>
              <w:rPr>
                <w:rFonts w:ascii="Calibri" w:eastAsia="MS Mincho" w:hAnsi="Calibri"/>
              </w:rPr>
            </w:pPr>
          </w:p>
        </w:tc>
      </w:tr>
      <w:tr w:rsidR="00770017" w:rsidRPr="00770017" w14:paraId="6D3E674C" w14:textId="77777777" w:rsidTr="007F1DB6">
        <w:tc>
          <w:tcPr>
            <w:tcW w:w="10395" w:type="dxa"/>
            <w:gridSpan w:val="7"/>
            <w:shd w:val="clear" w:color="auto" w:fill="C6D9F1"/>
            <w:vAlign w:val="center"/>
          </w:tcPr>
          <w:p w14:paraId="28F8D635" w14:textId="77777777" w:rsidR="00770017" w:rsidRPr="00770017" w:rsidRDefault="00770017" w:rsidP="00770017">
            <w:pPr>
              <w:rPr>
                <w:rFonts w:ascii="Calibri" w:eastAsia="MS Mincho" w:hAnsi="Calibri"/>
              </w:rPr>
            </w:pPr>
            <w:r w:rsidRPr="00770017">
              <w:rPr>
                <w:rFonts w:ascii="Calibri" w:eastAsia="MS Mincho" w:hAnsi="Calibri"/>
              </w:rPr>
              <w:t>To assist the NERC Standards Committee in appointing a drafting team with the appropriate members, please indicate to which Functional Entities the proposed standard(s) should apply (</w:t>
            </w:r>
            <w:r w:rsidRPr="00770017">
              <w:rPr>
                <w:rFonts w:ascii="Calibri" w:eastAsia="MS Mincho" w:hAnsi="Calibri"/>
                <w:i/>
              </w:rPr>
              <w:t>e.g</w:t>
            </w:r>
            <w:r w:rsidRPr="00770017">
              <w:rPr>
                <w:rFonts w:ascii="Calibri" w:eastAsia="MS Mincho" w:hAnsi="Calibri"/>
              </w:rPr>
              <w:t>., Transmission Operator, Reliability Coordinator, etc</w:t>
            </w:r>
            <w:r w:rsidRPr="00770017">
              <w:rPr>
                <w:rFonts w:ascii="Calibri" w:eastAsia="MS Mincho" w:hAnsi="Calibri"/>
                <w:color w:val="000000"/>
              </w:rPr>
              <w:t>. See the most recent version of the NERC Functional Model for definitions):</w:t>
            </w:r>
          </w:p>
        </w:tc>
      </w:tr>
      <w:tr w:rsidR="00770017" w:rsidRPr="00770017" w14:paraId="42005C1B" w14:textId="77777777" w:rsidTr="007F1DB6">
        <w:tc>
          <w:tcPr>
            <w:tcW w:w="10395" w:type="dxa"/>
            <w:gridSpan w:val="7"/>
            <w:vAlign w:val="center"/>
          </w:tcPr>
          <w:p w14:paraId="6D428166" w14:textId="18EAB659" w:rsidR="00E1254E" w:rsidRDefault="007B6755" w:rsidP="007B6755">
            <w:pPr>
              <w:jc w:val="both"/>
              <w:rPr>
                <w:rFonts w:ascii="Calibri" w:eastAsia="MS Mincho" w:hAnsi="Calibri"/>
              </w:rPr>
            </w:pPr>
            <w:r>
              <w:rPr>
                <w:rFonts w:ascii="Calibri" w:eastAsia="MS Mincho" w:hAnsi="Calibri"/>
              </w:rPr>
              <w:t>Generator Owners, Generator Operators, Reliability Coordinators, Transmission Operators, Transmission Owners, Transmission Planners, Planning Coordinators</w:t>
            </w:r>
          </w:p>
          <w:p w14:paraId="0E0DC9B8" w14:textId="2D6F334E" w:rsidR="00770017" w:rsidRPr="00770017" w:rsidRDefault="00770017" w:rsidP="00770017">
            <w:pPr>
              <w:rPr>
                <w:rFonts w:ascii="Calibri" w:eastAsia="MS Mincho" w:hAnsi="Calibri"/>
              </w:rPr>
            </w:pPr>
          </w:p>
        </w:tc>
      </w:tr>
      <w:tr w:rsidR="00770017" w:rsidRPr="00770017" w14:paraId="2975E1C4" w14:textId="77777777" w:rsidTr="007F1DB6">
        <w:tc>
          <w:tcPr>
            <w:tcW w:w="10395" w:type="dxa"/>
            <w:gridSpan w:val="7"/>
            <w:shd w:val="clear" w:color="auto" w:fill="C6D9F1"/>
            <w:vAlign w:val="center"/>
          </w:tcPr>
          <w:p w14:paraId="22DA3D7E" w14:textId="77777777" w:rsidR="00770017" w:rsidRPr="00770017" w:rsidRDefault="00770017" w:rsidP="00770017">
            <w:pPr>
              <w:rPr>
                <w:rFonts w:ascii="Calibri" w:eastAsia="MS Mincho" w:hAnsi="Calibri"/>
              </w:rPr>
            </w:pPr>
            <w:r w:rsidRPr="00770017">
              <w:rPr>
                <w:rFonts w:ascii="Calibri" w:eastAsia="MS Mincho" w:hAnsi="Calibri"/>
              </w:rPr>
              <w:t>Do you know of any consensus building activities</w:t>
            </w:r>
            <w:r w:rsidRPr="00770017">
              <w:rPr>
                <w:rFonts w:ascii="Calibri" w:eastAsia="MS Mincho" w:hAnsi="Calibri"/>
                <w:vertAlign w:val="superscript"/>
              </w:rPr>
              <w:footnoteReference w:id="2"/>
            </w:r>
            <w:r w:rsidRPr="00770017">
              <w:rPr>
                <w:rFonts w:ascii="Calibri" w:eastAsia="MS Mincho" w:hAnsi="Calibri"/>
              </w:rPr>
              <w:t xml:space="preserve"> in connection with this SAR?  If so, please provide any recommendations or findings resulting from the consensus building activity.</w:t>
            </w:r>
          </w:p>
        </w:tc>
      </w:tr>
      <w:tr w:rsidR="00770017" w:rsidRPr="00770017" w14:paraId="30DC3D4D" w14:textId="77777777" w:rsidTr="007F1DB6">
        <w:tc>
          <w:tcPr>
            <w:tcW w:w="10395" w:type="dxa"/>
            <w:gridSpan w:val="7"/>
            <w:vAlign w:val="center"/>
          </w:tcPr>
          <w:p w14:paraId="2A2B506F" w14:textId="6148CCE0" w:rsidR="00E1734B" w:rsidRPr="007B6755" w:rsidRDefault="007B6755" w:rsidP="007B6755">
            <w:pPr>
              <w:jc w:val="both"/>
              <w:rPr>
                <w:rFonts w:ascii="Calibri" w:eastAsia="MS Mincho" w:hAnsi="Calibri"/>
              </w:rPr>
            </w:pPr>
            <w:r>
              <w:rPr>
                <w:rFonts w:ascii="Calibri" w:eastAsia="MS Mincho" w:hAnsi="Calibri"/>
              </w:rPr>
              <w:lastRenderedPageBreak/>
              <w:t xml:space="preserve">This SAR is an outcome of ongoing analyses conducted by the ERO Enterprise regarding widespread inverter-based resource tripping events. Furthermore, the NERC IRPWG has developed comprehensive recommendations for improved performance of inverter-based resources, including the recommendation to develop comprehensive ride-through requirements. </w:t>
            </w:r>
          </w:p>
          <w:p w14:paraId="2A62F19F" w14:textId="2DBDEEA7" w:rsidR="00DA66C5" w:rsidRPr="00770017" w:rsidRDefault="00DA66C5" w:rsidP="00306EDF">
            <w:pPr>
              <w:rPr>
                <w:rFonts w:ascii="Calibri" w:eastAsia="MS Mincho" w:hAnsi="Calibri"/>
              </w:rPr>
            </w:pPr>
          </w:p>
        </w:tc>
      </w:tr>
      <w:tr w:rsidR="00770017" w:rsidRPr="00770017" w14:paraId="06CF25DB" w14:textId="77777777" w:rsidTr="007F1DB6">
        <w:tc>
          <w:tcPr>
            <w:tcW w:w="10395" w:type="dxa"/>
            <w:gridSpan w:val="7"/>
            <w:shd w:val="clear" w:color="auto" w:fill="C6D9F1"/>
            <w:vAlign w:val="center"/>
          </w:tcPr>
          <w:p w14:paraId="0C2872F7" w14:textId="77777777" w:rsidR="00770017" w:rsidRPr="00770017" w:rsidRDefault="00770017" w:rsidP="00770017">
            <w:pPr>
              <w:rPr>
                <w:rFonts w:ascii="Calibri" w:eastAsia="MS Mincho" w:hAnsi="Calibri"/>
              </w:rPr>
            </w:pPr>
            <w:r w:rsidRPr="00770017">
              <w:rPr>
                <w:rFonts w:ascii="Calibri" w:eastAsia="MS Mincho" w:hAnsi="Calibri"/>
              </w:rPr>
              <w:t>Are there any related standards or SARs that should be assessed for impact as a result of this proposed project?  If so, which standard(s) or project number(s)?</w:t>
            </w:r>
          </w:p>
        </w:tc>
      </w:tr>
      <w:tr w:rsidR="00770017" w:rsidRPr="00770017" w14:paraId="1E9265B6" w14:textId="77777777" w:rsidTr="007F1DB6">
        <w:tc>
          <w:tcPr>
            <w:tcW w:w="10395" w:type="dxa"/>
            <w:gridSpan w:val="7"/>
            <w:vAlign w:val="center"/>
          </w:tcPr>
          <w:p w14:paraId="483A95D1" w14:textId="0C46A96B" w:rsidR="00770017" w:rsidRDefault="00DA66C5" w:rsidP="00770017">
            <w:pPr>
              <w:rPr>
                <w:rFonts w:ascii="Calibri" w:eastAsia="MS Mincho" w:hAnsi="Calibri"/>
              </w:rPr>
            </w:pPr>
            <w:r>
              <w:rPr>
                <w:rFonts w:ascii="Calibri" w:eastAsia="MS Mincho" w:hAnsi="Calibri"/>
              </w:rPr>
              <w:t>No</w:t>
            </w:r>
            <w:r w:rsidR="004A0671">
              <w:rPr>
                <w:rFonts w:ascii="Calibri" w:eastAsia="MS Mincho" w:hAnsi="Calibri"/>
              </w:rPr>
              <w:t>.</w:t>
            </w:r>
          </w:p>
          <w:p w14:paraId="53EBF7E8" w14:textId="6A5489E2" w:rsidR="00DA66C5" w:rsidRPr="00770017" w:rsidRDefault="00DA66C5" w:rsidP="00770017">
            <w:pPr>
              <w:rPr>
                <w:rFonts w:ascii="Calibri" w:eastAsia="MS Mincho" w:hAnsi="Calibri"/>
              </w:rPr>
            </w:pPr>
          </w:p>
        </w:tc>
      </w:tr>
      <w:tr w:rsidR="00770017" w:rsidRPr="00770017" w14:paraId="59DEE6D8" w14:textId="77777777" w:rsidTr="007F1DB6">
        <w:tc>
          <w:tcPr>
            <w:tcW w:w="10395" w:type="dxa"/>
            <w:gridSpan w:val="7"/>
            <w:shd w:val="clear" w:color="auto" w:fill="C6D9F1"/>
            <w:vAlign w:val="center"/>
          </w:tcPr>
          <w:p w14:paraId="7154B634" w14:textId="77777777" w:rsidR="00770017" w:rsidRPr="00770017" w:rsidRDefault="00770017" w:rsidP="00770017">
            <w:pPr>
              <w:rPr>
                <w:rFonts w:ascii="Calibri" w:eastAsia="MS Mincho" w:hAnsi="Calibri"/>
              </w:rPr>
            </w:pPr>
            <w:r w:rsidRPr="00770017">
              <w:rPr>
                <w:rFonts w:ascii="Calibri" w:eastAsia="MS Mincho" w:hAnsi="Calibri"/>
              </w:rPr>
              <w:t>Are there alternatives (e.g., guidelines, white paper, alerts, etc.) that have been considered or could meet the objectives? If so, please list the alternatives.</w:t>
            </w:r>
          </w:p>
        </w:tc>
      </w:tr>
      <w:tr w:rsidR="00DA66C5" w:rsidRPr="00770017" w14:paraId="2ED127A9" w14:textId="77777777" w:rsidTr="00DA66C5">
        <w:tc>
          <w:tcPr>
            <w:tcW w:w="10395" w:type="dxa"/>
            <w:gridSpan w:val="7"/>
            <w:shd w:val="clear" w:color="auto" w:fill="auto"/>
            <w:vAlign w:val="center"/>
          </w:tcPr>
          <w:p w14:paraId="5A1565CB" w14:textId="6B61AB8C" w:rsidR="00DA66C5" w:rsidRPr="00E1734B" w:rsidRDefault="007B6755" w:rsidP="007B6755">
            <w:pPr>
              <w:jc w:val="both"/>
              <w:rPr>
                <w:rFonts w:ascii="Calibri" w:eastAsia="MS Mincho" w:hAnsi="Calibri"/>
              </w:rPr>
            </w:pPr>
            <w:r>
              <w:rPr>
                <w:rFonts w:ascii="Calibri" w:eastAsia="MS Mincho" w:hAnsi="Calibri"/>
              </w:rPr>
              <w:t xml:space="preserve">NERC has evaluated industry progress toward adopting the recommendations outlined in NERC guidelines, white papers, its prior Alerts, and other industry efforts. NERC believes that a nationwide standard for consistent requirements for generating resource ride-through is necessary to immediately address generating resource ride-through during grid disturbances moving forward. </w:t>
            </w:r>
          </w:p>
          <w:p w14:paraId="2F280EEB" w14:textId="55272724" w:rsidR="00E1734B" w:rsidRPr="00B806F7" w:rsidRDefault="00E1734B" w:rsidP="00E1734B">
            <w:pPr>
              <w:rPr>
                <w:rFonts w:ascii="Calibri" w:eastAsia="MS Mincho" w:hAnsi="Calibri"/>
                <w:highlight w:val="yellow"/>
              </w:rPr>
            </w:pPr>
          </w:p>
        </w:tc>
      </w:tr>
      <w:tr w:rsidR="00770017" w:rsidRPr="00770017" w14:paraId="07BF8CE1" w14:textId="77777777" w:rsidTr="007F1DB6">
        <w:trPr>
          <w:gridAfter w:val="1"/>
          <w:wAfter w:w="13" w:type="dxa"/>
          <w:tblHeader/>
        </w:trPr>
        <w:tc>
          <w:tcPr>
            <w:tcW w:w="10400" w:type="dxa"/>
            <w:gridSpan w:val="6"/>
            <w:shd w:val="clear" w:color="auto" w:fill="204C81"/>
          </w:tcPr>
          <w:p w14:paraId="6C9ABFDE" w14:textId="77777777" w:rsidR="00770017" w:rsidRPr="00770017" w:rsidRDefault="00770017" w:rsidP="00770017">
            <w:pPr>
              <w:jc w:val="center"/>
              <w:rPr>
                <w:rFonts w:ascii="Tahoma" w:hAnsi="Tahoma" w:cs="Tahoma"/>
                <w:b/>
                <w:color w:val="FFFFFF"/>
              </w:rPr>
            </w:pPr>
            <w:r w:rsidRPr="00770017">
              <w:rPr>
                <w:rFonts w:ascii="Tahoma" w:hAnsi="Tahoma" w:cs="Tahoma"/>
                <w:b/>
                <w:color w:val="FFFFFF"/>
              </w:rPr>
              <w:t>Reliability Principles</w:t>
            </w:r>
          </w:p>
        </w:tc>
      </w:tr>
      <w:tr w:rsidR="00770017" w:rsidRPr="00770017" w14:paraId="54DF4045" w14:textId="77777777" w:rsidTr="007F1DB6">
        <w:trPr>
          <w:gridAfter w:val="1"/>
          <w:wAfter w:w="13" w:type="dxa"/>
        </w:trPr>
        <w:tc>
          <w:tcPr>
            <w:tcW w:w="10400" w:type="dxa"/>
            <w:gridSpan w:val="6"/>
            <w:shd w:val="clear" w:color="auto" w:fill="C6D9F1"/>
          </w:tcPr>
          <w:p w14:paraId="5A8C5680" w14:textId="77777777" w:rsidR="00770017" w:rsidRPr="00770017" w:rsidRDefault="00770017" w:rsidP="00770017">
            <w:pPr>
              <w:keepNext/>
              <w:rPr>
                <w:rFonts w:ascii="Calibri" w:eastAsia="MS Mincho" w:hAnsi="Calibri" w:cs="Tahoma"/>
              </w:rPr>
            </w:pPr>
            <w:r w:rsidRPr="00770017">
              <w:rPr>
                <w:rFonts w:ascii="Calibri" w:eastAsia="MS Mincho" w:hAnsi="Calibri" w:cs="Tahoma"/>
              </w:rPr>
              <w:t>Does this proposed standard development project support at least one of the following Reliability Princip</w:t>
            </w:r>
            <w:r w:rsidRPr="00770017">
              <w:rPr>
                <w:rFonts w:ascii="Calibri" w:eastAsia="MS Mincho" w:hAnsi="Calibri" w:cs="Calibri"/>
              </w:rPr>
              <w:t>les (</w:t>
            </w:r>
            <w:hyperlink r:id="rId21" w:history="1">
              <w:r w:rsidRPr="00770017">
                <w:rPr>
                  <w:rFonts w:ascii="Calibri" w:hAnsi="Calibri" w:cs="Calibri"/>
                  <w:color w:val="0000FF"/>
                  <w:u w:val="single"/>
                </w:rPr>
                <w:t>Reliability Interface Principles</w:t>
              </w:r>
            </w:hyperlink>
            <w:r w:rsidRPr="00770017">
              <w:rPr>
                <w:rFonts w:ascii="Calibri" w:hAnsi="Calibri" w:cs="Calibri"/>
              </w:rPr>
              <w:t>)</w:t>
            </w:r>
            <w:r w:rsidRPr="00770017">
              <w:rPr>
                <w:rFonts w:ascii="Calibri" w:eastAsia="MS Mincho" w:hAnsi="Calibri" w:cs="Calibri"/>
              </w:rPr>
              <w:t>? Please check all those that apply.</w:t>
            </w:r>
          </w:p>
        </w:tc>
      </w:tr>
      <w:tr w:rsidR="00770017" w:rsidRPr="00770017" w14:paraId="700D32DF" w14:textId="77777777" w:rsidTr="007F1DB6">
        <w:tblPrEx>
          <w:jc w:val="center"/>
          <w:tblInd w:w="0" w:type="dxa"/>
        </w:tblPrEx>
        <w:trPr>
          <w:gridAfter w:val="1"/>
          <w:wAfter w:w="13" w:type="dxa"/>
          <w:jc w:val="center"/>
        </w:trPr>
        <w:tc>
          <w:tcPr>
            <w:tcW w:w="568" w:type="dxa"/>
            <w:vAlign w:val="center"/>
          </w:tcPr>
          <w:p w14:paraId="13B173C1" w14:textId="6972CB80" w:rsidR="00770017" w:rsidRPr="00770017" w:rsidRDefault="00F41799" w:rsidP="00770017">
            <w:pPr>
              <w:jc w:val="center"/>
              <w:rPr>
                <w:rFonts w:ascii="Calibri" w:eastAsia="MS Mincho" w:hAnsi="Calibri"/>
              </w:rPr>
            </w:pPr>
            <w:r>
              <w:rPr>
                <w:rFonts w:ascii="Calibri" w:eastAsia="MS Mincho" w:hAnsi="Calibri"/>
              </w:rPr>
              <w:fldChar w:fldCharType="begin">
                <w:ffData>
                  <w:name w:val=""/>
                  <w:enabled/>
                  <w:calcOnExit w:val="0"/>
                  <w:checkBox>
                    <w:sizeAuto/>
                    <w:default w:val="1"/>
                  </w:checkBox>
                </w:ffData>
              </w:fldChar>
            </w:r>
            <w:r>
              <w:rPr>
                <w:rFonts w:ascii="Calibri" w:eastAsia="MS Mincho" w:hAnsi="Calibri"/>
              </w:rPr>
              <w:instrText xml:space="preserve"> FORMCHECKBOX </w:instrText>
            </w:r>
            <w:r w:rsidR="0029084B">
              <w:rPr>
                <w:rFonts w:ascii="Calibri" w:eastAsia="MS Mincho" w:hAnsi="Calibri"/>
              </w:rPr>
            </w:r>
            <w:r w:rsidR="0029084B">
              <w:rPr>
                <w:rFonts w:ascii="Calibri" w:eastAsia="MS Mincho" w:hAnsi="Calibri"/>
              </w:rPr>
              <w:fldChar w:fldCharType="separate"/>
            </w:r>
            <w:r>
              <w:rPr>
                <w:rFonts w:ascii="Calibri" w:eastAsia="MS Mincho" w:hAnsi="Calibri"/>
              </w:rPr>
              <w:fldChar w:fldCharType="end"/>
            </w:r>
          </w:p>
        </w:tc>
        <w:tc>
          <w:tcPr>
            <w:tcW w:w="9832" w:type="dxa"/>
            <w:gridSpan w:val="5"/>
          </w:tcPr>
          <w:p w14:paraId="19B2810B" w14:textId="77777777" w:rsidR="00770017" w:rsidRPr="00770017" w:rsidRDefault="00770017" w:rsidP="00770017">
            <w:pPr>
              <w:numPr>
                <w:ilvl w:val="0"/>
                <w:numId w:val="25"/>
              </w:numPr>
              <w:spacing w:before="120" w:after="120"/>
              <w:ind w:left="390"/>
              <w:contextualSpacing/>
              <w:rPr>
                <w:rFonts w:ascii="Calibri" w:eastAsia="MS Mincho" w:hAnsi="Calibri"/>
              </w:rPr>
            </w:pPr>
            <w:r w:rsidRPr="00770017">
              <w:rPr>
                <w:rFonts w:ascii="Calibri" w:eastAsia="MS Mincho" w:hAnsi="Calibri"/>
              </w:rPr>
              <w:t>Interconnected bulk power systems shall be planned and operated in a coordinated manner to perform reliably under normal and abnormal conditions as defined in the NERC Standards.</w:t>
            </w:r>
          </w:p>
        </w:tc>
      </w:tr>
      <w:tr w:rsidR="00770017" w:rsidRPr="00770017" w14:paraId="4C6F89F9" w14:textId="77777777" w:rsidTr="007F1DB6">
        <w:tblPrEx>
          <w:jc w:val="center"/>
          <w:tblInd w:w="0" w:type="dxa"/>
        </w:tblPrEx>
        <w:trPr>
          <w:gridAfter w:val="1"/>
          <w:wAfter w:w="13" w:type="dxa"/>
          <w:jc w:val="center"/>
        </w:trPr>
        <w:tc>
          <w:tcPr>
            <w:tcW w:w="568" w:type="dxa"/>
            <w:vAlign w:val="center"/>
          </w:tcPr>
          <w:p w14:paraId="456597D6" w14:textId="06E86759" w:rsidR="00770017" w:rsidRPr="00770017" w:rsidRDefault="0029084B" w:rsidP="00770017">
            <w:pPr>
              <w:jc w:val="center"/>
              <w:rPr>
                <w:rFonts w:ascii="Calibri" w:eastAsia="MS Mincho" w:hAnsi="Calibri"/>
              </w:rPr>
            </w:pPr>
            <w:r>
              <w:rPr>
                <w:rFonts w:ascii="Calibri" w:eastAsia="MS Mincho" w:hAnsi="Calibri"/>
              </w:rPr>
              <w:fldChar w:fldCharType="begin">
                <w:ffData>
                  <w:name w:val=""/>
                  <w:enabled/>
                  <w:calcOnExit w:val="0"/>
                  <w:checkBox>
                    <w:sizeAuto/>
                    <w:default w:val="1"/>
                  </w:checkBox>
                </w:ffData>
              </w:fldChar>
            </w:r>
            <w:r>
              <w:rPr>
                <w:rFonts w:ascii="Calibri" w:eastAsia="MS Mincho" w:hAnsi="Calibri"/>
              </w:rPr>
              <w:instrText xml:space="preserve"> FORMCHECKBOX </w:instrText>
            </w:r>
            <w:r>
              <w:rPr>
                <w:rFonts w:ascii="Calibri" w:eastAsia="MS Mincho" w:hAnsi="Calibri"/>
              </w:rPr>
            </w:r>
            <w:r>
              <w:rPr>
                <w:rFonts w:ascii="Calibri" w:eastAsia="MS Mincho" w:hAnsi="Calibri"/>
              </w:rPr>
              <w:fldChar w:fldCharType="end"/>
            </w:r>
          </w:p>
        </w:tc>
        <w:tc>
          <w:tcPr>
            <w:tcW w:w="9832" w:type="dxa"/>
            <w:gridSpan w:val="5"/>
          </w:tcPr>
          <w:p w14:paraId="657ECC46" w14:textId="77777777" w:rsidR="00770017" w:rsidRPr="00770017" w:rsidRDefault="00770017" w:rsidP="00770017">
            <w:pPr>
              <w:numPr>
                <w:ilvl w:val="0"/>
                <w:numId w:val="25"/>
              </w:numPr>
              <w:spacing w:before="120" w:after="120"/>
              <w:ind w:left="390"/>
              <w:contextualSpacing/>
              <w:rPr>
                <w:rFonts w:ascii="Calibri" w:eastAsia="MS Mincho" w:hAnsi="Calibri"/>
              </w:rPr>
            </w:pPr>
            <w:r w:rsidRPr="00770017">
              <w:rPr>
                <w:rFonts w:ascii="Calibri" w:eastAsia="MS Mincho" w:hAnsi="Calibri"/>
              </w:rPr>
              <w:t>The frequency and voltage of interconnected bulk power systems shall be controlled within defined limits through the balancing of real and reactive power supply and demand.</w:t>
            </w:r>
          </w:p>
        </w:tc>
      </w:tr>
      <w:tr w:rsidR="00770017" w:rsidRPr="00770017" w14:paraId="0B9A5164" w14:textId="77777777" w:rsidTr="007F1DB6">
        <w:tblPrEx>
          <w:jc w:val="center"/>
          <w:tblInd w:w="0" w:type="dxa"/>
        </w:tblPrEx>
        <w:trPr>
          <w:gridAfter w:val="1"/>
          <w:wAfter w:w="13" w:type="dxa"/>
          <w:jc w:val="center"/>
        </w:trPr>
        <w:tc>
          <w:tcPr>
            <w:tcW w:w="568" w:type="dxa"/>
            <w:vAlign w:val="center"/>
          </w:tcPr>
          <w:p w14:paraId="6E0CE88D" w14:textId="7EE275E2" w:rsidR="00770017" w:rsidRPr="00770017" w:rsidRDefault="00E84A22" w:rsidP="00770017">
            <w:pPr>
              <w:jc w:val="center"/>
              <w:rPr>
                <w:rFonts w:ascii="Calibri" w:eastAsia="MS Mincho" w:hAnsi="Calibri"/>
              </w:rPr>
            </w:pPr>
            <w:r>
              <w:rPr>
                <w:rFonts w:ascii="Calibri" w:eastAsia="MS Mincho" w:hAnsi="Calibri"/>
              </w:rPr>
              <w:fldChar w:fldCharType="begin">
                <w:ffData>
                  <w:name w:val=""/>
                  <w:enabled/>
                  <w:calcOnExit w:val="0"/>
                  <w:checkBox>
                    <w:sizeAuto/>
                    <w:default w:val="1"/>
                  </w:checkBox>
                </w:ffData>
              </w:fldChar>
            </w:r>
            <w:r>
              <w:rPr>
                <w:rFonts w:ascii="Calibri" w:eastAsia="MS Mincho" w:hAnsi="Calibri"/>
              </w:rPr>
              <w:instrText xml:space="preserve"> FORMCHECKBOX </w:instrText>
            </w:r>
            <w:r w:rsidR="0029084B">
              <w:rPr>
                <w:rFonts w:ascii="Calibri" w:eastAsia="MS Mincho" w:hAnsi="Calibri"/>
              </w:rPr>
            </w:r>
            <w:r w:rsidR="0029084B">
              <w:rPr>
                <w:rFonts w:ascii="Calibri" w:eastAsia="MS Mincho" w:hAnsi="Calibri"/>
              </w:rPr>
              <w:fldChar w:fldCharType="separate"/>
            </w:r>
            <w:r>
              <w:rPr>
                <w:rFonts w:ascii="Calibri" w:eastAsia="MS Mincho" w:hAnsi="Calibri"/>
              </w:rPr>
              <w:fldChar w:fldCharType="end"/>
            </w:r>
          </w:p>
        </w:tc>
        <w:tc>
          <w:tcPr>
            <w:tcW w:w="9832" w:type="dxa"/>
            <w:gridSpan w:val="5"/>
          </w:tcPr>
          <w:p w14:paraId="004253ED" w14:textId="77777777" w:rsidR="00770017" w:rsidRPr="00770017" w:rsidRDefault="00770017" w:rsidP="00770017">
            <w:pPr>
              <w:numPr>
                <w:ilvl w:val="0"/>
                <w:numId w:val="25"/>
              </w:numPr>
              <w:spacing w:before="120" w:after="120"/>
              <w:ind w:left="390"/>
              <w:contextualSpacing/>
              <w:rPr>
                <w:rFonts w:ascii="Calibri" w:eastAsia="MS Mincho" w:hAnsi="Calibri"/>
              </w:rPr>
            </w:pPr>
            <w:r w:rsidRPr="00770017">
              <w:rPr>
                <w:rFonts w:ascii="Calibri" w:eastAsia="MS Mincho" w:hAnsi="Calibri"/>
              </w:rPr>
              <w:t>Information necessary for the planning and operation of interconnected bulk power systems shall be made available to those entities responsible for planning and operating the systems reliably.</w:t>
            </w:r>
            <w:bookmarkStart w:id="1" w:name="_GoBack"/>
            <w:bookmarkEnd w:id="1"/>
          </w:p>
        </w:tc>
      </w:tr>
      <w:tr w:rsidR="00770017" w:rsidRPr="00770017" w14:paraId="3EED53F1" w14:textId="77777777" w:rsidTr="007F1DB6">
        <w:tblPrEx>
          <w:jc w:val="center"/>
          <w:tblInd w:w="0" w:type="dxa"/>
        </w:tblPrEx>
        <w:trPr>
          <w:gridAfter w:val="1"/>
          <w:wAfter w:w="13" w:type="dxa"/>
          <w:jc w:val="center"/>
        </w:trPr>
        <w:tc>
          <w:tcPr>
            <w:tcW w:w="568" w:type="dxa"/>
            <w:vAlign w:val="center"/>
          </w:tcPr>
          <w:p w14:paraId="3A3115D6" w14:textId="77777777" w:rsidR="00770017" w:rsidRPr="00770017" w:rsidRDefault="00770017" w:rsidP="00770017">
            <w:pPr>
              <w:jc w:val="cente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0029084B">
              <w:rPr>
                <w:rFonts w:ascii="Calibri" w:eastAsia="MS Mincho" w:hAnsi="Calibri"/>
              </w:rPr>
            </w:r>
            <w:r w:rsidR="0029084B">
              <w:rPr>
                <w:rFonts w:ascii="Calibri" w:eastAsia="MS Mincho" w:hAnsi="Calibri"/>
              </w:rPr>
              <w:fldChar w:fldCharType="separate"/>
            </w:r>
            <w:r w:rsidRPr="00770017">
              <w:rPr>
                <w:rFonts w:ascii="Calibri" w:eastAsia="MS Mincho" w:hAnsi="Calibri"/>
              </w:rPr>
              <w:fldChar w:fldCharType="end"/>
            </w:r>
          </w:p>
        </w:tc>
        <w:tc>
          <w:tcPr>
            <w:tcW w:w="9832" w:type="dxa"/>
            <w:gridSpan w:val="5"/>
          </w:tcPr>
          <w:p w14:paraId="081F96EA" w14:textId="77777777" w:rsidR="00770017" w:rsidRPr="00770017" w:rsidRDefault="00770017" w:rsidP="00770017">
            <w:pPr>
              <w:numPr>
                <w:ilvl w:val="0"/>
                <w:numId w:val="25"/>
              </w:numPr>
              <w:spacing w:before="120" w:after="120"/>
              <w:ind w:left="390"/>
              <w:contextualSpacing/>
              <w:rPr>
                <w:rFonts w:ascii="Calibri" w:eastAsia="MS Mincho" w:hAnsi="Calibri"/>
              </w:rPr>
            </w:pPr>
            <w:r w:rsidRPr="00770017">
              <w:rPr>
                <w:rFonts w:ascii="Calibri" w:eastAsia="MS Mincho" w:hAnsi="Calibri"/>
              </w:rPr>
              <w:t>Plans for emergency operation and system restoration of interconnected bulk power systems shall be developed, coordinated, maintained and implemented.</w:t>
            </w:r>
          </w:p>
        </w:tc>
      </w:tr>
      <w:tr w:rsidR="00770017" w:rsidRPr="00770017" w14:paraId="09696745" w14:textId="77777777" w:rsidTr="007F1DB6">
        <w:tblPrEx>
          <w:jc w:val="center"/>
          <w:tblInd w:w="0" w:type="dxa"/>
        </w:tblPrEx>
        <w:trPr>
          <w:gridAfter w:val="1"/>
          <w:wAfter w:w="13" w:type="dxa"/>
          <w:jc w:val="center"/>
        </w:trPr>
        <w:tc>
          <w:tcPr>
            <w:tcW w:w="568" w:type="dxa"/>
            <w:vAlign w:val="center"/>
          </w:tcPr>
          <w:p w14:paraId="31BA2296" w14:textId="77777777" w:rsidR="00770017" w:rsidRPr="00770017" w:rsidRDefault="00770017" w:rsidP="00770017">
            <w:pPr>
              <w:jc w:val="cente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0029084B">
              <w:rPr>
                <w:rFonts w:ascii="Calibri" w:eastAsia="MS Mincho" w:hAnsi="Calibri"/>
              </w:rPr>
            </w:r>
            <w:r w:rsidR="0029084B">
              <w:rPr>
                <w:rFonts w:ascii="Calibri" w:eastAsia="MS Mincho" w:hAnsi="Calibri"/>
              </w:rPr>
              <w:fldChar w:fldCharType="separate"/>
            </w:r>
            <w:r w:rsidRPr="00770017">
              <w:rPr>
                <w:rFonts w:ascii="Calibri" w:eastAsia="MS Mincho" w:hAnsi="Calibri"/>
              </w:rPr>
              <w:fldChar w:fldCharType="end"/>
            </w:r>
          </w:p>
        </w:tc>
        <w:tc>
          <w:tcPr>
            <w:tcW w:w="9832" w:type="dxa"/>
            <w:gridSpan w:val="5"/>
          </w:tcPr>
          <w:p w14:paraId="4CCDACC2" w14:textId="77777777" w:rsidR="00770017" w:rsidRPr="00770017" w:rsidRDefault="00770017" w:rsidP="00770017">
            <w:pPr>
              <w:numPr>
                <w:ilvl w:val="0"/>
                <w:numId w:val="25"/>
              </w:numPr>
              <w:spacing w:before="120" w:after="120"/>
              <w:ind w:left="390"/>
              <w:contextualSpacing/>
              <w:rPr>
                <w:rFonts w:ascii="Calibri" w:eastAsia="MS Mincho" w:hAnsi="Calibri"/>
              </w:rPr>
            </w:pPr>
            <w:r w:rsidRPr="00770017">
              <w:rPr>
                <w:rFonts w:ascii="Calibri" w:eastAsia="MS Mincho" w:hAnsi="Calibri"/>
              </w:rPr>
              <w:t>Facilities for communication, monitoring and control shall be provided, used and maintained for the reliability of interconnected bulk power systems.</w:t>
            </w:r>
          </w:p>
        </w:tc>
      </w:tr>
      <w:tr w:rsidR="00770017" w:rsidRPr="00770017" w14:paraId="77522A57" w14:textId="77777777" w:rsidTr="007F1DB6">
        <w:tblPrEx>
          <w:jc w:val="center"/>
          <w:tblInd w:w="0" w:type="dxa"/>
        </w:tblPrEx>
        <w:trPr>
          <w:gridAfter w:val="1"/>
          <w:wAfter w:w="13" w:type="dxa"/>
          <w:jc w:val="center"/>
        </w:trPr>
        <w:tc>
          <w:tcPr>
            <w:tcW w:w="568" w:type="dxa"/>
            <w:vAlign w:val="center"/>
          </w:tcPr>
          <w:p w14:paraId="2BAB7EE9" w14:textId="77777777" w:rsidR="00770017" w:rsidRPr="00770017" w:rsidRDefault="00770017" w:rsidP="00770017">
            <w:pPr>
              <w:jc w:val="cente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0029084B">
              <w:rPr>
                <w:rFonts w:ascii="Calibri" w:eastAsia="MS Mincho" w:hAnsi="Calibri"/>
              </w:rPr>
            </w:r>
            <w:r w:rsidR="0029084B">
              <w:rPr>
                <w:rFonts w:ascii="Calibri" w:eastAsia="MS Mincho" w:hAnsi="Calibri"/>
              </w:rPr>
              <w:fldChar w:fldCharType="separate"/>
            </w:r>
            <w:r w:rsidRPr="00770017">
              <w:rPr>
                <w:rFonts w:ascii="Calibri" w:eastAsia="MS Mincho" w:hAnsi="Calibri"/>
              </w:rPr>
              <w:fldChar w:fldCharType="end"/>
            </w:r>
          </w:p>
        </w:tc>
        <w:tc>
          <w:tcPr>
            <w:tcW w:w="9832" w:type="dxa"/>
            <w:gridSpan w:val="5"/>
          </w:tcPr>
          <w:p w14:paraId="6D307700" w14:textId="77777777" w:rsidR="00770017" w:rsidRPr="00770017" w:rsidRDefault="00770017" w:rsidP="00770017">
            <w:pPr>
              <w:numPr>
                <w:ilvl w:val="0"/>
                <w:numId w:val="25"/>
              </w:numPr>
              <w:spacing w:before="120" w:after="120"/>
              <w:ind w:left="390"/>
              <w:contextualSpacing/>
              <w:rPr>
                <w:rFonts w:ascii="Calibri" w:eastAsia="MS Mincho" w:hAnsi="Calibri"/>
              </w:rPr>
            </w:pPr>
            <w:r w:rsidRPr="00770017">
              <w:rPr>
                <w:rFonts w:ascii="Calibri" w:eastAsia="MS Mincho" w:hAnsi="Calibri"/>
              </w:rPr>
              <w:t>Personnel responsible for planning and operating interconnected bulk power systems shall be trained, qualified, and have the responsibility and authority to implement actions.</w:t>
            </w:r>
          </w:p>
        </w:tc>
      </w:tr>
      <w:tr w:rsidR="00770017" w:rsidRPr="00770017" w14:paraId="1B6239A6" w14:textId="77777777" w:rsidTr="007F1DB6">
        <w:tblPrEx>
          <w:jc w:val="center"/>
          <w:tblInd w:w="0" w:type="dxa"/>
        </w:tblPrEx>
        <w:trPr>
          <w:gridAfter w:val="1"/>
          <w:wAfter w:w="13" w:type="dxa"/>
          <w:jc w:val="center"/>
        </w:trPr>
        <w:tc>
          <w:tcPr>
            <w:tcW w:w="568" w:type="dxa"/>
            <w:vAlign w:val="center"/>
          </w:tcPr>
          <w:p w14:paraId="262F48D0" w14:textId="089E76FB" w:rsidR="00770017" w:rsidRPr="00770017" w:rsidRDefault="00B27300" w:rsidP="00770017">
            <w:pPr>
              <w:jc w:val="center"/>
              <w:rPr>
                <w:rFonts w:ascii="Calibri" w:eastAsia="MS Mincho" w:hAnsi="Calibri"/>
              </w:rPr>
            </w:pPr>
            <w:r>
              <w:rPr>
                <w:rFonts w:ascii="Calibri" w:eastAsia="MS Mincho" w:hAnsi="Calibri"/>
              </w:rPr>
              <w:fldChar w:fldCharType="begin">
                <w:ffData>
                  <w:name w:val=""/>
                  <w:enabled/>
                  <w:calcOnExit w:val="0"/>
                  <w:checkBox>
                    <w:sizeAuto/>
                    <w:default w:val="0"/>
                  </w:checkBox>
                </w:ffData>
              </w:fldChar>
            </w:r>
            <w:r>
              <w:rPr>
                <w:rFonts w:ascii="Calibri" w:eastAsia="MS Mincho" w:hAnsi="Calibri"/>
              </w:rPr>
              <w:instrText xml:space="preserve"> FORMCHECKBOX </w:instrText>
            </w:r>
            <w:r w:rsidR="0029084B">
              <w:rPr>
                <w:rFonts w:ascii="Calibri" w:eastAsia="MS Mincho" w:hAnsi="Calibri"/>
              </w:rPr>
            </w:r>
            <w:r w:rsidR="0029084B">
              <w:rPr>
                <w:rFonts w:ascii="Calibri" w:eastAsia="MS Mincho" w:hAnsi="Calibri"/>
              </w:rPr>
              <w:fldChar w:fldCharType="separate"/>
            </w:r>
            <w:r>
              <w:rPr>
                <w:rFonts w:ascii="Calibri" w:eastAsia="MS Mincho" w:hAnsi="Calibri"/>
              </w:rPr>
              <w:fldChar w:fldCharType="end"/>
            </w:r>
          </w:p>
        </w:tc>
        <w:tc>
          <w:tcPr>
            <w:tcW w:w="9832" w:type="dxa"/>
            <w:gridSpan w:val="5"/>
          </w:tcPr>
          <w:p w14:paraId="7F091B1E" w14:textId="77777777" w:rsidR="00770017" w:rsidRPr="00770017" w:rsidRDefault="00770017" w:rsidP="00770017">
            <w:pPr>
              <w:numPr>
                <w:ilvl w:val="0"/>
                <w:numId w:val="25"/>
              </w:numPr>
              <w:spacing w:before="120" w:after="120"/>
              <w:ind w:left="390"/>
              <w:contextualSpacing/>
              <w:rPr>
                <w:rFonts w:ascii="Calibri" w:eastAsia="MS Mincho" w:hAnsi="Calibri"/>
              </w:rPr>
            </w:pPr>
            <w:r w:rsidRPr="00770017">
              <w:rPr>
                <w:rFonts w:ascii="Calibri" w:eastAsia="MS Mincho" w:hAnsi="Calibri"/>
              </w:rPr>
              <w:t>The security of the interconnected bulk power systems shall be assessed, monitored and maintained on a wide area basis.</w:t>
            </w:r>
          </w:p>
        </w:tc>
      </w:tr>
      <w:tr w:rsidR="00770017" w:rsidRPr="00770017" w14:paraId="1BB65E89" w14:textId="77777777" w:rsidTr="007F1DB6">
        <w:tblPrEx>
          <w:jc w:val="center"/>
          <w:tblInd w:w="0" w:type="dxa"/>
        </w:tblPrEx>
        <w:trPr>
          <w:gridAfter w:val="1"/>
          <w:wAfter w:w="13" w:type="dxa"/>
          <w:jc w:val="center"/>
        </w:trPr>
        <w:tc>
          <w:tcPr>
            <w:tcW w:w="568" w:type="dxa"/>
            <w:vAlign w:val="center"/>
          </w:tcPr>
          <w:p w14:paraId="224A5093" w14:textId="77777777" w:rsidR="00770017" w:rsidRPr="00770017" w:rsidRDefault="00770017" w:rsidP="00770017">
            <w:pPr>
              <w:jc w:val="cente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0029084B">
              <w:rPr>
                <w:rFonts w:ascii="Calibri" w:eastAsia="MS Mincho" w:hAnsi="Calibri"/>
              </w:rPr>
            </w:r>
            <w:r w:rsidR="0029084B">
              <w:rPr>
                <w:rFonts w:ascii="Calibri" w:eastAsia="MS Mincho" w:hAnsi="Calibri"/>
              </w:rPr>
              <w:fldChar w:fldCharType="separate"/>
            </w:r>
            <w:r w:rsidRPr="00770017">
              <w:rPr>
                <w:rFonts w:ascii="Calibri" w:eastAsia="MS Mincho" w:hAnsi="Calibri"/>
              </w:rPr>
              <w:fldChar w:fldCharType="end"/>
            </w:r>
          </w:p>
        </w:tc>
        <w:tc>
          <w:tcPr>
            <w:tcW w:w="9832" w:type="dxa"/>
            <w:gridSpan w:val="5"/>
          </w:tcPr>
          <w:p w14:paraId="1801E4E2" w14:textId="77777777" w:rsidR="00770017" w:rsidRPr="00770017" w:rsidRDefault="00770017" w:rsidP="00770017">
            <w:pPr>
              <w:numPr>
                <w:ilvl w:val="0"/>
                <w:numId w:val="25"/>
              </w:numPr>
              <w:spacing w:before="120" w:after="120"/>
              <w:ind w:left="390"/>
              <w:contextualSpacing/>
              <w:rPr>
                <w:rFonts w:ascii="Calibri" w:eastAsia="MS Mincho" w:hAnsi="Calibri"/>
              </w:rPr>
            </w:pPr>
            <w:r w:rsidRPr="00770017">
              <w:rPr>
                <w:rFonts w:ascii="Calibri" w:eastAsia="MS Mincho" w:hAnsi="Calibri"/>
              </w:rPr>
              <w:t xml:space="preserve">Bulk power systems shall be protected from malicious physical or </w:t>
            </w:r>
            <w:proofErr w:type="spellStart"/>
            <w:r w:rsidRPr="00770017">
              <w:rPr>
                <w:rFonts w:ascii="Calibri" w:eastAsia="MS Mincho" w:hAnsi="Calibri"/>
              </w:rPr>
              <w:t>cyber attacks</w:t>
            </w:r>
            <w:proofErr w:type="spellEnd"/>
            <w:r w:rsidRPr="00770017">
              <w:rPr>
                <w:rFonts w:ascii="Calibri" w:eastAsia="MS Mincho" w:hAnsi="Calibri"/>
              </w:rPr>
              <w:t>.</w:t>
            </w:r>
          </w:p>
        </w:tc>
      </w:tr>
    </w:tbl>
    <w:p w14:paraId="3E557C98" w14:textId="77777777" w:rsidR="00770017" w:rsidRPr="00770017" w:rsidRDefault="00770017" w:rsidP="00770017">
      <w:pPr>
        <w:rPr>
          <w:rFonts w:ascii="Calibri" w:eastAsia="MS Mincho" w:hAnsi="Calibri"/>
        </w:rPr>
      </w:pPr>
    </w:p>
    <w:tbl>
      <w:tblPr>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5"/>
        <w:gridCol w:w="1515"/>
      </w:tblGrid>
      <w:tr w:rsidR="00770017" w:rsidRPr="00770017" w14:paraId="530F646E" w14:textId="77777777" w:rsidTr="007F1DB6">
        <w:trPr>
          <w:tblHeader/>
        </w:trPr>
        <w:tc>
          <w:tcPr>
            <w:tcW w:w="10400" w:type="dxa"/>
            <w:gridSpan w:val="2"/>
            <w:shd w:val="clear" w:color="auto" w:fill="204C81"/>
          </w:tcPr>
          <w:p w14:paraId="7099B05A" w14:textId="77777777" w:rsidR="00770017" w:rsidRPr="00770017" w:rsidRDefault="00770017" w:rsidP="00770017">
            <w:pPr>
              <w:jc w:val="center"/>
              <w:rPr>
                <w:rFonts w:ascii="Tahoma" w:hAnsi="Tahoma" w:cs="Tahoma"/>
                <w:b/>
                <w:color w:val="FFFFFF"/>
              </w:rPr>
            </w:pPr>
            <w:r w:rsidRPr="00770017">
              <w:rPr>
                <w:rFonts w:ascii="Tahoma" w:hAnsi="Tahoma" w:cs="Tahoma"/>
                <w:b/>
                <w:color w:val="FFFFFF"/>
              </w:rPr>
              <w:t>Market Interface Principles</w:t>
            </w:r>
          </w:p>
        </w:tc>
      </w:tr>
      <w:tr w:rsidR="00770017" w:rsidRPr="00770017" w14:paraId="5E16502E" w14:textId="77777777" w:rsidTr="007F1DB6">
        <w:tblPrEx>
          <w:jc w:val="center"/>
        </w:tblPrEx>
        <w:trPr>
          <w:jc w:val="center"/>
        </w:trPr>
        <w:tc>
          <w:tcPr>
            <w:tcW w:w="8885" w:type="dxa"/>
            <w:shd w:val="clear" w:color="auto" w:fill="AFCDE3"/>
          </w:tcPr>
          <w:p w14:paraId="108CB3FE" w14:textId="77777777" w:rsidR="00770017" w:rsidRPr="00770017" w:rsidRDefault="00770017" w:rsidP="00770017">
            <w:pPr>
              <w:keepNext/>
              <w:rPr>
                <w:rFonts w:ascii="Calibri" w:eastAsia="MS Mincho" w:hAnsi="Calibri" w:cs="Tahoma"/>
              </w:rPr>
            </w:pPr>
            <w:r w:rsidRPr="00770017">
              <w:rPr>
                <w:rFonts w:ascii="Calibri" w:eastAsia="MS Mincho" w:hAnsi="Calibri" w:cs="Tahoma"/>
              </w:rPr>
              <w:t xml:space="preserve">Does the proposed standard development project comply with all of the following </w:t>
            </w:r>
            <w:hyperlink r:id="rId22" w:history="1">
              <w:r w:rsidRPr="00770017">
                <w:rPr>
                  <w:rFonts w:ascii="Calibri" w:eastAsia="MS Mincho" w:hAnsi="Calibri" w:cs="Tahoma"/>
                  <w:color w:val="0000FF"/>
                  <w:u w:val="single"/>
                </w:rPr>
                <w:t>Market Interface Principles</w:t>
              </w:r>
            </w:hyperlink>
            <w:r w:rsidRPr="00770017">
              <w:rPr>
                <w:rFonts w:ascii="Calibri" w:eastAsia="MS Mincho" w:hAnsi="Calibri" w:cs="Tahoma"/>
              </w:rPr>
              <w:t>?</w:t>
            </w:r>
          </w:p>
        </w:tc>
        <w:tc>
          <w:tcPr>
            <w:tcW w:w="1515" w:type="dxa"/>
            <w:shd w:val="clear" w:color="auto" w:fill="AFCDE3"/>
          </w:tcPr>
          <w:p w14:paraId="00E1DD8F" w14:textId="77777777" w:rsidR="00770017" w:rsidRPr="00770017" w:rsidRDefault="00770017" w:rsidP="00770017">
            <w:pPr>
              <w:keepNext/>
              <w:jc w:val="center"/>
              <w:rPr>
                <w:rFonts w:ascii="Calibri" w:eastAsia="MS Mincho" w:hAnsi="Calibri" w:cs="Tahoma"/>
              </w:rPr>
            </w:pPr>
            <w:r w:rsidRPr="00770017">
              <w:rPr>
                <w:rFonts w:ascii="Calibri" w:eastAsia="MS Mincho" w:hAnsi="Calibri" w:cs="Tahoma"/>
              </w:rPr>
              <w:t>Enter</w:t>
            </w:r>
          </w:p>
          <w:p w14:paraId="73FD78F5" w14:textId="77777777" w:rsidR="00770017" w:rsidRPr="00770017" w:rsidRDefault="00770017" w:rsidP="00770017">
            <w:pPr>
              <w:keepNext/>
              <w:jc w:val="center"/>
              <w:rPr>
                <w:rFonts w:ascii="Calibri" w:eastAsia="MS Mincho" w:hAnsi="Calibri" w:cs="Tahoma"/>
              </w:rPr>
            </w:pPr>
            <w:r w:rsidRPr="00770017">
              <w:rPr>
                <w:rFonts w:ascii="Calibri" w:eastAsia="MS Mincho" w:hAnsi="Calibri" w:cs="Tahoma"/>
              </w:rPr>
              <w:t>(yes/no)</w:t>
            </w:r>
          </w:p>
        </w:tc>
      </w:tr>
      <w:tr w:rsidR="00AA4B9D" w:rsidRPr="00770017" w14:paraId="6068F56F" w14:textId="77777777" w:rsidTr="007F1DB6">
        <w:tblPrEx>
          <w:jc w:val="center"/>
        </w:tblPrEx>
        <w:trPr>
          <w:jc w:val="center"/>
        </w:trPr>
        <w:tc>
          <w:tcPr>
            <w:tcW w:w="8885" w:type="dxa"/>
            <w:vAlign w:val="center"/>
          </w:tcPr>
          <w:p w14:paraId="190EDFC9" w14:textId="77777777" w:rsidR="00AA4B9D" w:rsidRPr="00770017" w:rsidRDefault="00AA4B9D" w:rsidP="00AA4B9D">
            <w:pPr>
              <w:numPr>
                <w:ilvl w:val="0"/>
                <w:numId w:val="26"/>
              </w:numPr>
              <w:spacing w:before="120" w:after="120"/>
              <w:contextualSpacing/>
              <w:rPr>
                <w:rFonts w:ascii="Calibri" w:eastAsia="MS Mincho" w:hAnsi="Calibri"/>
              </w:rPr>
            </w:pPr>
            <w:r w:rsidRPr="00770017">
              <w:rPr>
                <w:rFonts w:ascii="Calibri" w:eastAsia="MS Mincho" w:hAnsi="Calibri"/>
              </w:rPr>
              <w:t>A reliability standard shall not give any market participant an unfair competitive advantage.</w:t>
            </w:r>
          </w:p>
        </w:tc>
        <w:tc>
          <w:tcPr>
            <w:tcW w:w="1515" w:type="dxa"/>
            <w:vAlign w:val="center"/>
          </w:tcPr>
          <w:p w14:paraId="6AABEB26" w14:textId="07A74C10" w:rsidR="00AA4B9D" w:rsidRPr="00770017" w:rsidRDefault="00AA4B9D" w:rsidP="00AA4B9D">
            <w:pPr>
              <w:rPr>
                <w:rFonts w:ascii="Calibri" w:eastAsia="MS Mincho" w:hAnsi="Calibri"/>
              </w:rPr>
            </w:pPr>
            <w:r>
              <w:rPr>
                <w:rFonts w:ascii="Calibri" w:eastAsia="MS Mincho" w:hAnsi="Calibri"/>
              </w:rPr>
              <w:t>Yes</w:t>
            </w:r>
          </w:p>
        </w:tc>
      </w:tr>
      <w:tr w:rsidR="00AA4B9D" w:rsidRPr="00770017" w14:paraId="2C76D606" w14:textId="77777777" w:rsidTr="007F1DB6">
        <w:tblPrEx>
          <w:jc w:val="center"/>
        </w:tblPrEx>
        <w:trPr>
          <w:jc w:val="center"/>
        </w:trPr>
        <w:tc>
          <w:tcPr>
            <w:tcW w:w="8885" w:type="dxa"/>
            <w:vAlign w:val="center"/>
          </w:tcPr>
          <w:p w14:paraId="359C7AFE" w14:textId="77777777" w:rsidR="00AA4B9D" w:rsidRPr="00770017" w:rsidRDefault="00AA4B9D" w:rsidP="00AA4B9D">
            <w:pPr>
              <w:numPr>
                <w:ilvl w:val="0"/>
                <w:numId w:val="26"/>
              </w:numPr>
              <w:spacing w:before="120" w:after="120"/>
              <w:contextualSpacing/>
              <w:rPr>
                <w:rFonts w:ascii="Calibri" w:eastAsia="MS Mincho" w:hAnsi="Calibri"/>
              </w:rPr>
            </w:pPr>
            <w:r w:rsidRPr="00770017">
              <w:rPr>
                <w:rFonts w:ascii="Calibri" w:eastAsia="MS Mincho" w:hAnsi="Calibri"/>
              </w:rPr>
              <w:lastRenderedPageBreak/>
              <w:t>A reliability standard shall neither mandate nor prohibit any specific market structure.</w:t>
            </w:r>
          </w:p>
        </w:tc>
        <w:tc>
          <w:tcPr>
            <w:tcW w:w="1515" w:type="dxa"/>
            <w:vAlign w:val="center"/>
          </w:tcPr>
          <w:p w14:paraId="4F2729AE" w14:textId="381DC0FA" w:rsidR="00AA4B9D" w:rsidRPr="00770017" w:rsidRDefault="00AA4B9D" w:rsidP="00AA4B9D">
            <w:pPr>
              <w:rPr>
                <w:rFonts w:ascii="Calibri" w:eastAsia="MS Mincho" w:hAnsi="Calibri"/>
              </w:rPr>
            </w:pPr>
            <w:r>
              <w:rPr>
                <w:rFonts w:ascii="Calibri" w:eastAsia="MS Mincho" w:hAnsi="Calibri"/>
              </w:rPr>
              <w:t>Yes</w:t>
            </w:r>
          </w:p>
        </w:tc>
      </w:tr>
      <w:tr w:rsidR="00AA4B9D" w:rsidRPr="00770017" w14:paraId="741D1899" w14:textId="77777777" w:rsidTr="007F1DB6">
        <w:tblPrEx>
          <w:jc w:val="center"/>
        </w:tblPrEx>
        <w:trPr>
          <w:jc w:val="center"/>
        </w:trPr>
        <w:tc>
          <w:tcPr>
            <w:tcW w:w="8885" w:type="dxa"/>
            <w:vAlign w:val="center"/>
          </w:tcPr>
          <w:p w14:paraId="65FD678A" w14:textId="77777777" w:rsidR="00AA4B9D" w:rsidRPr="00770017" w:rsidRDefault="00AA4B9D" w:rsidP="00AA4B9D">
            <w:pPr>
              <w:numPr>
                <w:ilvl w:val="0"/>
                <w:numId w:val="26"/>
              </w:numPr>
              <w:spacing w:before="120" w:after="120"/>
              <w:contextualSpacing/>
              <w:rPr>
                <w:rFonts w:ascii="Calibri" w:eastAsia="MS Mincho" w:hAnsi="Calibri"/>
              </w:rPr>
            </w:pPr>
            <w:r w:rsidRPr="00770017">
              <w:rPr>
                <w:rFonts w:ascii="Calibri" w:eastAsia="MS Mincho" w:hAnsi="Calibri"/>
              </w:rPr>
              <w:t>A reliability standard shall not preclude market solutions to achieving compliance with that standard.</w:t>
            </w:r>
          </w:p>
        </w:tc>
        <w:tc>
          <w:tcPr>
            <w:tcW w:w="1515" w:type="dxa"/>
            <w:vAlign w:val="center"/>
          </w:tcPr>
          <w:p w14:paraId="4579FE49" w14:textId="68811561" w:rsidR="00AA4B9D" w:rsidRPr="00770017" w:rsidRDefault="00AA4B9D" w:rsidP="00AA4B9D">
            <w:pPr>
              <w:rPr>
                <w:rFonts w:ascii="Calibri" w:eastAsia="MS Mincho" w:hAnsi="Calibri"/>
              </w:rPr>
            </w:pPr>
            <w:r>
              <w:rPr>
                <w:rFonts w:ascii="Calibri" w:eastAsia="MS Mincho" w:hAnsi="Calibri"/>
              </w:rPr>
              <w:t>Yes</w:t>
            </w:r>
          </w:p>
        </w:tc>
      </w:tr>
      <w:tr w:rsidR="00AA4B9D" w:rsidRPr="00770017" w14:paraId="0624E3B5" w14:textId="77777777" w:rsidTr="007F1DB6">
        <w:tblPrEx>
          <w:jc w:val="center"/>
        </w:tblPrEx>
        <w:trPr>
          <w:jc w:val="center"/>
        </w:trPr>
        <w:tc>
          <w:tcPr>
            <w:tcW w:w="8885" w:type="dxa"/>
            <w:vAlign w:val="center"/>
          </w:tcPr>
          <w:p w14:paraId="1B459CDF" w14:textId="77777777" w:rsidR="00AA4B9D" w:rsidRPr="00770017" w:rsidRDefault="00AA4B9D" w:rsidP="00AA4B9D">
            <w:pPr>
              <w:numPr>
                <w:ilvl w:val="0"/>
                <w:numId w:val="26"/>
              </w:numPr>
              <w:spacing w:before="120" w:after="120"/>
              <w:contextualSpacing/>
              <w:rPr>
                <w:rFonts w:ascii="Calibri" w:eastAsia="MS Mincho" w:hAnsi="Calibri"/>
              </w:rPr>
            </w:pPr>
            <w:r w:rsidRPr="00770017">
              <w:rPr>
                <w:rFonts w:ascii="Calibri" w:eastAsia="MS Mincho" w:hAnsi="Calibri"/>
              </w:rPr>
              <w:t>A reliability standard shall not require the public disclosure of commercially sensitive information.  All market participants shall have equal opportunity to access commercially non-sensitive information that is required for compliance with reliability standards.</w:t>
            </w:r>
          </w:p>
        </w:tc>
        <w:tc>
          <w:tcPr>
            <w:tcW w:w="1515" w:type="dxa"/>
            <w:vAlign w:val="center"/>
          </w:tcPr>
          <w:p w14:paraId="589FD114" w14:textId="3B1E0CEB" w:rsidR="00AA4B9D" w:rsidRPr="00770017" w:rsidRDefault="00AA4B9D" w:rsidP="00AA4B9D">
            <w:pPr>
              <w:rPr>
                <w:rFonts w:ascii="Calibri" w:eastAsia="MS Mincho" w:hAnsi="Calibri"/>
              </w:rPr>
            </w:pPr>
            <w:r>
              <w:rPr>
                <w:rFonts w:ascii="Calibri" w:eastAsia="MS Mincho" w:hAnsi="Calibri"/>
              </w:rPr>
              <w:t>Yes</w:t>
            </w:r>
          </w:p>
        </w:tc>
      </w:tr>
    </w:tbl>
    <w:p w14:paraId="50403865" w14:textId="77777777" w:rsidR="00770017" w:rsidRPr="00770017" w:rsidRDefault="00770017" w:rsidP="00770017">
      <w:pPr>
        <w:rPr>
          <w:rFonts w:ascii="Calibri" w:eastAsia="MS Mincho" w:hAnsi="Calibri"/>
        </w:rPr>
      </w:pP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557"/>
      </w:tblGrid>
      <w:tr w:rsidR="00770017" w:rsidRPr="00770017" w14:paraId="52AAF238" w14:textId="77777777" w:rsidTr="007F1DB6">
        <w:trPr>
          <w:tblHeader/>
        </w:trPr>
        <w:tc>
          <w:tcPr>
            <w:tcW w:w="10395" w:type="dxa"/>
            <w:gridSpan w:val="2"/>
            <w:shd w:val="clear" w:color="auto" w:fill="204C81"/>
          </w:tcPr>
          <w:p w14:paraId="4AC069E2" w14:textId="77777777" w:rsidR="00770017" w:rsidRPr="00770017" w:rsidRDefault="00770017" w:rsidP="00770017">
            <w:pPr>
              <w:jc w:val="center"/>
              <w:rPr>
                <w:rFonts w:ascii="Tahoma" w:eastAsia="MS Mincho" w:hAnsi="Tahoma" w:cs="Tahoma"/>
                <w:b/>
                <w:color w:val="FFFFFF"/>
              </w:rPr>
            </w:pPr>
            <w:r w:rsidRPr="00770017">
              <w:rPr>
                <w:rFonts w:ascii="Tahoma" w:eastAsia="MS Mincho" w:hAnsi="Tahoma" w:cs="Tahoma"/>
                <w:b/>
                <w:color w:val="FFFFFF"/>
              </w:rPr>
              <w:t>Identified Existing or Potential Regional or Interconnection Variances</w:t>
            </w:r>
          </w:p>
        </w:tc>
      </w:tr>
      <w:tr w:rsidR="00770017" w:rsidRPr="00770017" w14:paraId="65C6AA3F" w14:textId="77777777" w:rsidTr="007F1DB6">
        <w:trPr>
          <w:tblHeader/>
        </w:trPr>
        <w:tc>
          <w:tcPr>
            <w:tcW w:w="1838" w:type="dxa"/>
            <w:shd w:val="clear" w:color="auto" w:fill="C6D9F1"/>
          </w:tcPr>
          <w:p w14:paraId="031B3680" w14:textId="77777777" w:rsidR="00770017" w:rsidRPr="00770017" w:rsidRDefault="00770017" w:rsidP="00770017">
            <w:pPr>
              <w:keepNext/>
              <w:jc w:val="center"/>
              <w:rPr>
                <w:rFonts w:ascii="Calibri" w:eastAsia="MS Mincho" w:hAnsi="Calibri" w:cs="Tahoma"/>
              </w:rPr>
            </w:pPr>
            <w:r w:rsidRPr="00770017">
              <w:rPr>
                <w:rFonts w:ascii="Calibri" w:eastAsia="MS Mincho" w:hAnsi="Calibri" w:cs="Tahoma"/>
              </w:rPr>
              <w:t>Region(s)/</w:t>
            </w:r>
          </w:p>
          <w:p w14:paraId="46066C0B" w14:textId="77777777" w:rsidR="00770017" w:rsidRPr="00770017" w:rsidRDefault="00770017" w:rsidP="00770017">
            <w:pPr>
              <w:keepNext/>
              <w:jc w:val="center"/>
              <w:rPr>
                <w:rFonts w:ascii="Calibri" w:eastAsia="MS Mincho" w:hAnsi="Calibri" w:cs="Tahoma"/>
              </w:rPr>
            </w:pPr>
            <w:r w:rsidRPr="00770017">
              <w:rPr>
                <w:rFonts w:ascii="Calibri" w:eastAsia="MS Mincho" w:hAnsi="Calibri" w:cs="Tahoma"/>
              </w:rPr>
              <w:t>Interconnection</w:t>
            </w:r>
          </w:p>
        </w:tc>
        <w:tc>
          <w:tcPr>
            <w:tcW w:w="8557" w:type="dxa"/>
            <w:shd w:val="clear" w:color="auto" w:fill="C6D9F1"/>
          </w:tcPr>
          <w:p w14:paraId="7F6BCDE4" w14:textId="77777777" w:rsidR="00770017" w:rsidRPr="00770017" w:rsidRDefault="00770017" w:rsidP="00770017">
            <w:pPr>
              <w:keepNext/>
              <w:jc w:val="center"/>
              <w:rPr>
                <w:rFonts w:ascii="Calibri" w:eastAsia="MS Mincho" w:hAnsi="Calibri" w:cs="Tahoma"/>
              </w:rPr>
            </w:pPr>
            <w:r w:rsidRPr="00770017">
              <w:rPr>
                <w:rFonts w:ascii="Calibri" w:eastAsia="MS Mincho" w:hAnsi="Calibri" w:cs="Tahoma"/>
              </w:rPr>
              <w:t>Explanation</w:t>
            </w:r>
          </w:p>
        </w:tc>
      </w:tr>
      <w:tr w:rsidR="00770017" w:rsidRPr="00770017" w14:paraId="0417845F" w14:textId="77777777" w:rsidTr="007F1DB6">
        <w:tc>
          <w:tcPr>
            <w:tcW w:w="1838" w:type="dxa"/>
          </w:tcPr>
          <w:p w14:paraId="117E2DFF" w14:textId="00E6AD2F" w:rsidR="00770017" w:rsidRPr="00AA4B9D" w:rsidRDefault="00AA4B9D" w:rsidP="00770017">
            <w:pPr>
              <w:rPr>
                <w:rFonts w:ascii="Calibri" w:eastAsia="MS Mincho" w:hAnsi="Calibri"/>
              </w:rPr>
            </w:pPr>
            <w:r w:rsidRPr="00AA4B9D">
              <w:rPr>
                <w:rFonts w:ascii="Calibri" w:eastAsia="MS Mincho" w:hAnsi="Calibri"/>
              </w:rPr>
              <w:t>None</w:t>
            </w:r>
          </w:p>
        </w:tc>
        <w:tc>
          <w:tcPr>
            <w:tcW w:w="8557" w:type="dxa"/>
          </w:tcPr>
          <w:p w14:paraId="30B753D3" w14:textId="1F06406D" w:rsidR="00770017" w:rsidRPr="00770017" w:rsidRDefault="00AA4B9D" w:rsidP="00770017">
            <w:pPr>
              <w:rPr>
                <w:rFonts w:ascii="Calibri" w:eastAsia="MS Mincho" w:hAnsi="Calibri"/>
              </w:rPr>
            </w:pPr>
            <w:r>
              <w:rPr>
                <w:rFonts w:ascii="Calibri" w:eastAsia="MS Mincho" w:hAnsi="Calibri"/>
              </w:rPr>
              <w:t>None</w:t>
            </w:r>
          </w:p>
        </w:tc>
      </w:tr>
    </w:tbl>
    <w:p w14:paraId="153DE544" w14:textId="77777777" w:rsidR="00770017" w:rsidRPr="00770017" w:rsidRDefault="00770017" w:rsidP="00770017">
      <w:pPr>
        <w:rPr>
          <w:rFonts w:ascii="Calibri" w:eastAsia="MS Mincho" w:hAnsi="Calibri"/>
        </w:rPr>
      </w:pPr>
    </w:p>
    <w:p w14:paraId="02911063" w14:textId="77777777" w:rsidR="00770017" w:rsidRPr="00770017" w:rsidRDefault="00770017" w:rsidP="00770017">
      <w:pPr>
        <w:rPr>
          <w:rFonts w:ascii="Calibri" w:eastAsia="MS Mincho" w:hAnsi="Calibri"/>
        </w:rPr>
      </w:pPr>
    </w:p>
    <w:p w14:paraId="122E5FAA" w14:textId="77777777" w:rsidR="00770017" w:rsidRPr="00770017" w:rsidRDefault="00770017" w:rsidP="00770017">
      <w:pPr>
        <w:jc w:val="center"/>
        <w:rPr>
          <w:rFonts w:ascii="Tahoma" w:eastAsia="MS Gothic" w:hAnsi="Tahoma"/>
          <w:b/>
          <w:color w:val="FFFFFF"/>
          <w:spacing w:val="5"/>
          <w:sz w:val="32"/>
          <w:szCs w:val="32"/>
          <w:lang w:bidi="en-US"/>
        </w:rPr>
      </w:pPr>
      <w:r w:rsidRPr="00770017">
        <w:rPr>
          <w:rFonts w:ascii="Tahoma" w:eastAsia="MS Gothic" w:hAnsi="Tahoma"/>
          <w:b/>
          <w:spacing w:val="5"/>
          <w:sz w:val="32"/>
          <w:szCs w:val="32"/>
          <w:lang w:bidi="en-US"/>
        </w:rPr>
        <w:t>For Use by NERC Only</w:t>
      </w:r>
    </w:p>
    <w:p w14:paraId="1818AAFE" w14:textId="77777777" w:rsidR="00770017" w:rsidRPr="00770017" w:rsidRDefault="00770017" w:rsidP="00770017">
      <w:pPr>
        <w:rPr>
          <w:rFonts w:ascii="Calibri" w:hAnsi="Calibri"/>
        </w:rPr>
      </w:pPr>
    </w:p>
    <w:tbl>
      <w:tblPr>
        <w:tblW w:w="1039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2"/>
        <w:gridCol w:w="5423"/>
      </w:tblGrid>
      <w:tr w:rsidR="00770017" w:rsidRPr="00770017" w14:paraId="0048BBF0" w14:textId="77777777" w:rsidTr="007F1DB6">
        <w:tc>
          <w:tcPr>
            <w:tcW w:w="10395" w:type="dxa"/>
            <w:gridSpan w:val="2"/>
            <w:shd w:val="clear" w:color="auto" w:fill="C6D9F1"/>
            <w:vAlign w:val="center"/>
          </w:tcPr>
          <w:p w14:paraId="05649F87" w14:textId="77777777" w:rsidR="00770017" w:rsidRPr="00770017" w:rsidRDefault="00770017" w:rsidP="00770017">
            <w:pPr>
              <w:keepNext/>
              <w:rPr>
                <w:rFonts w:ascii="Calibri" w:eastAsia="MS Mincho" w:hAnsi="Calibri" w:cs="Tahoma"/>
              </w:rPr>
            </w:pPr>
            <w:r w:rsidRPr="00770017">
              <w:rPr>
                <w:rFonts w:ascii="Calibri" w:hAnsi="Calibri" w:cs="Tahoma"/>
              </w:rPr>
              <w:t>SAR Status Tracking (Check off as appropriate).</w:t>
            </w:r>
          </w:p>
        </w:tc>
      </w:tr>
      <w:tr w:rsidR="00770017" w:rsidRPr="00770017" w14:paraId="35AF30FD" w14:textId="77777777" w:rsidTr="007F1DB6">
        <w:tc>
          <w:tcPr>
            <w:tcW w:w="4972" w:type="dxa"/>
            <w:vAlign w:val="center"/>
          </w:tcPr>
          <w:p w14:paraId="015E9B04"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0029084B">
              <w:rPr>
                <w:rFonts w:ascii="Calibri" w:eastAsia="MS Mincho" w:hAnsi="Calibri"/>
              </w:rPr>
            </w:r>
            <w:r w:rsidR="0029084B">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Draft SAR reviewed by NERC Staff</w:t>
            </w:r>
          </w:p>
          <w:p w14:paraId="256D9E1B"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Check4"/>
                  <w:enabled/>
                  <w:calcOnExit w:val="0"/>
                  <w:checkBox>
                    <w:sizeAuto/>
                    <w:default w:val="0"/>
                    <w:checked w:val="0"/>
                  </w:checkBox>
                </w:ffData>
              </w:fldChar>
            </w:r>
            <w:r w:rsidRPr="00770017">
              <w:rPr>
                <w:rFonts w:ascii="Calibri" w:eastAsia="MS Mincho" w:hAnsi="Calibri"/>
              </w:rPr>
              <w:instrText xml:space="preserve"> FORMCHECKBOX </w:instrText>
            </w:r>
            <w:r w:rsidR="0029084B">
              <w:rPr>
                <w:rFonts w:ascii="Calibri" w:eastAsia="MS Mincho" w:hAnsi="Calibri"/>
              </w:rPr>
            </w:r>
            <w:r w:rsidR="0029084B">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Draft SAR presented to SC for acceptance</w:t>
            </w:r>
          </w:p>
          <w:p w14:paraId="795735C1"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0029084B">
              <w:rPr>
                <w:rFonts w:ascii="Calibri" w:eastAsia="MS Mincho" w:hAnsi="Calibri"/>
              </w:rPr>
            </w:r>
            <w:r w:rsidR="0029084B">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DRAFT SAR approved for posting by the SC</w:t>
            </w:r>
          </w:p>
        </w:tc>
        <w:tc>
          <w:tcPr>
            <w:tcW w:w="5423" w:type="dxa"/>
            <w:vAlign w:val="center"/>
          </w:tcPr>
          <w:p w14:paraId="21B61843"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Check4"/>
                  <w:enabled/>
                  <w:calcOnExit w:val="0"/>
                  <w:checkBox>
                    <w:sizeAuto/>
                    <w:default w:val="0"/>
                  </w:checkBox>
                </w:ffData>
              </w:fldChar>
            </w:r>
            <w:r w:rsidRPr="00770017">
              <w:rPr>
                <w:rFonts w:ascii="Calibri" w:eastAsia="MS Mincho" w:hAnsi="Calibri"/>
              </w:rPr>
              <w:instrText xml:space="preserve"> FORMCHECKBOX </w:instrText>
            </w:r>
            <w:r w:rsidR="0029084B">
              <w:rPr>
                <w:rFonts w:ascii="Calibri" w:eastAsia="MS Mincho" w:hAnsi="Calibri"/>
              </w:rPr>
            </w:r>
            <w:r w:rsidR="0029084B">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Final SAR endorsed by the SC</w:t>
            </w:r>
          </w:p>
          <w:p w14:paraId="61CD9296" w14:textId="77777777" w:rsidR="00770017" w:rsidRPr="00770017" w:rsidRDefault="00770017" w:rsidP="00770017">
            <w:pPr>
              <w:ind w:left="720" w:hanging="720"/>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0029084B">
              <w:rPr>
                <w:rFonts w:ascii="Calibri" w:eastAsia="MS Mincho" w:hAnsi="Calibri"/>
              </w:rPr>
            </w:r>
            <w:r w:rsidR="0029084B">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SAR assigned a Standards Project by NERC</w:t>
            </w:r>
          </w:p>
          <w:p w14:paraId="267D72F0" w14:textId="77777777" w:rsidR="00770017" w:rsidRPr="00770017" w:rsidRDefault="00770017" w:rsidP="00770017">
            <w:pPr>
              <w:ind w:left="567" w:hanging="567"/>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0029084B">
              <w:rPr>
                <w:rFonts w:ascii="Calibri" w:eastAsia="MS Mincho" w:hAnsi="Calibri"/>
              </w:rPr>
            </w:r>
            <w:r w:rsidR="0029084B">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ab/>
              <w:t>SAR denied or proposed as Guidance document</w:t>
            </w:r>
          </w:p>
        </w:tc>
      </w:tr>
    </w:tbl>
    <w:p w14:paraId="1CF71E8C" w14:textId="77777777" w:rsidR="00770017" w:rsidRPr="00770017" w:rsidRDefault="00770017" w:rsidP="00770017">
      <w:pPr>
        <w:rPr>
          <w:rFonts w:ascii="Calibri" w:hAnsi="Calibri"/>
        </w:rPr>
      </w:pPr>
    </w:p>
    <w:p w14:paraId="4F5BA305" w14:textId="77777777" w:rsidR="00770017" w:rsidRPr="00770017" w:rsidRDefault="00770017" w:rsidP="00770017">
      <w:pPr>
        <w:rPr>
          <w:rFonts w:ascii="Calibri" w:hAnsi="Calibri"/>
        </w:rPr>
      </w:pPr>
    </w:p>
    <w:p w14:paraId="0989DF92" w14:textId="77777777" w:rsidR="00770017" w:rsidRPr="00770017" w:rsidRDefault="00770017" w:rsidP="00770017">
      <w:pPr>
        <w:rPr>
          <w:rFonts w:ascii="Calibri" w:hAnsi="Calibri"/>
        </w:rPr>
      </w:pPr>
    </w:p>
    <w:p w14:paraId="095294F9" w14:textId="77777777" w:rsidR="00770017" w:rsidRPr="00770017" w:rsidRDefault="00770017" w:rsidP="00770017">
      <w:pPr>
        <w:keepNext/>
        <w:spacing w:after="240"/>
        <w:outlineLvl w:val="1"/>
        <w:rPr>
          <w:rFonts w:ascii="Calibri" w:hAnsi="Calibri" w:cs="Calibri"/>
          <w:bCs/>
        </w:rPr>
      </w:pPr>
      <w:r w:rsidRPr="00770017">
        <w:rPr>
          <w:rFonts w:ascii="Calibri" w:hAnsi="Calibri" w:cs="Calibri"/>
          <w:b/>
          <w:bCs/>
        </w:rPr>
        <w:t>Version History</w:t>
      </w:r>
    </w:p>
    <w:tbl>
      <w:tblPr>
        <w:tblW w:w="10345" w:type="dxa"/>
        <w:tblLayout w:type="fixed"/>
        <w:tblLook w:val="01E0" w:firstRow="1" w:lastRow="1" w:firstColumn="1" w:lastColumn="1" w:noHBand="0" w:noVBand="0"/>
      </w:tblPr>
      <w:tblGrid>
        <w:gridCol w:w="1368"/>
        <w:gridCol w:w="2066"/>
        <w:gridCol w:w="2951"/>
        <w:gridCol w:w="3960"/>
      </w:tblGrid>
      <w:tr w:rsidR="00770017" w:rsidRPr="00770017" w14:paraId="083A4764" w14:textId="77777777" w:rsidTr="007F1DB6">
        <w:tc>
          <w:tcPr>
            <w:tcW w:w="1368" w:type="dxa"/>
            <w:tcBorders>
              <w:top w:val="single" w:sz="4" w:space="0" w:color="auto"/>
              <w:left w:val="single" w:sz="4" w:space="0" w:color="auto"/>
              <w:bottom w:val="single" w:sz="4" w:space="0" w:color="auto"/>
              <w:right w:val="single" w:sz="4" w:space="0" w:color="auto"/>
            </w:tcBorders>
            <w:shd w:val="clear" w:color="auto" w:fill="E6E6E6"/>
            <w:hideMark/>
          </w:tcPr>
          <w:p w14:paraId="4029B906" w14:textId="77777777" w:rsidR="00770017" w:rsidRPr="00770017" w:rsidRDefault="00770017" w:rsidP="00770017">
            <w:pPr>
              <w:rPr>
                <w:rFonts w:ascii="Tahoma" w:hAnsi="Tahoma" w:cs="Tahoma"/>
                <w:b/>
                <w:sz w:val="22"/>
                <w:szCs w:val="22"/>
              </w:rPr>
            </w:pPr>
            <w:r w:rsidRPr="00770017">
              <w:rPr>
                <w:rFonts w:ascii="Tahoma" w:hAnsi="Tahoma" w:cs="Tahoma"/>
                <w:b/>
                <w:sz w:val="22"/>
                <w:szCs w:val="22"/>
              </w:rPr>
              <w:t>Version</w:t>
            </w:r>
          </w:p>
        </w:tc>
        <w:tc>
          <w:tcPr>
            <w:tcW w:w="2066" w:type="dxa"/>
            <w:tcBorders>
              <w:top w:val="single" w:sz="4" w:space="0" w:color="auto"/>
              <w:left w:val="single" w:sz="4" w:space="0" w:color="auto"/>
              <w:bottom w:val="single" w:sz="4" w:space="0" w:color="auto"/>
              <w:right w:val="single" w:sz="4" w:space="0" w:color="auto"/>
            </w:tcBorders>
            <w:shd w:val="clear" w:color="auto" w:fill="E6E6E6"/>
            <w:hideMark/>
          </w:tcPr>
          <w:p w14:paraId="1BABE73C" w14:textId="77777777" w:rsidR="00770017" w:rsidRPr="00770017" w:rsidRDefault="00770017" w:rsidP="00770017">
            <w:pPr>
              <w:rPr>
                <w:rFonts w:ascii="Tahoma" w:hAnsi="Tahoma" w:cs="Tahoma"/>
                <w:b/>
                <w:sz w:val="22"/>
                <w:szCs w:val="22"/>
              </w:rPr>
            </w:pPr>
            <w:r w:rsidRPr="00770017">
              <w:rPr>
                <w:rFonts w:ascii="Tahoma" w:hAnsi="Tahoma" w:cs="Tahoma"/>
                <w:b/>
                <w:sz w:val="22"/>
                <w:szCs w:val="22"/>
              </w:rPr>
              <w:t>Date</w:t>
            </w:r>
          </w:p>
        </w:tc>
        <w:tc>
          <w:tcPr>
            <w:tcW w:w="2951" w:type="dxa"/>
            <w:tcBorders>
              <w:top w:val="single" w:sz="4" w:space="0" w:color="auto"/>
              <w:left w:val="single" w:sz="4" w:space="0" w:color="auto"/>
              <w:bottom w:val="single" w:sz="4" w:space="0" w:color="auto"/>
              <w:right w:val="single" w:sz="4" w:space="0" w:color="auto"/>
            </w:tcBorders>
            <w:shd w:val="clear" w:color="auto" w:fill="E6E6E6"/>
            <w:hideMark/>
          </w:tcPr>
          <w:p w14:paraId="2CD2AA49" w14:textId="77777777" w:rsidR="00770017" w:rsidRPr="00770017" w:rsidRDefault="00770017" w:rsidP="00770017">
            <w:pPr>
              <w:rPr>
                <w:rFonts w:ascii="Tahoma" w:hAnsi="Tahoma" w:cs="Tahoma"/>
                <w:b/>
                <w:sz w:val="22"/>
                <w:szCs w:val="22"/>
              </w:rPr>
            </w:pPr>
            <w:r w:rsidRPr="00770017">
              <w:rPr>
                <w:rFonts w:ascii="Tahoma" w:hAnsi="Tahoma" w:cs="Tahoma"/>
                <w:b/>
                <w:sz w:val="22"/>
                <w:szCs w:val="22"/>
              </w:rPr>
              <w:t>Owner</w:t>
            </w:r>
          </w:p>
        </w:tc>
        <w:tc>
          <w:tcPr>
            <w:tcW w:w="3960" w:type="dxa"/>
            <w:tcBorders>
              <w:top w:val="single" w:sz="4" w:space="0" w:color="auto"/>
              <w:left w:val="single" w:sz="4" w:space="0" w:color="auto"/>
              <w:bottom w:val="single" w:sz="4" w:space="0" w:color="auto"/>
              <w:right w:val="single" w:sz="4" w:space="0" w:color="auto"/>
            </w:tcBorders>
            <w:shd w:val="clear" w:color="auto" w:fill="E6E6E6"/>
            <w:hideMark/>
          </w:tcPr>
          <w:p w14:paraId="28DB82EB" w14:textId="77777777" w:rsidR="00770017" w:rsidRPr="00770017" w:rsidRDefault="00770017" w:rsidP="00770017">
            <w:pPr>
              <w:rPr>
                <w:rFonts w:ascii="Tahoma" w:hAnsi="Tahoma" w:cs="Tahoma"/>
                <w:b/>
                <w:sz w:val="22"/>
                <w:szCs w:val="22"/>
              </w:rPr>
            </w:pPr>
            <w:r w:rsidRPr="00770017">
              <w:rPr>
                <w:rFonts w:ascii="Tahoma" w:hAnsi="Tahoma" w:cs="Tahoma"/>
                <w:b/>
                <w:sz w:val="22"/>
                <w:szCs w:val="22"/>
              </w:rPr>
              <w:t>Change Tracking</w:t>
            </w:r>
          </w:p>
        </w:tc>
      </w:tr>
      <w:tr w:rsidR="00770017" w:rsidRPr="00770017" w14:paraId="32E3E9C5" w14:textId="77777777" w:rsidTr="007F1DB6">
        <w:tc>
          <w:tcPr>
            <w:tcW w:w="1368" w:type="dxa"/>
            <w:tcBorders>
              <w:top w:val="single" w:sz="4" w:space="0" w:color="auto"/>
              <w:left w:val="single" w:sz="4" w:space="0" w:color="auto"/>
              <w:bottom w:val="single" w:sz="4" w:space="0" w:color="auto"/>
              <w:right w:val="single" w:sz="4" w:space="0" w:color="auto"/>
            </w:tcBorders>
          </w:tcPr>
          <w:p w14:paraId="3ED18EE3" w14:textId="77777777" w:rsidR="00770017" w:rsidRPr="00770017" w:rsidRDefault="00770017" w:rsidP="00770017">
            <w:pPr>
              <w:spacing w:before="60" w:after="60"/>
              <w:jc w:val="center"/>
              <w:rPr>
                <w:rFonts w:ascii="Calibri" w:hAnsi="Calibri"/>
                <w:szCs w:val="22"/>
              </w:rPr>
            </w:pPr>
            <w:r w:rsidRPr="00770017">
              <w:rPr>
                <w:rFonts w:ascii="Calibri" w:hAnsi="Calibri"/>
                <w:szCs w:val="22"/>
              </w:rPr>
              <w:t>1</w:t>
            </w:r>
          </w:p>
        </w:tc>
        <w:tc>
          <w:tcPr>
            <w:tcW w:w="2066" w:type="dxa"/>
            <w:tcBorders>
              <w:top w:val="single" w:sz="4" w:space="0" w:color="auto"/>
              <w:left w:val="single" w:sz="4" w:space="0" w:color="auto"/>
              <w:bottom w:val="single" w:sz="4" w:space="0" w:color="auto"/>
              <w:right w:val="single" w:sz="4" w:space="0" w:color="auto"/>
            </w:tcBorders>
          </w:tcPr>
          <w:p w14:paraId="08635FDA" w14:textId="77777777" w:rsidR="00770017" w:rsidRPr="00770017" w:rsidRDefault="00770017" w:rsidP="00770017">
            <w:pPr>
              <w:spacing w:before="60" w:after="60"/>
              <w:rPr>
                <w:rFonts w:ascii="Calibri" w:hAnsi="Calibri"/>
                <w:szCs w:val="22"/>
              </w:rPr>
            </w:pPr>
            <w:r w:rsidRPr="00770017">
              <w:rPr>
                <w:rFonts w:ascii="Calibri" w:hAnsi="Calibri"/>
                <w:szCs w:val="22"/>
              </w:rPr>
              <w:t>June 3, 2013</w:t>
            </w:r>
          </w:p>
        </w:tc>
        <w:tc>
          <w:tcPr>
            <w:tcW w:w="2951" w:type="dxa"/>
            <w:tcBorders>
              <w:top w:val="single" w:sz="4" w:space="0" w:color="auto"/>
              <w:left w:val="single" w:sz="4" w:space="0" w:color="auto"/>
              <w:bottom w:val="single" w:sz="4" w:space="0" w:color="auto"/>
              <w:right w:val="single" w:sz="4" w:space="0" w:color="auto"/>
            </w:tcBorders>
          </w:tcPr>
          <w:p w14:paraId="6760E950" w14:textId="77777777" w:rsidR="00770017" w:rsidRPr="00770017" w:rsidRDefault="00770017" w:rsidP="00770017">
            <w:pPr>
              <w:spacing w:before="60" w:after="60"/>
              <w:rPr>
                <w:rFonts w:ascii="Calibri" w:hAnsi="Calibri"/>
                <w:szCs w:val="22"/>
              </w:rPr>
            </w:pPr>
          </w:p>
        </w:tc>
        <w:tc>
          <w:tcPr>
            <w:tcW w:w="3960" w:type="dxa"/>
            <w:tcBorders>
              <w:top w:val="single" w:sz="4" w:space="0" w:color="auto"/>
              <w:left w:val="single" w:sz="4" w:space="0" w:color="auto"/>
              <w:bottom w:val="single" w:sz="4" w:space="0" w:color="auto"/>
              <w:right w:val="single" w:sz="4" w:space="0" w:color="auto"/>
            </w:tcBorders>
          </w:tcPr>
          <w:p w14:paraId="0BE387F8" w14:textId="77777777" w:rsidR="00770017" w:rsidRPr="00770017" w:rsidRDefault="00770017" w:rsidP="00770017">
            <w:pPr>
              <w:spacing w:before="60" w:after="60"/>
              <w:rPr>
                <w:rFonts w:ascii="Calibri" w:hAnsi="Calibri"/>
                <w:szCs w:val="22"/>
              </w:rPr>
            </w:pPr>
            <w:r w:rsidRPr="00770017">
              <w:rPr>
                <w:rFonts w:ascii="Calibri" w:hAnsi="Calibri"/>
                <w:szCs w:val="22"/>
              </w:rPr>
              <w:t>Revised</w:t>
            </w:r>
          </w:p>
        </w:tc>
      </w:tr>
      <w:tr w:rsidR="00770017" w:rsidRPr="00770017" w14:paraId="730C148F" w14:textId="77777777" w:rsidTr="007F1DB6">
        <w:tc>
          <w:tcPr>
            <w:tcW w:w="1368" w:type="dxa"/>
            <w:tcBorders>
              <w:top w:val="single" w:sz="4" w:space="0" w:color="auto"/>
              <w:left w:val="single" w:sz="4" w:space="0" w:color="auto"/>
              <w:bottom w:val="single" w:sz="4" w:space="0" w:color="auto"/>
              <w:right w:val="single" w:sz="4" w:space="0" w:color="auto"/>
            </w:tcBorders>
          </w:tcPr>
          <w:p w14:paraId="6C8BF8A4" w14:textId="77777777" w:rsidR="00770017" w:rsidRPr="00770017" w:rsidRDefault="00770017" w:rsidP="00770017">
            <w:pPr>
              <w:spacing w:before="60" w:after="60"/>
              <w:jc w:val="center"/>
              <w:rPr>
                <w:rFonts w:ascii="Calibri" w:hAnsi="Calibri"/>
                <w:szCs w:val="22"/>
              </w:rPr>
            </w:pPr>
            <w:r w:rsidRPr="00770017">
              <w:rPr>
                <w:rFonts w:ascii="Calibri" w:hAnsi="Calibri"/>
                <w:szCs w:val="22"/>
              </w:rPr>
              <w:t>1</w:t>
            </w:r>
          </w:p>
        </w:tc>
        <w:tc>
          <w:tcPr>
            <w:tcW w:w="2066" w:type="dxa"/>
            <w:tcBorders>
              <w:top w:val="single" w:sz="4" w:space="0" w:color="auto"/>
              <w:left w:val="single" w:sz="4" w:space="0" w:color="auto"/>
              <w:bottom w:val="single" w:sz="4" w:space="0" w:color="auto"/>
              <w:right w:val="single" w:sz="4" w:space="0" w:color="auto"/>
            </w:tcBorders>
          </w:tcPr>
          <w:p w14:paraId="50CE8FC2" w14:textId="77777777" w:rsidR="00770017" w:rsidRPr="00770017" w:rsidRDefault="00770017" w:rsidP="00770017">
            <w:pPr>
              <w:spacing w:before="60" w:after="60"/>
              <w:rPr>
                <w:rFonts w:ascii="Calibri" w:hAnsi="Calibri"/>
                <w:szCs w:val="22"/>
              </w:rPr>
            </w:pPr>
            <w:r w:rsidRPr="00770017">
              <w:rPr>
                <w:rFonts w:ascii="Calibri" w:hAnsi="Calibri"/>
                <w:szCs w:val="22"/>
              </w:rPr>
              <w:t>August 29, 2014</w:t>
            </w:r>
          </w:p>
        </w:tc>
        <w:tc>
          <w:tcPr>
            <w:tcW w:w="2951" w:type="dxa"/>
            <w:tcBorders>
              <w:top w:val="single" w:sz="4" w:space="0" w:color="auto"/>
              <w:left w:val="single" w:sz="4" w:space="0" w:color="auto"/>
              <w:bottom w:val="single" w:sz="4" w:space="0" w:color="auto"/>
              <w:right w:val="single" w:sz="4" w:space="0" w:color="auto"/>
            </w:tcBorders>
          </w:tcPr>
          <w:p w14:paraId="1F6DD9C6" w14:textId="77777777" w:rsidR="00770017" w:rsidRPr="00770017" w:rsidRDefault="00770017" w:rsidP="00770017">
            <w:pPr>
              <w:spacing w:before="60" w:after="60"/>
              <w:rPr>
                <w:rFonts w:ascii="Calibri" w:hAnsi="Calibri"/>
                <w:szCs w:val="22"/>
              </w:rPr>
            </w:pPr>
            <w:r w:rsidRPr="00770017">
              <w:rPr>
                <w:rFonts w:ascii="Calibri" w:hAnsi="Calibri"/>
                <w:szCs w:val="22"/>
              </w:rPr>
              <w:t>Standards Information Staff</w:t>
            </w:r>
          </w:p>
        </w:tc>
        <w:tc>
          <w:tcPr>
            <w:tcW w:w="3960" w:type="dxa"/>
            <w:tcBorders>
              <w:top w:val="single" w:sz="4" w:space="0" w:color="auto"/>
              <w:left w:val="single" w:sz="4" w:space="0" w:color="auto"/>
              <w:bottom w:val="single" w:sz="4" w:space="0" w:color="auto"/>
              <w:right w:val="single" w:sz="4" w:space="0" w:color="auto"/>
            </w:tcBorders>
          </w:tcPr>
          <w:p w14:paraId="544841AB" w14:textId="77777777" w:rsidR="00770017" w:rsidRPr="00770017" w:rsidRDefault="00770017" w:rsidP="00770017">
            <w:pPr>
              <w:spacing w:before="60" w:after="60"/>
              <w:rPr>
                <w:rFonts w:ascii="Calibri" w:hAnsi="Calibri"/>
                <w:szCs w:val="22"/>
              </w:rPr>
            </w:pPr>
            <w:r w:rsidRPr="00770017">
              <w:rPr>
                <w:rFonts w:ascii="Calibri" w:hAnsi="Calibri"/>
                <w:szCs w:val="22"/>
              </w:rPr>
              <w:t>Updated template</w:t>
            </w:r>
          </w:p>
        </w:tc>
      </w:tr>
      <w:tr w:rsidR="00770017" w:rsidRPr="00770017" w14:paraId="4B6E2225" w14:textId="77777777" w:rsidTr="007F1DB6">
        <w:tc>
          <w:tcPr>
            <w:tcW w:w="1368" w:type="dxa"/>
            <w:tcBorders>
              <w:top w:val="single" w:sz="4" w:space="0" w:color="auto"/>
              <w:left w:val="single" w:sz="4" w:space="0" w:color="auto"/>
              <w:bottom w:val="single" w:sz="4" w:space="0" w:color="auto"/>
              <w:right w:val="single" w:sz="4" w:space="0" w:color="auto"/>
            </w:tcBorders>
          </w:tcPr>
          <w:p w14:paraId="317DB12E" w14:textId="77777777" w:rsidR="00770017" w:rsidRPr="00770017" w:rsidRDefault="00770017" w:rsidP="00770017">
            <w:pPr>
              <w:spacing w:before="60" w:after="60"/>
              <w:jc w:val="center"/>
              <w:rPr>
                <w:rFonts w:ascii="Calibri" w:hAnsi="Calibri"/>
                <w:szCs w:val="22"/>
              </w:rPr>
            </w:pPr>
            <w:r w:rsidRPr="00770017">
              <w:rPr>
                <w:rFonts w:ascii="Calibri" w:hAnsi="Calibri"/>
                <w:szCs w:val="22"/>
              </w:rPr>
              <w:t>2</w:t>
            </w:r>
          </w:p>
        </w:tc>
        <w:tc>
          <w:tcPr>
            <w:tcW w:w="2066" w:type="dxa"/>
            <w:tcBorders>
              <w:top w:val="single" w:sz="4" w:space="0" w:color="auto"/>
              <w:left w:val="single" w:sz="4" w:space="0" w:color="auto"/>
              <w:bottom w:val="single" w:sz="4" w:space="0" w:color="auto"/>
              <w:right w:val="single" w:sz="4" w:space="0" w:color="auto"/>
            </w:tcBorders>
          </w:tcPr>
          <w:p w14:paraId="3E02F5AC" w14:textId="77777777" w:rsidR="00770017" w:rsidRPr="00770017" w:rsidRDefault="00770017" w:rsidP="00770017">
            <w:pPr>
              <w:spacing w:before="60" w:after="60"/>
              <w:rPr>
                <w:rFonts w:ascii="Calibri" w:hAnsi="Calibri"/>
                <w:szCs w:val="22"/>
              </w:rPr>
            </w:pPr>
            <w:r w:rsidRPr="00770017">
              <w:rPr>
                <w:rFonts w:ascii="Calibri" w:hAnsi="Calibri"/>
                <w:szCs w:val="22"/>
              </w:rPr>
              <w:t xml:space="preserve">January 18, 2017 </w:t>
            </w:r>
          </w:p>
        </w:tc>
        <w:tc>
          <w:tcPr>
            <w:tcW w:w="2951" w:type="dxa"/>
            <w:tcBorders>
              <w:top w:val="single" w:sz="4" w:space="0" w:color="auto"/>
              <w:left w:val="single" w:sz="4" w:space="0" w:color="auto"/>
              <w:bottom w:val="single" w:sz="4" w:space="0" w:color="auto"/>
              <w:right w:val="single" w:sz="4" w:space="0" w:color="auto"/>
            </w:tcBorders>
          </w:tcPr>
          <w:p w14:paraId="129797A9" w14:textId="77777777" w:rsidR="00770017" w:rsidRPr="00770017" w:rsidRDefault="00770017" w:rsidP="00770017">
            <w:pPr>
              <w:spacing w:before="60" w:after="60"/>
              <w:rPr>
                <w:rFonts w:ascii="Calibri" w:hAnsi="Calibri"/>
                <w:szCs w:val="22"/>
              </w:rPr>
            </w:pPr>
            <w:r w:rsidRPr="00770017">
              <w:rPr>
                <w:rFonts w:ascii="Calibri" w:hAnsi="Calibri"/>
                <w:szCs w:val="22"/>
              </w:rPr>
              <w:t>Standards Information Staff</w:t>
            </w:r>
          </w:p>
        </w:tc>
        <w:tc>
          <w:tcPr>
            <w:tcW w:w="3960" w:type="dxa"/>
            <w:tcBorders>
              <w:top w:val="single" w:sz="4" w:space="0" w:color="auto"/>
              <w:left w:val="single" w:sz="4" w:space="0" w:color="auto"/>
              <w:bottom w:val="single" w:sz="4" w:space="0" w:color="auto"/>
              <w:right w:val="single" w:sz="4" w:space="0" w:color="auto"/>
            </w:tcBorders>
          </w:tcPr>
          <w:p w14:paraId="5CA1EF81" w14:textId="77777777" w:rsidR="00770017" w:rsidRPr="00770017" w:rsidRDefault="00770017" w:rsidP="00770017">
            <w:pPr>
              <w:spacing w:before="60" w:after="60"/>
              <w:rPr>
                <w:rFonts w:ascii="Calibri" w:hAnsi="Calibri"/>
                <w:szCs w:val="22"/>
              </w:rPr>
            </w:pPr>
            <w:r w:rsidRPr="00770017">
              <w:rPr>
                <w:rFonts w:ascii="Calibri" w:hAnsi="Calibri"/>
                <w:szCs w:val="22"/>
              </w:rPr>
              <w:t>Revised</w:t>
            </w:r>
          </w:p>
        </w:tc>
      </w:tr>
      <w:tr w:rsidR="00770017" w:rsidRPr="00770017" w14:paraId="4CC2E322" w14:textId="77777777" w:rsidTr="007F1DB6">
        <w:tc>
          <w:tcPr>
            <w:tcW w:w="1368" w:type="dxa"/>
            <w:tcBorders>
              <w:top w:val="single" w:sz="4" w:space="0" w:color="auto"/>
              <w:left w:val="single" w:sz="4" w:space="0" w:color="auto"/>
              <w:bottom w:val="single" w:sz="4" w:space="0" w:color="auto"/>
              <w:right w:val="single" w:sz="4" w:space="0" w:color="auto"/>
            </w:tcBorders>
          </w:tcPr>
          <w:p w14:paraId="5B20D010" w14:textId="77777777" w:rsidR="00770017" w:rsidRPr="00770017" w:rsidRDefault="00770017" w:rsidP="00770017">
            <w:pPr>
              <w:spacing w:before="60" w:after="60"/>
              <w:jc w:val="center"/>
              <w:rPr>
                <w:rFonts w:ascii="Calibri" w:hAnsi="Calibri"/>
                <w:szCs w:val="22"/>
              </w:rPr>
            </w:pPr>
            <w:r w:rsidRPr="00770017">
              <w:rPr>
                <w:rFonts w:ascii="Calibri" w:hAnsi="Calibri"/>
                <w:szCs w:val="22"/>
              </w:rPr>
              <w:t>2</w:t>
            </w:r>
          </w:p>
        </w:tc>
        <w:tc>
          <w:tcPr>
            <w:tcW w:w="2066" w:type="dxa"/>
            <w:tcBorders>
              <w:top w:val="single" w:sz="4" w:space="0" w:color="auto"/>
              <w:left w:val="single" w:sz="4" w:space="0" w:color="auto"/>
              <w:bottom w:val="single" w:sz="4" w:space="0" w:color="auto"/>
              <w:right w:val="single" w:sz="4" w:space="0" w:color="auto"/>
            </w:tcBorders>
          </w:tcPr>
          <w:p w14:paraId="14DAE1DD" w14:textId="77777777" w:rsidR="00770017" w:rsidRPr="00770017" w:rsidRDefault="00770017" w:rsidP="00770017">
            <w:pPr>
              <w:spacing w:before="60" w:after="60"/>
              <w:rPr>
                <w:rFonts w:ascii="Calibri" w:hAnsi="Calibri"/>
                <w:szCs w:val="22"/>
              </w:rPr>
            </w:pPr>
            <w:r w:rsidRPr="00770017">
              <w:rPr>
                <w:rFonts w:ascii="Calibri" w:hAnsi="Calibri"/>
                <w:szCs w:val="22"/>
              </w:rPr>
              <w:t>June 28, 2017</w:t>
            </w:r>
          </w:p>
        </w:tc>
        <w:tc>
          <w:tcPr>
            <w:tcW w:w="2951" w:type="dxa"/>
            <w:tcBorders>
              <w:top w:val="single" w:sz="4" w:space="0" w:color="auto"/>
              <w:left w:val="single" w:sz="4" w:space="0" w:color="auto"/>
              <w:bottom w:val="single" w:sz="4" w:space="0" w:color="auto"/>
              <w:right w:val="single" w:sz="4" w:space="0" w:color="auto"/>
            </w:tcBorders>
          </w:tcPr>
          <w:p w14:paraId="2C178BEA" w14:textId="77777777" w:rsidR="00770017" w:rsidRPr="00770017" w:rsidRDefault="00770017" w:rsidP="00770017">
            <w:pPr>
              <w:spacing w:before="60" w:after="60"/>
              <w:rPr>
                <w:rFonts w:ascii="Calibri" w:hAnsi="Calibri"/>
                <w:szCs w:val="22"/>
              </w:rPr>
            </w:pPr>
            <w:r w:rsidRPr="00770017">
              <w:rPr>
                <w:rFonts w:ascii="Calibri" w:hAnsi="Calibri"/>
                <w:szCs w:val="22"/>
              </w:rPr>
              <w:t>Standards Information Staff</w:t>
            </w:r>
          </w:p>
        </w:tc>
        <w:tc>
          <w:tcPr>
            <w:tcW w:w="3960" w:type="dxa"/>
            <w:tcBorders>
              <w:top w:val="single" w:sz="4" w:space="0" w:color="auto"/>
              <w:left w:val="single" w:sz="4" w:space="0" w:color="auto"/>
              <w:bottom w:val="single" w:sz="4" w:space="0" w:color="auto"/>
              <w:right w:val="single" w:sz="4" w:space="0" w:color="auto"/>
            </w:tcBorders>
          </w:tcPr>
          <w:p w14:paraId="1E5F656E" w14:textId="77777777" w:rsidR="00770017" w:rsidRPr="00770017" w:rsidRDefault="00770017" w:rsidP="00770017">
            <w:pPr>
              <w:spacing w:before="60" w:after="60"/>
              <w:rPr>
                <w:rFonts w:ascii="Calibri" w:hAnsi="Calibri"/>
                <w:szCs w:val="22"/>
              </w:rPr>
            </w:pPr>
            <w:r w:rsidRPr="00770017">
              <w:rPr>
                <w:rFonts w:ascii="Calibri" w:hAnsi="Calibri"/>
                <w:szCs w:val="22"/>
              </w:rPr>
              <w:t>Updated template</w:t>
            </w:r>
          </w:p>
        </w:tc>
      </w:tr>
      <w:tr w:rsidR="00770017" w:rsidRPr="00770017" w14:paraId="235FCF37" w14:textId="77777777" w:rsidTr="007F1DB6">
        <w:tc>
          <w:tcPr>
            <w:tcW w:w="1368" w:type="dxa"/>
            <w:tcBorders>
              <w:top w:val="single" w:sz="4" w:space="0" w:color="auto"/>
              <w:left w:val="single" w:sz="4" w:space="0" w:color="auto"/>
              <w:bottom w:val="single" w:sz="4" w:space="0" w:color="auto"/>
              <w:right w:val="single" w:sz="4" w:space="0" w:color="auto"/>
            </w:tcBorders>
          </w:tcPr>
          <w:p w14:paraId="6B9075B4" w14:textId="77777777" w:rsidR="00770017" w:rsidRPr="00770017" w:rsidRDefault="00770017" w:rsidP="00770017">
            <w:pPr>
              <w:spacing w:before="60" w:after="60"/>
              <w:jc w:val="center"/>
              <w:rPr>
                <w:rFonts w:ascii="Calibri" w:hAnsi="Calibri"/>
                <w:szCs w:val="22"/>
              </w:rPr>
            </w:pPr>
            <w:r w:rsidRPr="00770017">
              <w:rPr>
                <w:rFonts w:ascii="Calibri" w:hAnsi="Calibri"/>
                <w:szCs w:val="22"/>
              </w:rPr>
              <w:t>3</w:t>
            </w:r>
          </w:p>
        </w:tc>
        <w:tc>
          <w:tcPr>
            <w:tcW w:w="2066" w:type="dxa"/>
            <w:tcBorders>
              <w:top w:val="single" w:sz="4" w:space="0" w:color="auto"/>
              <w:left w:val="single" w:sz="4" w:space="0" w:color="auto"/>
              <w:bottom w:val="single" w:sz="4" w:space="0" w:color="auto"/>
              <w:right w:val="single" w:sz="4" w:space="0" w:color="auto"/>
            </w:tcBorders>
          </w:tcPr>
          <w:p w14:paraId="200058E1" w14:textId="77777777" w:rsidR="00770017" w:rsidRPr="00770017" w:rsidRDefault="00770017" w:rsidP="00770017">
            <w:pPr>
              <w:spacing w:before="60" w:after="60"/>
              <w:rPr>
                <w:rFonts w:ascii="Calibri" w:hAnsi="Calibri"/>
                <w:szCs w:val="22"/>
              </w:rPr>
            </w:pPr>
            <w:r w:rsidRPr="00770017">
              <w:rPr>
                <w:rFonts w:ascii="Calibri" w:hAnsi="Calibri"/>
                <w:szCs w:val="22"/>
              </w:rPr>
              <w:t>February 22, 2019</w:t>
            </w:r>
          </w:p>
        </w:tc>
        <w:tc>
          <w:tcPr>
            <w:tcW w:w="2951" w:type="dxa"/>
            <w:tcBorders>
              <w:top w:val="single" w:sz="4" w:space="0" w:color="auto"/>
              <w:left w:val="single" w:sz="4" w:space="0" w:color="auto"/>
              <w:bottom w:val="single" w:sz="4" w:space="0" w:color="auto"/>
              <w:right w:val="single" w:sz="4" w:space="0" w:color="auto"/>
            </w:tcBorders>
          </w:tcPr>
          <w:p w14:paraId="485E6529" w14:textId="77777777" w:rsidR="00770017" w:rsidRPr="00770017" w:rsidRDefault="00770017" w:rsidP="00770017">
            <w:pPr>
              <w:spacing w:before="60" w:after="60"/>
              <w:rPr>
                <w:rFonts w:ascii="Calibri" w:hAnsi="Calibri"/>
                <w:szCs w:val="22"/>
              </w:rPr>
            </w:pPr>
            <w:r w:rsidRPr="00770017">
              <w:rPr>
                <w:rFonts w:ascii="Calibri" w:hAnsi="Calibri"/>
                <w:szCs w:val="22"/>
              </w:rPr>
              <w:t>Standards Information Staff</w:t>
            </w:r>
          </w:p>
        </w:tc>
        <w:tc>
          <w:tcPr>
            <w:tcW w:w="3960" w:type="dxa"/>
            <w:tcBorders>
              <w:top w:val="single" w:sz="4" w:space="0" w:color="auto"/>
              <w:left w:val="single" w:sz="4" w:space="0" w:color="auto"/>
              <w:bottom w:val="single" w:sz="4" w:space="0" w:color="auto"/>
              <w:right w:val="single" w:sz="4" w:space="0" w:color="auto"/>
            </w:tcBorders>
          </w:tcPr>
          <w:p w14:paraId="685BC34A" w14:textId="77777777" w:rsidR="00770017" w:rsidRPr="00770017" w:rsidRDefault="00770017" w:rsidP="00770017">
            <w:pPr>
              <w:spacing w:before="60" w:after="60"/>
              <w:rPr>
                <w:rFonts w:ascii="Calibri" w:hAnsi="Calibri"/>
                <w:szCs w:val="22"/>
              </w:rPr>
            </w:pPr>
            <w:r w:rsidRPr="00770017">
              <w:rPr>
                <w:rFonts w:ascii="Calibri" w:hAnsi="Calibri"/>
                <w:szCs w:val="22"/>
              </w:rPr>
              <w:t>Added instructions to submit via Help Desk</w:t>
            </w:r>
          </w:p>
        </w:tc>
      </w:tr>
      <w:tr w:rsidR="00770017" w:rsidRPr="00770017" w14:paraId="52041E5E" w14:textId="77777777" w:rsidTr="007F1DB6">
        <w:tc>
          <w:tcPr>
            <w:tcW w:w="1368" w:type="dxa"/>
            <w:tcBorders>
              <w:top w:val="single" w:sz="4" w:space="0" w:color="auto"/>
              <w:left w:val="single" w:sz="4" w:space="0" w:color="auto"/>
              <w:bottom w:val="single" w:sz="4" w:space="0" w:color="auto"/>
              <w:right w:val="single" w:sz="4" w:space="0" w:color="auto"/>
            </w:tcBorders>
          </w:tcPr>
          <w:p w14:paraId="569EB258" w14:textId="01DEF18A" w:rsidR="00770017" w:rsidRPr="00770017" w:rsidRDefault="00770017" w:rsidP="00770017">
            <w:pPr>
              <w:spacing w:before="60" w:after="60"/>
              <w:jc w:val="center"/>
              <w:rPr>
                <w:rFonts w:ascii="Calibri" w:hAnsi="Calibri"/>
                <w:szCs w:val="22"/>
              </w:rPr>
            </w:pPr>
            <w:r>
              <w:rPr>
                <w:rFonts w:ascii="Calibri" w:hAnsi="Calibri"/>
                <w:szCs w:val="22"/>
              </w:rPr>
              <w:t>4</w:t>
            </w:r>
          </w:p>
        </w:tc>
        <w:tc>
          <w:tcPr>
            <w:tcW w:w="2066" w:type="dxa"/>
            <w:tcBorders>
              <w:top w:val="single" w:sz="4" w:space="0" w:color="auto"/>
              <w:left w:val="single" w:sz="4" w:space="0" w:color="auto"/>
              <w:bottom w:val="single" w:sz="4" w:space="0" w:color="auto"/>
              <w:right w:val="single" w:sz="4" w:space="0" w:color="auto"/>
            </w:tcBorders>
          </w:tcPr>
          <w:p w14:paraId="212CBC94" w14:textId="0BBE38B6" w:rsidR="00770017" w:rsidRPr="00770017" w:rsidRDefault="00770017" w:rsidP="00770017">
            <w:pPr>
              <w:spacing w:before="60" w:after="60"/>
              <w:rPr>
                <w:rFonts w:ascii="Calibri" w:hAnsi="Calibri"/>
                <w:szCs w:val="22"/>
              </w:rPr>
            </w:pPr>
            <w:r>
              <w:rPr>
                <w:rFonts w:ascii="Calibri" w:hAnsi="Calibri"/>
                <w:szCs w:val="22"/>
              </w:rPr>
              <w:t>February 25, 2020</w:t>
            </w:r>
          </w:p>
        </w:tc>
        <w:tc>
          <w:tcPr>
            <w:tcW w:w="2951" w:type="dxa"/>
            <w:tcBorders>
              <w:top w:val="single" w:sz="4" w:space="0" w:color="auto"/>
              <w:left w:val="single" w:sz="4" w:space="0" w:color="auto"/>
              <w:bottom w:val="single" w:sz="4" w:space="0" w:color="auto"/>
              <w:right w:val="single" w:sz="4" w:space="0" w:color="auto"/>
            </w:tcBorders>
          </w:tcPr>
          <w:p w14:paraId="4C4B2EBD" w14:textId="3CF9CABB" w:rsidR="00770017" w:rsidRPr="00770017" w:rsidRDefault="00770017" w:rsidP="00770017">
            <w:pPr>
              <w:spacing w:before="60" w:after="60"/>
              <w:rPr>
                <w:rFonts w:ascii="Calibri" w:hAnsi="Calibri"/>
                <w:szCs w:val="22"/>
              </w:rPr>
            </w:pPr>
            <w:r>
              <w:rPr>
                <w:rFonts w:ascii="Calibri" w:hAnsi="Calibri"/>
                <w:szCs w:val="22"/>
              </w:rPr>
              <w:t>Standards Information Staff</w:t>
            </w:r>
          </w:p>
        </w:tc>
        <w:tc>
          <w:tcPr>
            <w:tcW w:w="3960" w:type="dxa"/>
            <w:tcBorders>
              <w:top w:val="single" w:sz="4" w:space="0" w:color="auto"/>
              <w:left w:val="single" w:sz="4" w:space="0" w:color="auto"/>
              <w:bottom w:val="single" w:sz="4" w:space="0" w:color="auto"/>
              <w:right w:val="single" w:sz="4" w:space="0" w:color="auto"/>
            </w:tcBorders>
          </w:tcPr>
          <w:p w14:paraId="7B4CF29B" w14:textId="6CB5939C" w:rsidR="00770017" w:rsidRPr="00770017" w:rsidRDefault="00770017" w:rsidP="00770017">
            <w:pPr>
              <w:spacing w:before="60" w:after="60"/>
              <w:rPr>
                <w:rFonts w:ascii="Calibri" w:hAnsi="Calibri"/>
                <w:szCs w:val="22"/>
              </w:rPr>
            </w:pPr>
            <w:r>
              <w:rPr>
                <w:rFonts w:ascii="Calibri" w:hAnsi="Calibri"/>
                <w:szCs w:val="22"/>
              </w:rPr>
              <w:t>Updated template footer</w:t>
            </w:r>
          </w:p>
        </w:tc>
      </w:tr>
    </w:tbl>
    <w:p w14:paraId="1CE4E2EC" w14:textId="4E9FBD91" w:rsidR="00C04EB3" w:rsidRDefault="00C04EB3" w:rsidP="00770017">
      <w:pPr>
        <w:pStyle w:val="NumberingBullet6"/>
        <w:numPr>
          <w:ilvl w:val="0"/>
          <w:numId w:val="0"/>
        </w:numPr>
      </w:pPr>
    </w:p>
    <w:sectPr w:rsidR="00C04EB3" w:rsidSect="00513253">
      <w:headerReference w:type="default" r:id="rId23"/>
      <w:footerReference w:type="default" r:id="rId24"/>
      <w:headerReference w:type="first" r:id="rId25"/>
      <w:footerReference w:type="first" r:id="rId26"/>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80D46" w14:textId="77777777" w:rsidR="008D71B5" w:rsidRDefault="008D71B5">
      <w:r>
        <w:separator/>
      </w:r>
    </w:p>
  </w:endnote>
  <w:endnote w:type="continuationSeparator" w:id="0">
    <w:p w14:paraId="68A5DEDF" w14:textId="77777777" w:rsidR="008D71B5" w:rsidRDefault="008D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2" w14:textId="2FF59503" w:rsidR="008D71B5" w:rsidRPr="00FA460E" w:rsidRDefault="008D71B5" w:rsidP="002A2B4F">
    <w:pPr>
      <w:pStyle w:val="Footer"/>
      <w:ind w:left="0" w:right="18"/>
    </w:pPr>
    <w:r>
      <w:t>Standard Authorization Request (SAR)</w:t>
    </w:r>
    <w:r>
      <w:tab/>
    </w:r>
    <w:r w:rsidRPr="001F176A">
      <w:fldChar w:fldCharType="begin"/>
    </w:r>
    <w:r w:rsidRPr="001F176A">
      <w:instrText xml:space="preserve"> PAGE </w:instrText>
    </w:r>
    <w:r w:rsidRPr="001F176A">
      <w:fldChar w:fldCharType="separate"/>
    </w:r>
    <w:r w:rsidR="0029084B">
      <w:rPr>
        <w:noProof/>
      </w:rPr>
      <w:t>7</w:t>
    </w:r>
    <w:r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E68DA" w14:textId="77777777" w:rsidR="008D71B5" w:rsidRDefault="008D71B5" w:rsidP="0078206A"/>
  <w:p w14:paraId="29F947F1" w14:textId="77777777" w:rsidR="008D71B5" w:rsidRDefault="008D71B5" w:rsidP="0078206A"/>
  <w:p w14:paraId="5B49ACBC" w14:textId="77777777" w:rsidR="008D71B5" w:rsidRPr="00B66D53" w:rsidRDefault="008D71B5"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FFBB0" w14:textId="77777777" w:rsidR="008D71B5" w:rsidRDefault="008D71B5">
      <w:r>
        <w:separator/>
      </w:r>
    </w:p>
  </w:footnote>
  <w:footnote w:type="continuationSeparator" w:id="0">
    <w:p w14:paraId="451EE32C" w14:textId="77777777" w:rsidR="008D71B5" w:rsidRDefault="008D71B5">
      <w:r>
        <w:continuationSeparator/>
      </w:r>
    </w:p>
  </w:footnote>
  <w:footnote w:id="1">
    <w:p w14:paraId="4D55ECA2" w14:textId="13789899" w:rsidR="008D71B5" w:rsidRPr="00DA5C0D" w:rsidRDefault="008D71B5" w:rsidP="00770017">
      <w:pPr>
        <w:pStyle w:val="FootnoteText"/>
        <w:rPr>
          <w:rFonts w:cs="Calibri"/>
        </w:rPr>
      </w:pPr>
      <w:r w:rsidRPr="00DA5C0D">
        <w:rPr>
          <w:rStyle w:val="FootnoteReference"/>
          <w:rFonts w:cs="Calibri"/>
        </w:rPr>
        <w:footnoteRef/>
      </w:r>
      <w:r w:rsidRPr="00DA5C0D">
        <w:rPr>
          <w:rFonts w:cs="Calibri"/>
        </w:rPr>
        <w:t xml:space="preserve"> The NERC Rules of Procedure require a technical justification for new or substantially revised Reliability Standards. Please attach pertinent information to this form before submittal to NERC.</w:t>
      </w:r>
    </w:p>
  </w:footnote>
  <w:footnote w:id="2">
    <w:p w14:paraId="7463D9FE" w14:textId="77777777" w:rsidR="008D71B5" w:rsidRPr="00B532F0" w:rsidRDefault="008D71B5" w:rsidP="00770017">
      <w:pPr>
        <w:pStyle w:val="FootnoteText"/>
        <w:rPr>
          <w:lang w:val="en-CA"/>
        </w:rPr>
      </w:pPr>
      <w:r>
        <w:rPr>
          <w:rStyle w:val="FootnoteReference"/>
        </w:rPr>
        <w:footnoteRef/>
      </w:r>
      <w:r>
        <w:t xml:space="preserve"> Consensus building activities a</w:t>
      </w:r>
      <w:r w:rsidRPr="001B1507">
        <w:t>re occasionally conducted by NERC</w:t>
      </w:r>
      <w:r>
        <w:t xml:space="preserve"> and/or project review teams</w:t>
      </w:r>
      <w:r w:rsidRPr="001B1507">
        <w:t xml:space="preserve">.  They typically are conducted </w:t>
      </w:r>
      <w:r>
        <w:t xml:space="preserve">to obtain industry inputs </w:t>
      </w:r>
      <w:r w:rsidRPr="001B1507">
        <w:t xml:space="preserve">prior to </w:t>
      </w:r>
      <w:r>
        <w:t xml:space="preserve">proposing </w:t>
      </w:r>
      <w:r w:rsidRPr="001B1507">
        <w:t xml:space="preserve">any </w:t>
      </w:r>
      <w:r>
        <w:t xml:space="preserve">standard development </w:t>
      </w:r>
      <w:r w:rsidRPr="001B1507">
        <w:t>project to revise, or develop a standard or definition.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1" w14:textId="77777777" w:rsidR="008D71B5" w:rsidRDefault="008D71B5">
    <w:r>
      <w:rPr>
        <w:noProof/>
      </w:rPr>
      <w:drawing>
        <wp:anchor distT="0" distB="0" distL="114300" distR="114300" simplePos="0" relativeHeight="251679232" behindDoc="1" locked="0" layoutInCell="1" allowOverlap="1" wp14:anchorId="1CE4E2F5" wp14:editId="1CE4E2F6">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3" w14:textId="77777777" w:rsidR="008D71B5" w:rsidRDefault="008D71B5">
    <w:r>
      <w:rPr>
        <w:noProof/>
      </w:rPr>
      <w:drawing>
        <wp:anchor distT="0" distB="0" distL="114300" distR="114300" simplePos="0" relativeHeight="251678208" behindDoc="1" locked="0" layoutInCell="1" allowOverlap="1" wp14:anchorId="1CE4E2F7" wp14:editId="1CE4E2F8">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6203A"/>
    <w:multiLevelType w:val="hybridMultilevel"/>
    <w:tmpl w:val="F8124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0B4A7A"/>
    <w:multiLevelType w:val="hybridMultilevel"/>
    <w:tmpl w:val="D4CA060E"/>
    <w:lvl w:ilvl="0" w:tplc="348C3FB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462A9A"/>
    <w:multiLevelType w:val="multilevel"/>
    <w:tmpl w:val="63E4A40E"/>
    <w:numStyleLink w:val="NERCListBullets"/>
  </w:abstractNum>
  <w:abstractNum w:abstractNumId="15" w15:restartNumberingAfterBreak="0">
    <w:nsid w:val="1CB61FF2"/>
    <w:multiLevelType w:val="hybridMultilevel"/>
    <w:tmpl w:val="9CC2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611894"/>
    <w:multiLevelType w:val="hybridMultilevel"/>
    <w:tmpl w:val="110C5B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1A709A"/>
    <w:multiLevelType w:val="hybridMultilevel"/>
    <w:tmpl w:val="23C46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FA6B58"/>
    <w:multiLevelType w:val="hybridMultilevel"/>
    <w:tmpl w:val="CF28C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23" w15:restartNumberingAfterBreak="0">
    <w:nsid w:val="4903448C"/>
    <w:multiLevelType w:val="multilevel"/>
    <w:tmpl w:val="DCB221FA"/>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o"/>
      <w:lvlJc w:val="left"/>
      <w:pPr>
        <w:ind w:left="1440" w:hanging="360"/>
      </w:pPr>
      <w:rPr>
        <w:rFonts w:ascii="Courier New" w:eastAsia="Courier New" w:hAnsi="Courier New" w:cs="Courier New"/>
      </w:rPr>
    </w:lvl>
    <w:lvl w:ilvl="3">
      <w:start w:val="1"/>
      <w:numFmt w:val="bullet"/>
      <w:lvlText w:val="–"/>
      <w:lvlJc w:val="left"/>
      <w:pPr>
        <w:ind w:left="1800" w:hanging="360"/>
      </w:pPr>
      <w:rPr>
        <w:rFonts w:ascii="Calibri" w:eastAsia="Calibri" w:hAnsi="Calibri" w:cs="Calibri"/>
      </w:rPr>
    </w:lvl>
    <w:lvl w:ilvl="4">
      <w:start w:val="1"/>
      <w:numFmt w:val="bullet"/>
      <w:lvlText w:val="*"/>
      <w:lvlJc w:val="left"/>
      <w:pPr>
        <w:ind w:left="2160" w:hanging="360"/>
      </w:pPr>
      <w:rPr>
        <w:rFonts w:ascii="Courier New" w:eastAsia="Courier New" w:hAnsi="Courier New" w:cs="Courier New"/>
      </w:rPr>
    </w:lvl>
    <w:lvl w:ilvl="5">
      <w:start w:val="1"/>
      <w:numFmt w:val="decimal"/>
      <w:lvlText w:val=""/>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05D3685"/>
    <w:multiLevelType w:val="multilevel"/>
    <w:tmpl w:val="63E4A40E"/>
    <w:numStyleLink w:val="NERCListBullets"/>
  </w:abstractNum>
  <w:abstractNum w:abstractNumId="25"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1D31EB"/>
    <w:multiLevelType w:val="hybridMultilevel"/>
    <w:tmpl w:val="762E21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A441C31"/>
    <w:multiLevelType w:val="hybridMultilevel"/>
    <w:tmpl w:val="70D8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832C66"/>
    <w:multiLevelType w:val="multilevel"/>
    <w:tmpl w:val="63E4A40E"/>
    <w:numStyleLink w:val="NERCListBullets"/>
  </w:abstractNum>
  <w:abstractNum w:abstractNumId="30" w15:restartNumberingAfterBreak="0">
    <w:nsid w:val="63C30292"/>
    <w:multiLevelType w:val="hybridMultilevel"/>
    <w:tmpl w:val="762E21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F14696"/>
    <w:multiLevelType w:val="multilevel"/>
    <w:tmpl w:val="3F120D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865ECC"/>
    <w:multiLevelType w:val="hybridMultilevel"/>
    <w:tmpl w:val="F30E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33"/>
  </w:num>
  <w:num w:numId="4">
    <w:abstractNumId w:val="18"/>
  </w:num>
  <w:num w:numId="5">
    <w:abstractNumId w:val="3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22"/>
  </w:num>
  <w:num w:numId="18">
    <w:abstractNumId w:val="20"/>
  </w:num>
  <w:num w:numId="19">
    <w:abstractNumId w:val="27"/>
  </w:num>
  <w:num w:numId="20">
    <w:abstractNumId w:val="24"/>
  </w:num>
  <w:num w:numId="21">
    <w:abstractNumId w:val="29"/>
  </w:num>
  <w:num w:numId="22">
    <w:abstractNumId w:val="14"/>
  </w:num>
  <w:num w:numId="23">
    <w:abstractNumId w:val="31"/>
  </w:num>
  <w:num w:numId="24">
    <w:abstractNumId w:val="13"/>
  </w:num>
  <w:num w:numId="25">
    <w:abstractNumId w:val="10"/>
  </w:num>
  <w:num w:numId="26">
    <w:abstractNumId w:val="11"/>
  </w:num>
  <w:num w:numId="27">
    <w:abstractNumId w:val="32"/>
  </w:num>
  <w:num w:numId="28">
    <w:abstractNumId w:val="35"/>
  </w:num>
  <w:num w:numId="29">
    <w:abstractNumId w:val="23"/>
  </w:num>
  <w:num w:numId="30">
    <w:abstractNumId w:val="17"/>
  </w:num>
  <w:num w:numId="31">
    <w:abstractNumId w:val="26"/>
  </w:num>
  <w:num w:numId="32">
    <w:abstractNumId w:val="30"/>
  </w:num>
  <w:num w:numId="33">
    <w:abstractNumId w:val="16"/>
  </w:num>
  <w:num w:numId="34">
    <w:abstractNumId w:val="15"/>
  </w:num>
  <w:num w:numId="35">
    <w:abstractNumId w:val="28"/>
  </w:num>
  <w:num w:numId="36">
    <w:abstractNumId w:val="14"/>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53"/>
    <w:rsid w:val="000035F3"/>
    <w:rsid w:val="00003B8D"/>
    <w:rsid w:val="00011D42"/>
    <w:rsid w:val="00015389"/>
    <w:rsid w:val="00022BBE"/>
    <w:rsid w:val="000232FC"/>
    <w:rsid w:val="000334DF"/>
    <w:rsid w:val="000357A2"/>
    <w:rsid w:val="000375F2"/>
    <w:rsid w:val="00042995"/>
    <w:rsid w:val="000568DB"/>
    <w:rsid w:val="000727DF"/>
    <w:rsid w:val="00075C59"/>
    <w:rsid w:val="00082B59"/>
    <w:rsid w:val="00093A12"/>
    <w:rsid w:val="000A42A7"/>
    <w:rsid w:val="000A70BC"/>
    <w:rsid w:val="000B36CB"/>
    <w:rsid w:val="000B412D"/>
    <w:rsid w:val="000B669A"/>
    <w:rsid w:val="000B7A04"/>
    <w:rsid w:val="000C0435"/>
    <w:rsid w:val="000C0883"/>
    <w:rsid w:val="000C16FE"/>
    <w:rsid w:val="000C5D1B"/>
    <w:rsid w:val="000D5522"/>
    <w:rsid w:val="000D7162"/>
    <w:rsid w:val="000E3AB0"/>
    <w:rsid w:val="000F1460"/>
    <w:rsid w:val="000F38A5"/>
    <w:rsid w:val="00100033"/>
    <w:rsid w:val="001069AA"/>
    <w:rsid w:val="0011677E"/>
    <w:rsid w:val="00136931"/>
    <w:rsid w:val="001574EA"/>
    <w:rsid w:val="001631B5"/>
    <w:rsid w:val="00163970"/>
    <w:rsid w:val="00185C24"/>
    <w:rsid w:val="001A710E"/>
    <w:rsid w:val="001B1411"/>
    <w:rsid w:val="001E3656"/>
    <w:rsid w:val="00223BC7"/>
    <w:rsid w:val="0023114E"/>
    <w:rsid w:val="00246A84"/>
    <w:rsid w:val="0026729D"/>
    <w:rsid w:val="0027215A"/>
    <w:rsid w:val="00283FB4"/>
    <w:rsid w:val="0029084B"/>
    <w:rsid w:val="002A2B4F"/>
    <w:rsid w:val="002A6788"/>
    <w:rsid w:val="002B0903"/>
    <w:rsid w:val="002B1D0F"/>
    <w:rsid w:val="002B2D2A"/>
    <w:rsid w:val="002B38B6"/>
    <w:rsid w:val="002B5570"/>
    <w:rsid w:val="002E3B2D"/>
    <w:rsid w:val="002E7434"/>
    <w:rsid w:val="00306EDF"/>
    <w:rsid w:val="00316985"/>
    <w:rsid w:val="00342139"/>
    <w:rsid w:val="00345E71"/>
    <w:rsid w:val="00366A96"/>
    <w:rsid w:val="0039275D"/>
    <w:rsid w:val="003948E2"/>
    <w:rsid w:val="003B090C"/>
    <w:rsid w:val="003D2695"/>
    <w:rsid w:val="003D416B"/>
    <w:rsid w:val="003E1C41"/>
    <w:rsid w:val="003E6583"/>
    <w:rsid w:val="003F2FB8"/>
    <w:rsid w:val="0040107B"/>
    <w:rsid w:val="00406EBC"/>
    <w:rsid w:val="0041024D"/>
    <w:rsid w:val="004154E8"/>
    <w:rsid w:val="00421EF5"/>
    <w:rsid w:val="00445303"/>
    <w:rsid w:val="00457486"/>
    <w:rsid w:val="004631BF"/>
    <w:rsid w:val="00463918"/>
    <w:rsid w:val="004651EC"/>
    <w:rsid w:val="004800C7"/>
    <w:rsid w:val="004A0671"/>
    <w:rsid w:val="004B7DE3"/>
    <w:rsid w:val="004B7ED4"/>
    <w:rsid w:val="004E5417"/>
    <w:rsid w:val="004E6F1C"/>
    <w:rsid w:val="004E7B5C"/>
    <w:rsid w:val="004F15AA"/>
    <w:rsid w:val="00510652"/>
    <w:rsid w:val="00513253"/>
    <w:rsid w:val="005266A7"/>
    <w:rsid w:val="005316C6"/>
    <w:rsid w:val="005316F3"/>
    <w:rsid w:val="00535B51"/>
    <w:rsid w:val="00555F79"/>
    <w:rsid w:val="00557919"/>
    <w:rsid w:val="00573832"/>
    <w:rsid w:val="00582B3D"/>
    <w:rsid w:val="00592EDF"/>
    <w:rsid w:val="005A721A"/>
    <w:rsid w:val="005B4D05"/>
    <w:rsid w:val="005B6595"/>
    <w:rsid w:val="005C38A7"/>
    <w:rsid w:val="005C5120"/>
    <w:rsid w:val="005D3B5E"/>
    <w:rsid w:val="005D3F72"/>
    <w:rsid w:val="005E1D53"/>
    <w:rsid w:val="005E7808"/>
    <w:rsid w:val="00613EC6"/>
    <w:rsid w:val="006164FE"/>
    <w:rsid w:val="0063434B"/>
    <w:rsid w:val="00652754"/>
    <w:rsid w:val="00656825"/>
    <w:rsid w:val="00661FE6"/>
    <w:rsid w:val="00673C28"/>
    <w:rsid w:val="00680538"/>
    <w:rsid w:val="00690A0A"/>
    <w:rsid w:val="00693CC9"/>
    <w:rsid w:val="00694CD1"/>
    <w:rsid w:val="006A3935"/>
    <w:rsid w:val="006B3EC7"/>
    <w:rsid w:val="006C1F78"/>
    <w:rsid w:val="006E7396"/>
    <w:rsid w:val="007254EA"/>
    <w:rsid w:val="00726BE4"/>
    <w:rsid w:val="0073067D"/>
    <w:rsid w:val="007333C8"/>
    <w:rsid w:val="00736823"/>
    <w:rsid w:val="007371DF"/>
    <w:rsid w:val="0074600B"/>
    <w:rsid w:val="0074626C"/>
    <w:rsid w:val="0076365D"/>
    <w:rsid w:val="00770017"/>
    <w:rsid w:val="007776DB"/>
    <w:rsid w:val="0078206A"/>
    <w:rsid w:val="0079032B"/>
    <w:rsid w:val="00791651"/>
    <w:rsid w:val="007A42D4"/>
    <w:rsid w:val="007B6755"/>
    <w:rsid w:val="007C1460"/>
    <w:rsid w:val="007C2496"/>
    <w:rsid w:val="007D618E"/>
    <w:rsid w:val="007D74DB"/>
    <w:rsid w:val="007E4753"/>
    <w:rsid w:val="007E6D4F"/>
    <w:rsid w:val="007F1DB6"/>
    <w:rsid w:val="007F5D9B"/>
    <w:rsid w:val="008000E4"/>
    <w:rsid w:val="00806CDF"/>
    <w:rsid w:val="00820D8E"/>
    <w:rsid w:val="00823803"/>
    <w:rsid w:val="00836D30"/>
    <w:rsid w:val="008630C1"/>
    <w:rsid w:val="008C2EDB"/>
    <w:rsid w:val="008D063B"/>
    <w:rsid w:val="008D71B5"/>
    <w:rsid w:val="008E5FF5"/>
    <w:rsid w:val="00915937"/>
    <w:rsid w:val="00923D30"/>
    <w:rsid w:val="0093756A"/>
    <w:rsid w:val="00945B7A"/>
    <w:rsid w:val="00945F3F"/>
    <w:rsid w:val="009529EB"/>
    <w:rsid w:val="0095499D"/>
    <w:rsid w:val="00961FA8"/>
    <w:rsid w:val="0097008F"/>
    <w:rsid w:val="009A1838"/>
    <w:rsid w:val="009A4B50"/>
    <w:rsid w:val="009B380B"/>
    <w:rsid w:val="009B4EEA"/>
    <w:rsid w:val="009B5A1C"/>
    <w:rsid w:val="009C4CEC"/>
    <w:rsid w:val="009F2522"/>
    <w:rsid w:val="00A122B5"/>
    <w:rsid w:val="00A23D13"/>
    <w:rsid w:val="00A27ADC"/>
    <w:rsid w:val="00A35DA7"/>
    <w:rsid w:val="00A467EB"/>
    <w:rsid w:val="00A50F2B"/>
    <w:rsid w:val="00A54A7B"/>
    <w:rsid w:val="00A6738A"/>
    <w:rsid w:val="00A909B5"/>
    <w:rsid w:val="00AA4B9D"/>
    <w:rsid w:val="00AB2EE8"/>
    <w:rsid w:val="00AD41BD"/>
    <w:rsid w:val="00AE7735"/>
    <w:rsid w:val="00B0403C"/>
    <w:rsid w:val="00B137E2"/>
    <w:rsid w:val="00B146D4"/>
    <w:rsid w:val="00B23A65"/>
    <w:rsid w:val="00B27300"/>
    <w:rsid w:val="00B375B5"/>
    <w:rsid w:val="00B410B5"/>
    <w:rsid w:val="00B72A0F"/>
    <w:rsid w:val="00B806F7"/>
    <w:rsid w:val="00B96FE9"/>
    <w:rsid w:val="00B97059"/>
    <w:rsid w:val="00BA34E0"/>
    <w:rsid w:val="00BB3C76"/>
    <w:rsid w:val="00BB5E88"/>
    <w:rsid w:val="00BC04CC"/>
    <w:rsid w:val="00BC10A6"/>
    <w:rsid w:val="00BC591C"/>
    <w:rsid w:val="00BD3304"/>
    <w:rsid w:val="00BE4AFF"/>
    <w:rsid w:val="00BE5580"/>
    <w:rsid w:val="00BE5F0B"/>
    <w:rsid w:val="00BF1D49"/>
    <w:rsid w:val="00BF6751"/>
    <w:rsid w:val="00C04EB3"/>
    <w:rsid w:val="00C07558"/>
    <w:rsid w:val="00C256BB"/>
    <w:rsid w:val="00C26902"/>
    <w:rsid w:val="00C269E7"/>
    <w:rsid w:val="00C30AEA"/>
    <w:rsid w:val="00C35EF9"/>
    <w:rsid w:val="00C36FB1"/>
    <w:rsid w:val="00C37DA6"/>
    <w:rsid w:val="00C409F0"/>
    <w:rsid w:val="00C47BBB"/>
    <w:rsid w:val="00C647E7"/>
    <w:rsid w:val="00C661F0"/>
    <w:rsid w:val="00C73BB8"/>
    <w:rsid w:val="00C7714F"/>
    <w:rsid w:val="00C86984"/>
    <w:rsid w:val="00C878C5"/>
    <w:rsid w:val="00C95364"/>
    <w:rsid w:val="00C96094"/>
    <w:rsid w:val="00CC7BE7"/>
    <w:rsid w:val="00CE11D4"/>
    <w:rsid w:val="00CE4EC0"/>
    <w:rsid w:val="00D02C9E"/>
    <w:rsid w:val="00D17F34"/>
    <w:rsid w:val="00D20C70"/>
    <w:rsid w:val="00D228D6"/>
    <w:rsid w:val="00D23953"/>
    <w:rsid w:val="00D2434D"/>
    <w:rsid w:val="00D933A3"/>
    <w:rsid w:val="00DA60C5"/>
    <w:rsid w:val="00DA634C"/>
    <w:rsid w:val="00DA66C5"/>
    <w:rsid w:val="00DB3D6C"/>
    <w:rsid w:val="00DB62EC"/>
    <w:rsid w:val="00DE1A41"/>
    <w:rsid w:val="00E1254E"/>
    <w:rsid w:val="00E1734B"/>
    <w:rsid w:val="00E200E5"/>
    <w:rsid w:val="00E202A2"/>
    <w:rsid w:val="00E255A4"/>
    <w:rsid w:val="00E463E1"/>
    <w:rsid w:val="00E759E3"/>
    <w:rsid w:val="00E77051"/>
    <w:rsid w:val="00E84A22"/>
    <w:rsid w:val="00E945D4"/>
    <w:rsid w:val="00E95C93"/>
    <w:rsid w:val="00E97168"/>
    <w:rsid w:val="00EA14D3"/>
    <w:rsid w:val="00EA3E18"/>
    <w:rsid w:val="00EB74F1"/>
    <w:rsid w:val="00EC398A"/>
    <w:rsid w:val="00ED4548"/>
    <w:rsid w:val="00EF3A4C"/>
    <w:rsid w:val="00F06E1A"/>
    <w:rsid w:val="00F12B73"/>
    <w:rsid w:val="00F4013A"/>
    <w:rsid w:val="00F41799"/>
    <w:rsid w:val="00F4629D"/>
    <w:rsid w:val="00F640FD"/>
    <w:rsid w:val="00F828D1"/>
    <w:rsid w:val="00F869C4"/>
    <w:rsid w:val="00F96C18"/>
    <w:rsid w:val="00FA460E"/>
    <w:rsid w:val="00FA64B0"/>
    <w:rsid w:val="00FC22EA"/>
    <w:rsid w:val="00FC7B36"/>
    <w:rsid w:val="00FD012D"/>
    <w:rsid w:val="00FD3683"/>
    <w:rsid w:val="00FD3A4E"/>
    <w:rsid w:val="00FE142B"/>
    <w:rsid w:val="00FE3D04"/>
    <w:rsid w:val="00FE70BB"/>
    <w:rsid w:val="00FF6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CE4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uiPriority w:val="99"/>
    <w:semiHidden/>
    <w:rsid w:val="00744307"/>
    <w:rPr>
      <w:sz w:val="20"/>
      <w:szCs w:val="20"/>
    </w:rPr>
  </w:style>
  <w:style w:type="character" w:styleId="CommentReference">
    <w:name w:val="annotation reference"/>
    <w:basedOn w:val="DefaultParagraphFont"/>
    <w:uiPriority w:val="99"/>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semiHidden/>
    <w:unhideWhenUsed/>
    <w:rsid w:val="000B412D"/>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iPriority w:val="99"/>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character" w:styleId="FootnoteReference">
    <w:name w:val="footnote reference"/>
    <w:aliases w:val="o,fr,Style 16,o1,fr1,o2,fr2,o3,fr3,Style 13,Style 12,Style 15,Style 17,Style 9,Style 18,(NECG) Footnote Reference,Style 20,Style 7,Styl"/>
    <w:basedOn w:val="DefaultParagraphFont"/>
    <w:uiPriority w:val="99"/>
    <w:semiHidden/>
    <w:rsid w:val="00770017"/>
    <w:rPr>
      <w:vertAlign w:val="superscript"/>
    </w:rPr>
  </w:style>
  <w:style w:type="character" w:customStyle="1" w:styleId="CommentTextChar">
    <w:name w:val="Comment Text Char"/>
    <w:basedOn w:val="DefaultParagraphFont"/>
    <w:link w:val="CommentText"/>
    <w:uiPriority w:val="99"/>
    <w:semiHidden/>
    <w:rsid w:val="008D71B5"/>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26948">
      <w:bodyDiv w:val="1"/>
      <w:marLeft w:val="0"/>
      <w:marRight w:val="0"/>
      <w:marTop w:val="0"/>
      <w:marBottom w:val="0"/>
      <w:divBdr>
        <w:top w:val="none" w:sz="0" w:space="0" w:color="auto"/>
        <w:left w:val="none" w:sz="0" w:space="0" w:color="auto"/>
        <w:bottom w:val="none" w:sz="0" w:space="0" w:color="auto"/>
        <w:right w:val="none" w:sz="0" w:space="0" w:color="auto"/>
      </w:divBdr>
    </w:div>
    <w:div w:id="719285575">
      <w:bodyDiv w:val="1"/>
      <w:marLeft w:val="0"/>
      <w:marRight w:val="0"/>
      <w:marTop w:val="0"/>
      <w:marBottom w:val="0"/>
      <w:divBdr>
        <w:top w:val="none" w:sz="0" w:space="0" w:color="auto"/>
        <w:left w:val="none" w:sz="0" w:space="0" w:color="auto"/>
        <w:bottom w:val="none" w:sz="0" w:space="0" w:color="auto"/>
        <w:right w:val="none" w:sz="0" w:space="0" w:color="auto"/>
      </w:divBdr>
    </w:div>
    <w:div w:id="1412895317">
      <w:bodyDiv w:val="1"/>
      <w:marLeft w:val="0"/>
      <w:marRight w:val="0"/>
      <w:marTop w:val="0"/>
      <w:marBottom w:val="0"/>
      <w:divBdr>
        <w:top w:val="none" w:sz="0" w:space="0" w:color="auto"/>
        <w:left w:val="none" w:sz="0" w:space="0" w:color="auto"/>
        <w:bottom w:val="none" w:sz="0" w:space="0" w:color="auto"/>
        <w:right w:val="none" w:sz="0" w:space="0" w:color="auto"/>
      </w:divBdr>
    </w:div>
    <w:div w:id="154890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lauby@nerc.net" TargetMode="External"/><Relationship Id="rId18" Type="http://schemas.openxmlformats.org/officeDocument/2006/relationships/hyperlink" Target="https://www.nerc.com/pa/rrm/ea/Pages/October-9-2017-Canyon-2-Fire-Disturbance-Report.asp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nerc.com/pa/Stand/Standards/ReliabilityandMarketInterfacePrinciples.pdf" TargetMode="External"/><Relationship Id="rId7" Type="http://schemas.openxmlformats.org/officeDocument/2006/relationships/settings" Target="settings.xml"/><Relationship Id="rId12" Type="http://schemas.openxmlformats.org/officeDocument/2006/relationships/hyperlink" Target="https://support.nerc.net/" TargetMode="External"/><Relationship Id="rId17" Type="http://schemas.openxmlformats.org/officeDocument/2006/relationships/hyperlink" Target="https://www.nerc.com/pa/rrm/ea/Pages/April-May-2018-Fault-Induced-Solar-PV-Resource-Interruption-Disturbances-Report.asp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nerc.com/pa/rrm/ea/Pages/July_2020_San_Fernando_Disturbance_Report.aspx" TargetMode="External"/><Relationship Id="rId20" Type="http://schemas.openxmlformats.org/officeDocument/2006/relationships/hyperlink" Target="https://www.nerc.com/comm/RSTC_Reliability_Guidelines/Reliability_Guideline_IBR_Interconnection_Requirements_Improvement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nerc.ne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nerc.com/pa/rrm/ea/Pages/May-June-2021-Odessa-Disturbance.aspx"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erc.com/pa/rrm/ea/Pages/1200-MW-Fault-Induced-Solar-Photovoltaic-Resource-Interruption-Disturbance-Repor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rc.com/pa/rrm/ea/Documents/NERC_2021_California_Solar_PV_Disturbances_Report.pdf" TargetMode="External"/><Relationship Id="rId22" Type="http://schemas.openxmlformats.org/officeDocument/2006/relationships/hyperlink" Target="http://www.nerc.com/pa/Stand/Resources/Documents/Market_Principles.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0778542F024543893E578739937348" ma:contentTypeVersion="1" ma:contentTypeDescription="Create a new document." ma:contentTypeScope="" ma:versionID="958e73fe60f660ce6dbbd78a15c3a6fd">
  <xsd:schema xmlns:xsd="http://www.w3.org/2001/XMLSchema" xmlns:xs="http://www.w3.org/2001/XMLSchema" xmlns:p="http://schemas.microsoft.com/office/2006/metadata/properties" xmlns:ns2="d255dc3e-053e-4b62-8283-68abfc61cdbb" targetNamespace="http://schemas.microsoft.com/office/2006/metadata/properties" ma:root="true" ma:fieldsID="20a97e1d0cc6e579ece75670ec365f0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E1F2A-3BFF-4C5E-8B13-9985806B273C}">
  <ds:schemaRefs>
    <ds:schemaRef ds:uri="http://schemas.microsoft.com/sharepoint/v3/contenttype/forms"/>
  </ds:schemaRefs>
</ds:datastoreItem>
</file>

<file path=customXml/itemProps2.xml><?xml version="1.0" encoding="utf-8"?>
<ds:datastoreItem xmlns:ds="http://schemas.openxmlformats.org/officeDocument/2006/customXml" ds:itemID="{257DD12A-F7A1-4C11-A232-12E27293FA77}"/>
</file>

<file path=customXml/itemProps3.xml><?xml version="1.0" encoding="utf-8"?>
<ds:datastoreItem xmlns:ds="http://schemas.openxmlformats.org/officeDocument/2006/customXml" ds:itemID="{1374C60F-4BE1-41A8-9D46-609161D941FF}">
  <ds:schemaRefs>
    <ds:schemaRef ds:uri="http://purl.org/dc/elements/1.1/"/>
    <ds:schemaRef ds:uri="http://schemas.microsoft.com/office/2006/documentManagement/types"/>
    <ds:schemaRef ds:uri="6cb3f172-3734-4b5a-b114-981630d8f5a3"/>
    <ds:schemaRef ds:uri="http://schemas.microsoft.com/office/2006/metadata/properties"/>
    <ds:schemaRef ds:uri="http://purl.org/dc/terms/"/>
    <ds:schemaRef ds:uri="http://schemas.microsoft.com/office/infopath/2007/PartnerControls"/>
    <ds:schemaRef ds:uri="http://schemas.openxmlformats.org/package/2006/metadata/core-properties"/>
    <ds:schemaRef ds:uri="497edfec-9256-4aae-b546-24aa29df61e5"/>
    <ds:schemaRef ds:uri="http://www.w3.org/XML/1998/namespace"/>
    <ds:schemaRef ds:uri="http://purl.org/dc/dcmitype/"/>
  </ds:schemaRefs>
</ds:datastoreItem>
</file>

<file path=customXml/itemProps4.xml><?xml version="1.0" encoding="utf-8"?>
<ds:datastoreItem xmlns:ds="http://schemas.openxmlformats.org/officeDocument/2006/customXml" ds:itemID="{1E0CCAD8-B51E-4413-819A-7417FC4B2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2532</Words>
  <Characters>17166</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Standard Authorization Request (SAR) Form</vt:lpstr>
    </vt:vector>
  </TitlesOfParts>
  <LinksUpToDate>false</LinksUpToDate>
  <CharactersWithSpaces>19659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Authorization Request (SAR) Form</dc:title>
  <dc:creator/>
  <cp:keywords/>
  <cp:lastModifiedBy/>
  <cp:revision>1</cp:revision>
  <dcterms:created xsi:type="dcterms:W3CDTF">2022-04-27T21:25:00Z</dcterms:created>
  <dcterms:modified xsi:type="dcterms:W3CDTF">2022-04-28T13:42:00Z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0x0101001D0778542F024543893E578739937348</vt:lpwstr>
  </property>
  <property fmtid="{D5CDD505-2E9C-101B-9397-08002B2CF9AE}" pid="3" name="GS_AddingInProgress">
    <vt:lpwstr>False</vt:lpwstr>
  </property>
  <property fmtid="{D5CDD505-2E9C-101B-9397-08002B2CF9AE}" pid="4" name="_dlc_DocIdItemGuid">
    <vt:lpwstr>be5934c0-55e8-4aa5-a799-1ac4dbcc8419</vt:lpwstr>
  </property>
  <property fmtid="{D5CDD505-2E9C-101B-9397-08002B2CF9AE}" pid="5" name="TaxKeyword">
    <vt:lpwstr/>
  </property>
  <property fmtid="{D5CDD505-2E9C-101B-9397-08002B2CF9AE}" pid="6" name="Data Classification">
    <vt:lpwstr>1;#Confidential - Internal|aa40a886-0bc0-4ba6-a22c-37ccbc8c9bd8</vt:lpwstr>
  </property>
  <property fmtid="{D5CDD505-2E9C-101B-9397-08002B2CF9AE}" pid="7" name="Document Status">
    <vt:lpwstr/>
  </property>
</Properties>
</file>