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4B" w:rsidRDefault="00201B4B" w:rsidP="00D933A3">
      <w:pPr>
        <w:pStyle w:val="DocumentTitle"/>
      </w:pPr>
    </w:p>
    <w:p w:rsidR="0039275D" w:rsidRPr="00687867" w:rsidRDefault="005C6DF3" w:rsidP="00D933A3">
      <w:pPr>
        <w:pStyle w:val="DocumentTitle"/>
      </w:pPr>
      <w:r>
        <w:t xml:space="preserve">Unofficial Comment Form </w:t>
      </w:r>
    </w:p>
    <w:p w:rsidR="005C6DF3" w:rsidRDefault="005C6DF3" w:rsidP="00FE70BB">
      <w:pPr>
        <w:pStyle w:val="DocumentSubtitle"/>
      </w:pPr>
      <w:bookmarkStart w:id="0" w:name="_Toc195946480"/>
      <w:r>
        <w:t xml:space="preserve">Cost Effectiveness </w:t>
      </w:r>
      <w:r w:rsidR="00201B4B">
        <w:t xml:space="preserve">Pilot </w:t>
      </w:r>
      <w:r w:rsidR="00A661FF">
        <w:t>Questions</w:t>
      </w:r>
    </w:p>
    <w:p w:rsidR="003948E2" w:rsidRDefault="003948E2" w:rsidP="00FE70BB">
      <w:pPr>
        <w:pStyle w:val="DocumentSubtitle"/>
      </w:pPr>
    </w:p>
    <w:p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2" w:history="1">
        <w:r w:rsidRPr="00B564B1">
          <w:rPr>
            <w:rStyle w:val="Hyperlink"/>
            <w:lang w:eastAsia="zh-CN"/>
          </w:rPr>
          <w:t>electronic form</w:t>
        </w:r>
      </w:hyperlink>
      <w:r>
        <w:rPr>
          <w:lang w:eastAsia="zh-CN"/>
        </w:rPr>
        <w:t xml:space="preserve"> to submit comments on the </w:t>
      </w:r>
      <w:r w:rsidRPr="00B62268">
        <w:rPr>
          <w:b/>
          <w:lang w:eastAsia="zh-CN"/>
        </w:rPr>
        <w:t>Cost Effectiveness Pilot</w:t>
      </w:r>
      <w:r>
        <w:rPr>
          <w:lang w:eastAsia="zh-CN"/>
        </w:rPr>
        <w:t xml:space="preserve">. The electronic form must be submitted by </w:t>
      </w:r>
      <w:r w:rsidRPr="00B62268">
        <w:rPr>
          <w:b/>
          <w:lang w:eastAsia="zh-CN"/>
        </w:rPr>
        <w:t>8 p.m. Eastern, Thursday, May 26, 2016</w:t>
      </w:r>
      <w:r>
        <w:rPr>
          <w:lang w:eastAsia="zh-CN"/>
        </w:rPr>
        <w:t>.</w:t>
      </w:r>
    </w:p>
    <w:p w:rsidR="00B564B1" w:rsidRDefault="00B564B1" w:rsidP="00B564B1">
      <w:pPr>
        <w:autoSpaceDE w:val="0"/>
        <w:autoSpaceDN w:val="0"/>
        <w:adjustRightInd w:val="0"/>
        <w:jc w:val="both"/>
        <w:rPr>
          <w:lang w:eastAsia="zh-CN"/>
        </w:rPr>
      </w:pPr>
    </w:p>
    <w:p w:rsidR="00B564B1" w:rsidRDefault="00B564B1" w:rsidP="00B564B1">
      <w:pPr>
        <w:autoSpaceDE w:val="0"/>
        <w:autoSpaceDN w:val="0"/>
        <w:adjustRightInd w:val="0"/>
        <w:jc w:val="both"/>
      </w:pPr>
      <w:r>
        <w:rPr>
          <w:lang w:eastAsia="zh-CN"/>
        </w:rPr>
        <w:t xml:space="preserve">Documents and information about this project are available on the </w:t>
      </w:r>
      <w:hyperlink r:id="rId13" w:history="1">
        <w:r w:rsidRPr="00B62268">
          <w:rPr>
            <w:rStyle w:val="Hyperlink"/>
            <w:b/>
            <w:lang w:eastAsia="zh-CN"/>
          </w:rPr>
          <w:t>Cost Effectiveness Pilot</w:t>
        </w:r>
      </w:hyperlink>
      <w:r>
        <w:rPr>
          <w:lang w:eastAsia="zh-CN"/>
        </w:rPr>
        <w:t xml:space="preserve"> page. If you have questions, contact</w:t>
      </w:r>
      <w:r w:rsidRPr="00B564B1">
        <w:t xml:space="preserve"> </w:t>
      </w:r>
      <w:r w:rsidRPr="00F46DC4">
        <w:t xml:space="preserve">Standards Developer, </w:t>
      </w:r>
      <w:hyperlink r:id="rId14" w:history="1">
        <w:r w:rsidRPr="00F46DC4">
          <w:rPr>
            <w:rStyle w:val="Hyperlink"/>
          </w:rPr>
          <w:t>Jordan Mallory</w:t>
        </w:r>
      </w:hyperlink>
      <w:r w:rsidRPr="00F46DC4">
        <w:t xml:space="preserve"> (</w:t>
      </w:r>
      <w:r>
        <w:t>via email) or at (404) 446-9733</w:t>
      </w:r>
      <w:r>
        <w:rPr>
          <w:lang w:eastAsia="zh-CN"/>
        </w:rPr>
        <w:t>.</w:t>
      </w:r>
      <w:r>
        <w:tab/>
      </w:r>
    </w:p>
    <w:p w:rsidR="00B564B1" w:rsidRDefault="00B564B1" w:rsidP="00FE70BB">
      <w:pPr>
        <w:pStyle w:val="DocumentSubtitle"/>
      </w:pPr>
    </w:p>
    <w:bookmarkEnd w:id="0"/>
    <w:p w:rsidR="0039275D" w:rsidRPr="00FE70BB" w:rsidRDefault="005C6DF3" w:rsidP="00FE70BB">
      <w:pPr>
        <w:pStyle w:val="Heading1"/>
      </w:pPr>
      <w:r>
        <w:t>Background</w:t>
      </w:r>
    </w:p>
    <w:p w:rsidR="005C6DF3" w:rsidRDefault="00BA5923" w:rsidP="003109DD">
      <w:pPr>
        <w:autoSpaceDE w:val="0"/>
        <w:autoSpaceDN w:val="0"/>
        <w:adjustRightInd w:val="0"/>
        <w:jc w:val="both"/>
        <w:rPr>
          <w:lang w:eastAsia="zh-CN"/>
        </w:rPr>
      </w:pPr>
      <w:bookmarkStart w:id="1" w:name="_Toc195946481"/>
      <w:r>
        <w:rPr>
          <w:lang w:eastAsia="zh-CN"/>
        </w:rPr>
        <w:t xml:space="preserve">The objective </w:t>
      </w:r>
      <w:r w:rsidRPr="00642B0E">
        <w:rPr>
          <w:lang w:eastAsia="zh-CN"/>
        </w:rPr>
        <w:t xml:space="preserve">of this </w:t>
      </w:r>
      <w:r>
        <w:rPr>
          <w:lang w:eastAsia="zh-CN"/>
        </w:rPr>
        <w:t xml:space="preserve">proposal is to outline an approach </w:t>
      </w:r>
      <w:r w:rsidR="007E4553">
        <w:rPr>
          <w:lang w:eastAsia="zh-CN"/>
        </w:rPr>
        <w:t xml:space="preserve">to </w:t>
      </w:r>
      <w:r w:rsidR="00760F26">
        <w:rPr>
          <w:lang w:eastAsia="zh-CN"/>
        </w:rPr>
        <w:t>develop a</w:t>
      </w:r>
      <w:r>
        <w:rPr>
          <w:lang w:eastAsia="zh-CN"/>
        </w:rPr>
        <w:t xml:space="preserve"> </w:t>
      </w:r>
      <w:r w:rsidR="00760F26">
        <w:rPr>
          <w:lang w:eastAsia="zh-CN"/>
        </w:rPr>
        <w:t>method</w:t>
      </w:r>
      <w:r w:rsidR="004E5E50">
        <w:rPr>
          <w:lang w:eastAsia="zh-CN"/>
        </w:rPr>
        <w:t xml:space="preserve"> toward measuring</w:t>
      </w:r>
      <w:r>
        <w:rPr>
          <w:lang w:eastAsia="zh-CN"/>
        </w:rPr>
        <w:t xml:space="preserve"> of Reliability Standard implementation costs. </w:t>
      </w:r>
      <w:r w:rsidR="005C6DF3">
        <w:rPr>
          <w:lang w:eastAsia="zh-CN"/>
        </w:rPr>
        <w:t xml:space="preserve">Federal, State and Provincial regulatory authorities, the NERC Board of Trustees, Regional Entities, and many industry stakeholders have expressed interest in the identification of </w:t>
      </w:r>
      <w:r>
        <w:rPr>
          <w:lang w:eastAsia="zh-CN"/>
        </w:rPr>
        <w:t xml:space="preserve">the </w:t>
      </w:r>
      <w:r w:rsidR="005C6DF3">
        <w:rPr>
          <w:lang w:eastAsia="zh-CN"/>
        </w:rPr>
        <w:t>costs incurred from implementing NERC Reliability Standards compared to risks address</w:t>
      </w:r>
      <w:r>
        <w:rPr>
          <w:lang w:eastAsia="zh-CN"/>
        </w:rPr>
        <w:t>ed</w:t>
      </w:r>
      <w:r w:rsidR="005C6DF3">
        <w:rPr>
          <w:lang w:eastAsia="zh-CN"/>
        </w:rPr>
        <w:t xml:space="preserve">. The desire is to </w:t>
      </w:r>
      <w:r>
        <w:rPr>
          <w:lang w:eastAsia="zh-CN"/>
        </w:rPr>
        <w:t>balance</w:t>
      </w:r>
      <w:r w:rsidR="005C6DF3">
        <w:rPr>
          <w:lang w:eastAsia="zh-CN"/>
        </w:rPr>
        <w:t xml:space="preserve"> </w:t>
      </w:r>
      <w:r w:rsidR="00763F96">
        <w:rPr>
          <w:lang w:eastAsia="zh-CN"/>
        </w:rPr>
        <w:t>costs and risks</w:t>
      </w:r>
      <w:r w:rsidR="005C6DF3">
        <w:rPr>
          <w:lang w:eastAsia="zh-CN"/>
        </w:rPr>
        <w:t xml:space="preserve"> during the standards development and revision process.</w:t>
      </w:r>
    </w:p>
    <w:p w:rsidR="005C6DF3" w:rsidRDefault="005C6DF3" w:rsidP="003109DD">
      <w:pPr>
        <w:autoSpaceDE w:val="0"/>
        <w:autoSpaceDN w:val="0"/>
        <w:adjustRightInd w:val="0"/>
        <w:jc w:val="both"/>
        <w:rPr>
          <w:lang w:eastAsia="zh-CN"/>
        </w:rPr>
      </w:pPr>
    </w:p>
    <w:p w:rsidR="004E5E50" w:rsidRDefault="004E5E50" w:rsidP="004E5E50">
      <w:pPr>
        <w:autoSpaceDE w:val="0"/>
        <w:autoSpaceDN w:val="0"/>
        <w:adjustRightInd w:val="0"/>
        <w:jc w:val="both"/>
        <w:rPr>
          <w:rFonts w:cs="Calibri"/>
          <w:szCs w:val="22"/>
        </w:rPr>
      </w:pPr>
      <w:r w:rsidRPr="003B0117">
        <w:rPr>
          <w:rFonts w:cs="Calibri"/>
          <w:szCs w:val="22"/>
        </w:rPr>
        <w:t>In the past, determination of the costs from the implementation of NERC Reliability Standards was implicitly considered throughout the standards development process. Through this process, detailed comments are sought and modifications to proposed standards are made based on input from the standards ballot pool, which represents a cross-section of interested participants. However, some entities have requested a more direct assessment of costs, citing a number of different reasons. For example, registered entities have identified the need to estimate implementation costs for budgeting and rate case development. Further, many state regulators would like this information to determine consumer costs implications.</w:t>
      </w:r>
    </w:p>
    <w:p w:rsidR="005C6DF3" w:rsidRDefault="005C6DF3" w:rsidP="003109DD">
      <w:pPr>
        <w:autoSpaceDE w:val="0"/>
        <w:autoSpaceDN w:val="0"/>
        <w:adjustRightInd w:val="0"/>
        <w:jc w:val="both"/>
        <w:rPr>
          <w:lang w:eastAsia="zh-CN"/>
        </w:rPr>
      </w:pPr>
    </w:p>
    <w:p w:rsidR="005C6DF3" w:rsidRDefault="005C6DF3" w:rsidP="003109DD">
      <w:pPr>
        <w:autoSpaceDE w:val="0"/>
        <w:autoSpaceDN w:val="0"/>
        <w:adjustRightInd w:val="0"/>
        <w:jc w:val="both"/>
        <w:rPr>
          <w:lang w:eastAsia="zh-CN"/>
        </w:rPr>
      </w:pPr>
      <w:r>
        <w:rPr>
          <w:lang w:eastAsia="zh-CN"/>
        </w:rPr>
        <w:t xml:space="preserve">The actual cost to implement a Reliability Standard </w:t>
      </w:r>
      <w:r w:rsidR="00983964">
        <w:rPr>
          <w:lang w:eastAsia="zh-CN"/>
        </w:rPr>
        <w:t xml:space="preserve">may be </w:t>
      </w:r>
      <w:r>
        <w:rPr>
          <w:lang w:eastAsia="zh-CN"/>
        </w:rPr>
        <w:t xml:space="preserve">difficult to estimate. In general, registered </w:t>
      </w:r>
      <w:proofErr w:type="gramStart"/>
      <w:r>
        <w:rPr>
          <w:lang w:eastAsia="zh-CN"/>
        </w:rPr>
        <w:t>entities</w:t>
      </w:r>
      <w:proofErr w:type="gramEnd"/>
      <w:r>
        <w:rPr>
          <w:lang w:eastAsia="zh-CN"/>
        </w:rPr>
        <w:t xml:space="preserve"> vary in their operations, vulnerabilities, and starting points from which to calculate incremental costs. Hence, the costs for Reliability Standard implementation </w:t>
      </w:r>
      <w:r w:rsidR="00C50A47">
        <w:rPr>
          <w:lang w:eastAsia="zh-CN"/>
        </w:rPr>
        <w:t xml:space="preserve">may </w:t>
      </w:r>
      <w:r>
        <w:rPr>
          <w:lang w:eastAsia="zh-CN"/>
        </w:rPr>
        <w:t xml:space="preserve">vary by orders of magnitude by entity. </w:t>
      </w:r>
    </w:p>
    <w:p w:rsidR="005C6DF3" w:rsidRDefault="005C6DF3" w:rsidP="003109DD">
      <w:pPr>
        <w:autoSpaceDE w:val="0"/>
        <w:autoSpaceDN w:val="0"/>
        <w:adjustRightInd w:val="0"/>
        <w:jc w:val="both"/>
        <w:rPr>
          <w:lang w:eastAsia="zh-CN"/>
        </w:rPr>
      </w:pPr>
    </w:p>
    <w:p w:rsidR="005C6DF3" w:rsidRPr="00836AA9" w:rsidRDefault="005C6DF3" w:rsidP="003109DD">
      <w:pPr>
        <w:autoSpaceDE w:val="0"/>
        <w:autoSpaceDN w:val="0"/>
        <w:adjustRightInd w:val="0"/>
        <w:jc w:val="both"/>
        <w:rPr>
          <w:rFonts w:ascii="Tahoma" w:hAnsi="Tahoma" w:cs="Tahoma"/>
          <w:b/>
          <w:sz w:val="22"/>
          <w:szCs w:val="22"/>
        </w:rPr>
      </w:pPr>
      <w:r w:rsidRPr="00836AA9">
        <w:rPr>
          <w:rFonts w:ascii="Tahoma" w:hAnsi="Tahoma" w:cs="Tahoma"/>
          <w:b/>
          <w:sz w:val="22"/>
          <w:szCs w:val="22"/>
        </w:rPr>
        <w:t>Consideration of Risks to Reliability</w:t>
      </w:r>
    </w:p>
    <w:p w:rsidR="00BA5923" w:rsidRDefault="005C6DF3" w:rsidP="003109DD">
      <w:pPr>
        <w:autoSpaceDE w:val="0"/>
        <w:autoSpaceDN w:val="0"/>
        <w:adjustRightInd w:val="0"/>
        <w:jc w:val="both"/>
      </w:pPr>
      <w:r>
        <w:t xml:space="preserve">NERC has transitioned to include risk analysis in all aspects of its regulatory model, focusing the Electric Reliability Organization’s (ERO) and stakeholder resources on the highest risks to the reliability of the </w:t>
      </w:r>
      <w:r w:rsidR="00C50A47">
        <w:t>Bulk Electric System (</w:t>
      </w:r>
      <w:r>
        <w:t>BES</w:t>
      </w:r>
      <w:r w:rsidR="00C50A47">
        <w:t>)</w:t>
      </w:r>
      <w:r>
        <w:t xml:space="preserve">. </w:t>
      </w:r>
    </w:p>
    <w:p w:rsidR="00B40105" w:rsidRDefault="00B40105" w:rsidP="003109DD">
      <w:pPr>
        <w:autoSpaceDE w:val="0"/>
        <w:autoSpaceDN w:val="0"/>
        <w:adjustRightInd w:val="0"/>
        <w:jc w:val="both"/>
        <w:rPr>
          <w:rFonts w:ascii="Tahoma" w:hAnsi="Tahoma" w:cs="Tahoma"/>
          <w:b/>
          <w:sz w:val="22"/>
          <w:szCs w:val="22"/>
        </w:rPr>
      </w:pPr>
    </w:p>
    <w:p w:rsidR="005C6DF3" w:rsidRPr="00836AA9" w:rsidRDefault="00983964" w:rsidP="003109DD">
      <w:pPr>
        <w:autoSpaceDE w:val="0"/>
        <w:autoSpaceDN w:val="0"/>
        <w:adjustRightInd w:val="0"/>
        <w:jc w:val="both"/>
        <w:rPr>
          <w:rFonts w:ascii="Tahoma" w:hAnsi="Tahoma" w:cs="Tahoma"/>
          <w:b/>
          <w:sz w:val="22"/>
          <w:szCs w:val="22"/>
        </w:rPr>
      </w:pPr>
      <w:r>
        <w:rPr>
          <w:rFonts w:ascii="Tahoma" w:hAnsi="Tahoma" w:cs="Tahoma"/>
          <w:b/>
          <w:sz w:val="22"/>
          <w:szCs w:val="22"/>
        </w:rPr>
        <w:t xml:space="preserve">Proposed Pilot </w:t>
      </w:r>
      <w:r w:rsidR="005C6DF3" w:rsidRPr="00836AA9">
        <w:rPr>
          <w:rFonts w:ascii="Tahoma" w:hAnsi="Tahoma" w:cs="Tahoma"/>
          <w:b/>
          <w:sz w:val="22"/>
          <w:szCs w:val="22"/>
        </w:rPr>
        <w:t>for Developing Cost Evaluations during Standard Development</w:t>
      </w:r>
    </w:p>
    <w:p w:rsidR="005C6DF3" w:rsidRDefault="005C6DF3" w:rsidP="00B40105">
      <w:pPr>
        <w:autoSpaceDE w:val="0"/>
        <w:autoSpaceDN w:val="0"/>
        <w:adjustRightInd w:val="0"/>
        <w:jc w:val="both"/>
      </w:pPr>
      <w:r>
        <w:t xml:space="preserve">The proposal for developing cost evaluations during standard development </w:t>
      </w:r>
      <w:r w:rsidR="0087714C">
        <w:t xml:space="preserve">is as follows. A voluntary questionnaire will be provided to industry participants </w:t>
      </w:r>
      <w:r w:rsidR="00A5536D">
        <w:t xml:space="preserve">in order to obtain sufficient information to </w:t>
      </w:r>
      <w:r w:rsidR="0026615D">
        <w:t xml:space="preserve">develop a high level analysis of the risk reduction to the BES under consideration, as well as the potential costs (e.g. monetary and societal) of not addressing the reliability risks. </w:t>
      </w:r>
      <w:r w:rsidR="0087714C">
        <w:t>This questionnaire will be</w:t>
      </w:r>
      <w:r w:rsidR="00B40105">
        <w:t xml:space="preserve"> </w:t>
      </w:r>
      <w:r>
        <w:t>conducted prior to, or in conjunction with, the</w:t>
      </w:r>
      <w:r w:rsidR="006E6B37">
        <w:t xml:space="preserve"> standard authorization stage</w:t>
      </w:r>
      <w:r>
        <w:t xml:space="preserve"> </w:t>
      </w:r>
      <w:r w:rsidR="006E6B37">
        <w:t>(</w:t>
      </w:r>
      <w:r>
        <w:t>SAR</w:t>
      </w:r>
      <w:r w:rsidR="006E6B37">
        <w:t>)</w:t>
      </w:r>
      <w:r>
        <w:t xml:space="preserve"> stage of standard development. If</w:t>
      </w:r>
      <w:r w:rsidR="0026615D">
        <w:t xml:space="preserve">, during the </w:t>
      </w:r>
      <w:r w:rsidR="0026615D">
        <w:lastRenderedPageBreak/>
        <w:t>development of a SAR,</w:t>
      </w:r>
      <w:r>
        <w:t xml:space="preserve"> the drafting team believes there is a need to pose questions to the industry during the drafting phase, </w:t>
      </w:r>
      <w:r w:rsidR="0087714C">
        <w:t xml:space="preserve">it </w:t>
      </w:r>
      <w:r w:rsidR="00A5536D">
        <w:t xml:space="preserve">may </w:t>
      </w:r>
      <w:r>
        <w:t xml:space="preserve">identify the reliability risk being mitigated and provide industry the opportunity to identify alternate methods to be captured in the standard that may achieve the reduction in risk to the BES in a cost effective manner. </w:t>
      </w:r>
      <w:r w:rsidR="0026615D">
        <w:t xml:space="preserve">If conducted prior to the development of the SAR, questions could be developed in a similar manner to obtain information that may provide insight </w:t>
      </w:r>
      <w:r w:rsidR="006E6B37">
        <w:t>on</w:t>
      </w:r>
      <w:r w:rsidR="0026615D">
        <w:t xml:space="preserve"> SAR develop</w:t>
      </w:r>
      <w:r w:rsidR="006E6B37">
        <w:t>ment options.</w:t>
      </w:r>
      <w:r w:rsidR="0026615D">
        <w:t xml:space="preserve">   </w:t>
      </w:r>
    </w:p>
    <w:p w:rsidR="005C6DF3" w:rsidRDefault="005C6DF3" w:rsidP="003109DD">
      <w:pPr>
        <w:autoSpaceDE w:val="0"/>
        <w:autoSpaceDN w:val="0"/>
        <w:adjustRightInd w:val="0"/>
        <w:jc w:val="both"/>
      </w:pPr>
    </w:p>
    <w:p w:rsidR="00823705" w:rsidRDefault="00823705" w:rsidP="003109DD">
      <w:pPr>
        <w:autoSpaceDE w:val="0"/>
        <w:autoSpaceDN w:val="0"/>
        <w:adjustRightInd w:val="0"/>
        <w:jc w:val="both"/>
      </w:pPr>
    </w:p>
    <w:p w:rsidR="005C6DF3" w:rsidRPr="00836AA9" w:rsidRDefault="00983964" w:rsidP="003109DD">
      <w:pPr>
        <w:autoSpaceDE w:val="0"/>
        <w:autoSpaceDN w:val="0"/>
        <w:adjustRightInd w:val="0"/>
        <w:jc w:val="both"/>
        <w:rPr>
          <w:rFonts w:ascii="Tahoma" w:hAnsi="Tahoma" w:cs="Tahoma"/>
          <w:b/>
          <w:sz w:val="22"/>
          <w:szCs w:val="22"/>
        </w:rPr>
      </w:pPr>
      <w:r>
        <w:rPr>
          <w:rFonts w:ascii="Tahoma" w:hAnsi="Tahoma" w:cs="Tahoma"/>
          <w:b/>
          <w:sz w:val="22"/>
          <w:szCs w:val="22"/>
        </w:rPr>
        <w:t xml:space="preserve">Initial </w:t>
      </w:r>
      <w:r w:rsidR="005C6DF3" w:rsidRPr="00836AA9">
        <w:rPr>
          <w:rFonts w:ascii="Tahoma" w:hAnsi="Tahoma" w:cs="Tahoma"/>
          <w:b/>
          <w:sz w:val="22"/>
          <w:szCs w:val="22"/>
        </w:rPr>
        <w:t xml:space="preserve">Pilot </w:t>
      </w:r>
    </w:p>
    <w:p w:rsidR="005C6DF3" w:rsidRPr="009A4FEE" w:rsidRDefault="00A5302E" w:rsidP="003109DD">
      <w:pPr>
        <w:autoSpaceDE w:val="0"/>
        <w:autoSpaceDN w:val="0"/>
        <w:adjustRightInd w:val="0"/>
        <w:jc w:val="both"/>
      </w:pPr>
      <w:r>
        <w:t>There are</w:t>
      </w:r>
      <w:r w:rsidR="005C6DF3">
        <w:t xml:space="preserve"> two </w:t>
      </w:r>
      <w:r>
        <w:t xml:space="preserve">outstanding </w:t>
      </w:r>
      <w:r w:rsidR="005C6DF3">
        <w:t>directives from FERC Order No. 786</w:t>
      </w:r>
      <w:r>
        <w:rPr>
          <w:rStyle w:val="FootnoteReference"/>
        </w:rPr>
        <w:footnoteReference w:id="1"/>
      </w:r>
      <w:r w:rsidR="005C6DF3">
        <w:t xml:space="preserve"> </w:t>
      </w:r>
      <w:r>
        <w:t>relating to</w:t>
      </w:r>
      <w:r w:rsidR="005C6DF3">
        <w:t xml:space="preserve"> TPL‐001‐4 — Transmission </w:t>
      </w:r>
      <w:r w:rsidR="005C6DF3" w:rsidRPr="009A4FEE">
        <w:t xml:space="preserve">System Planning Performance Requirements. </w:t>
      </w:r>
    </w:p>
    <w:p w:rsidR="005C6DF3" w:rsidRPr="009A4FEE" w:rsidRDefault="005C6DF3" w:rsidP="003109DD">
      <w:pPr>
        <w:pStyle w:val="ListParagraph"/>
        <w:numPr>
          <w:ilvl w:val="0"/>
          <w:numId w:val="25"/>
        </w:numPr>
        <w:autoSpaceDE w:val="0"/>
        <w:autoSpaceDN w:val="0"/>
        <w:adjustRightInd w:val="0"/>
        <w:spacing w:before="120"/>
        <w:contextualSpacing w:val="0"/>
        <w:jc w:val="both"/>
      </w:pPr>
      <w:r w:rsidRPr="009A4FEE">
        <w:t>Paragraph 40 directs NERC to modify Reliability Standard TPL‐001‐4 to address the concern that the six-month threshold could exclude planned maintenance outag</w:t>
      </w:r>
      <w:bookmarkStart w:id="2" w:name="_GoBack"/>
      <w:bookmarkEnd w:id="2"/>
      <w:r w:rsidRPr="009A4FEE">
        <w:t>es of significant facilities from future planning assessments.</w:t>
      </w:r>
    </w:p>
    <w:p w:rsidR="005C6DF3" w:rsidRPr="009A4FEE" w:rsidRDefault="005C6DF3" w:rsidP="003109DD">
      <w:pPr>
        <w:pStyle w:val="ListParagraph"/>
        <w:numPr>
          <w:ilvl w:val="0"/>
          <w:numId w:val="25"/>
        </w:numPr>
        <w:autoSpaceDE w:val="0"/>
        <w:autoSpaceDN w:val="0"/>
        <w:adjustRightInd w:val="0"/>
        <w:spacing w:before="120"/>
        <w:contextualSpacing w:val="0"/>
        <w:jc w:val="both"/>
      </w:pPr>
      <w:r w:rsidRPr="009A4FEE">
        <w:t>Paragraph 89 directs NERC to consider a spare equipment strategy for stability analysis</w:t>
      </w:r>
      <w:r w:rsidR="00A77D6B">
        <w:t xml:space="preserve"> that is similar to that required for steady state analysis</w:t>
      </w:r>
      <w:r w:rsidRPr="009A4FEE">
        <w:t xml:space="preserve"> upon the next review cycle of Reliability Standard TPL‐001‐4.</w:t>
      </w:r>
    </w:p>
    <w:p w:rsidR="005C6DF3" w:rsidRDefault="005C6DF3" w:rsidP="003109DD">
      <w:pPr>
        <w:jc w:val="both"/>
      </w:pPr>
    </w:p>
    <w:p w:rsidR="003948E2" w:rsidRDefault="00B62268" w:rsidP="003109DD">
      <w:pPr>
        <w:jc w:val="both"/>
      </w:pPr>
      <w:hyperlink r:id="rId15" w:history="1">
        <w:r w:rsidR="00B40105" w:rsidRPr="00FE0994">
          <w:rPr>
            <w:rStyle w:val="Hyperlink"/>
          </w:rPr>
          <w:t>Project 2015-10: Single Points of Failure TPL-001</w:t>
        </w:r>
      </w:hyperlink>
      <w:r w:rsidR="00B40105">
        <w:t xml:space="preserve"> from the 2016-2018 Reliability Standards Development Plan is developing a SAR to address potential modifications to TPL-001-4. The results of this pilot will be provided to the drafting team to inform their work on modifying this standard. </w:t>
      </w:r>
      <w:r w:rsidR="00B30EA4">
        <w:t xml:space="preserve">The following questions are provided to obtain information about risks and costs related to </w:t>
      </w:r>
      <w:r w:rsidR="00B40105">
        <w:t xml:space="preserve">the two </w:t>
      </w:r>
      <w:r w:rsidR="00B30EA4">
        <w:t>directives</w:t>
      </w:r>
      <w:r w:rsidR="00B40105">
        <w:t xml:space="preserve"> above</w:t>
      </w:r>
      <w:r w:rsidR="00B30EA4">
        <w:t>.</w:t>
      </w:r>
    </w:p>
    <w:bookmarkEnd w:id="1"/>
    <w:p w:rsidR="006E6B37" w:rsidRPr="006E6B37" w:rsidRDefault="006E6B37" w:rsidP="007E4553">
      <w:pPr>
        <w:pStyle w:val="Heading2"/>
      </w:pPr>
    </w:p>
    <w:p w:rsidR="005C6DF3" w:rsidRDefault="005C6DF3" w:rsidP="005C6DF3">
      <w:pPr>
        <w:pStyle w:val="Heading2"/>
      </w:pPr>
      <w:r>
        <w:t>Questions</w:t>
      </w:r>
    </w:p>
    <w:p w:rsidR="005C6DF3" w:rsidRDefault="005C6DF3" w:rsidP="005C6DF3"/>
    <w:p w:rsidR="00787061" w:rsidRPr="000B7836" w:rsidRDefault="00872B83" w:rsidP="003F7E27">
      <w:pPr>
        <w:pStyle w:val="ListParagraph"/>
        <w:numPr>
          <w:ilvl w:val="0"/>
          <w:numId w:val="36"/>
        </w:numPr>
      </w:pPr>
      <w:r w:rsidRPr="007E4553" w:rsidDel="006E6B37">
        <w:rPr>
          <w:rFonts w:ascii="Calibri" w:hAnsi="Calibri"/>
        </w:rPr>
        <w:t>Reliability Standard TPL-001-4 requires a</w:t>
      </w:r>
      <w:r w:rsidR="001C514F" w:rsidRPr="007E4553" w:rsidDel="006E6B37">
        <w:rPr>
          <w:rFonts w:ascii="Calibri" w:hAnsi="Calibri"/>
        </w:rPr>
        <w:t>n</w:t>
      </w:r>
      <w:r w:rsidRPr="007E4553" w:rsidDel="006E6B37">
        <w:rPr>
          <w:rFonts w:ascii="Calibri" w:hAnsi="Calibri"/>
        </w:rPr>
        <w:t xml:space="preserve"> </w:t>
      </w:r>
      <w:r w:rsidR="001C514F" w:rsidRPr="007E4553" w:rsidDel="006E6B37">
        <w:rPr>
          <w:rFonts w:ascii="Calibri" w:hAnsi="Calibri"/>
        </w:rPr>
        <w:t>entity</w:t>
      </w:r>
      <w:r w:rsidRPr="007E4553" w:rsidDel="006E6B37">
        <w:rPr>
          <w:rFonts w:ascii="Calibri" w:hAnsi="Calibri"/>
        </w:rPr>
        <w:t xml:space="preserve"> to consider planned maintenance outages greater than six months in duration in its studies. </w:t>
      </w:r>
      <w:r w:rsidR="005818C7">
        <w:rPr>
          <w:rFonts w:ascii="Calibri" w:hAnsi="Calibri"/>
        </w:rPr>
        <w:t xml:space="preserve"> What, if any, risk is there to the reliable operation of the </w:t>
      </w:r>
      <w:r w:rsidRPr="007E4553">
        <w:rPr>
          <w:rFonts w:ascii="Calibri" w:hAnsi="Calibri"/>
        </w:rPr>
        <w:t xml:space="preserve"> Bulk </w:t>
      </w:r>
      <w:r w:rsidR="005818C7">
        <w:rPr>
          <w:rFonts w:ascii="Calibri" w:hAnsi="Calibri"/>
        </w:rPr>
        <w:t xml:space="preserve">Power </w:t>
      </w:r>
      <w:r w:rsidRPr="007E4553">
        <w:rPr>
          <w:rFonts w:ascii="Calibri" w:hAnsi="Calibri"/>
        </w:rPr>
        <w:t>System (B</w:t>
      </w:r>
      <w:r w:rsidR="005818C7">
        <w:rPr>
          <w:rFonts w:ascii="Calibri" w:hAnsi="Calibri"/>
        </w:rPr>
        <w:t>P</w:t>
      </w:r>
      <w:r w:rsidRPr="007E4553">
        <w:rPr>
          <w:rFonts w:ascii="Calibri" w:hAnsi="Calibri"/>
        </w:rPr>
        <w:t>S)</w:t>
      </w:r>
      <w:r w:rsidR="00787061">
        <w:rPr>
          <w:rFonts w:ascii="Calibri" w:hAnsi="Calibri"/>
        </w:rPr>
        <w:t>,</w:t>
      </w:r>
      <w:r w:rsidRPr="007E4553">
        <w:rPr>
          <w:rFonts w:ascii="Calibri" w:hAnsi="Calibri"/>
        </w:rPr>
        <w:t xml:space="preserve"> </w:t>
      </w:r>
      <w:r w:rsidR="005818C7">
        <w:rPr>
          <w:rFonts w:ascii="Calibri" w:hAnsi="Calibri"/>
        </w:rPr>
        <w:t>as defined in Section 215 of the Federal Power Act (i.e., “</w:t>
      </w:r>
      <w:r w:rsidR="005818C7" w:rsidRPr="005818C7">
        <w:rPr>
          <w:rFonts w:ascii="Calibri" w:hAnsi="Calibri"/>
        </w:rPr>
        <w:t>operating the elements of the bulk-power system within equipment and electric system thermal, voltage, and stability limits so that instability, uncontrolled separation, or cascading failures of such system will not occur as a result of a sudden dis</w:t>
      </w:r>
      <w:r w:rsidR="005818C7">
        <w:rPr>
          <w:rFonts w:ascii="Calibri" w:hAnsi="Calibri"/>
        </w:rPr>
        <w:t>turbance . . .</w:t>
      </w:r>
      <w:r w:rsidR="005818C7" w:rsidRPr="005818C7">
        <w:rPr>
          <w:rFonts w:ascii="Calibri" w:hAnsi="Calibri"/>
        </w:rPr>
        <w:t xml:space="preserve"> or unanticipated failure of system elements</w:t>
      </w:r>
      <w:r w:rsidR="00A2452B">
        <w:rPr>
          <w:rFonts w:ascii="Calibri" w:hAnsi="Calibri"/>
        </w:rPr>
        <w:t>”</w:t>
      </w:r>
      <w:r w:rsidR="00787061">
        <w:rPr>
          <w:rFonts w:ascii="Calibri" w:hAnsi="Calibri"/>
        </w:rPr>
        <w:t>)</w:t>
      </w:r>
      <w:r w:rsidRPr="007E4553">
        <w:rPr>
          <w:rFonts w:ascii="Calibri" w:hAnsi="Calibri"/>
        </w:rPr>
        <w:t xml:space="preserve"> if planned maintenance outages of less than six months in duration are not considered in studies during one or both seasonal off-peak periods?</w:t>
      </w:r>
      <w:r w:rsidR="00D63F69" w:rsidRPr="003815F2">
        <w:t xml:space="preserve"> </w:t>
      </w:r>
      <w:r w:rsidR="00787061" w:rsidRPr="003F7E27">
        <w:t>Please explain your response</w:t>
      </w:r>
      <w:r w:rsidR="00787061">
        <w:t>:</w:t>
      </w:r>
      <w:r w:rsidR="00787061" w:rsidRPr="000B7836">
        <w:t xml:space="preserve">  </w:t>
      </w:r>
      <w:r w:rsidR="003F7E27" w:rsidRPr="007E4553">
        <w:fldChar w:fldCharType="begin">
          <w:ffData>
            <w:name w:val="Text12"/>
            <w:enabled/>
            <w:calcOnExit w:val="0"/>
            <w:textInput/>
          </w:ffData>
        </w:fldChar>
      </w:r>
      <w:r w:rsidR="003F7E27" w:rsidRPr="003815F2">
        <w:instrText xml:space="preserve"> FORMTEXT </w:instrText>
      </w:r>
      <w:r w:rsidR="003F7E27" w:rsidRPr="007E4553">
        <w:fldChar w:fldCharType="separate"/>
      </w:r>
      <w:r w:rsidR="003F7E27" w:rsidRPr="003815F2">
        <w:t> </w:t>
      </w:r>
      <w:r w:rsidR="003F7E27" w:rsidRPr="003815F2">
        <w:t> </w:t>
      </w:r>
      <w:r w:rsidR="003F7E27" w:rsidRPr="003815F2">
        <w:t> </w:t>
      </w:r>
      <w:r w:rsidR="003F7E27" w:rsidRPr="003815F2">
        <w:t> </w:t>
      </w:r>
      <w:r w:rsidR="003F7E27" w:rsidRPr="003815F2">
        <w:t> </w:t>
      </w:r>
      <w:r w:rsidR="003F7E27" w:rsidRPr="007E4553">
        <w:fldChar w:fldCharType="end"/>
      </w:r>
      <w:r w:rsidR="00787061" w:rsidRPr="000B7836">
        <w:t xml:space="preserve">    </w:t>
      </w:r>
    </w:p>
    <w:p w:rsidR="0073539E" w:rsidRDefault="0073539E" w:rsidP="005C6DF3">
      <w:pPr>
        <w:ind w:left="720"/>
      </w:pPr>
    </w:p>
    <w:p w:rsidR="006B4B01" w:rsidRDefault="005818C7" w:rsidP="006B4B01">
      <w:pPr>
        <w:pStyle w:val="Bullet"/>
        <w:numPr>
          <w:ilvl w:val="0"/>
          <w:numId w:val="28"/>
        </w:numPr>
        <w:tabs>
          <w:tab w:val="left" w:pos="720"/>
        </w:tabs>
        <w:spacing w:before="0" w:after="120"/>
        <w:rPr>
          <w:rFonts w:ascii="Calibri" w:hAnsi="Calibri"/>
          <w:sz w:val="24"/>
          <w:szCs w:val="24"/>
        </w:rPr>
      </w:pPr>
      <w:r>
        <w:rPr>
          <w:rFonts w:ascii="Calibri" w:hAnsi="Calibri"/>
          <w:sz w:val="24"/>
          <w:szCs w:val="24"/>
        </w:rPr>
        <w:t xml:space="preserve">If there are </w:t>
      </w:r>
      <w:r w:rsidR="006B4B01">
        <w:rPr>
          <w:rFonts w:ascii="Calibri" w:hAnsi="Calibri"/>
          <w:sz w:val="24"/>
          <w:szCs w:val="24"/>
        </w:rPr>
        <w:t xml:space="preserve">risks to </w:t>
      </w:r>
      <w:r>
        <w:rPr>
          <w:rFonts w:ascii="Calibri" w:hAnsi="Calibri"/>
          <w:sz w:val="24"/>
          <w:szCs w:val="24"/>
        </w:rPr>
        <w:t>the reliable operation of the BPS, are the lik</w:t>
      </w:r>
      <w:r w:rsidR="00E658E0">
        <w:rPr>
          <w:rFonts w:ascii="Calibri" w:hAnsi="Calibri"/>
          <w:sz w:val="24"/>
          <w:szCs w:val="24"/>
        </w:rPr>
        <w:t>eli</w:t>
      </w:r>
      <w:r>
        <w:rPr>
          <w:rFonts w:ascii="Calibri" w:hAnsi="Calibri"/>
          <w:sz w:val="24"/>
          <w:szCs w:val="24"/>
        </w:rPr>
        <w:t xml:space="preserve">hood of </w:t>
      </w:r>
      <w:r w:rsidR="006050A6">
        <w:rPr>
          <w:rFonts w:ascii="Calibri" w:hAnsi="Calibri"/>
          <w:sz w:val="24"/>
          <w:szCs w:val="24"/>
        </w:rPr>
        <w:t xml:space="preserve">the occurrence of </w:t>
      </w:r>
      <w:r>
        <w:rPr>
          <w:rFonts w:ascii="Calibri" w:hAnsi="Calibri"/>
          <w:sz w:val="24"/>
          <w:szCs w:val="24"/>
        </w:rPr>
        <w:t xml:space="preserve">these risks low, medium or high?  </w:t>
      </w:r>
      <w:r w:rsidR="003F7E27" w:rsidRPr="007E4553">
        <w:fldChar w:fldCharType="begin">
          <w:ffData>
            <w:name w:val="Text12"/>
            <w:enabled/>
            <w:calcOnExit w:val="0"/>
            <w:textInput/>
          </w:ffData>
        </w:fldChar>
      </w:r>
      <w:r w:rsidR="003F7E27" w:rsidRPr="003815F2">
        <w:instrText xml:space="preserve"> FORMTEXT </w:instrText>
      </w:r>
      <w:r w:rsidR="003F7E27" w:rsidRPr="007E4553">
        <w:fldChar w:fldCharType="separate"/>
      </w:r>
      <w:r w:rsidR="003F7E27" w:rsidRPr="003815F2">
        <w:t> </w:t>
      </w:r>
      <w:r w:rsidR="003F7E27" w:rsidRPr="003815F2">
        <w:t> </w:t>
      </w:r>
      <w:r w:rsidR="003F7E27" w:rsidRPr="003815F2">
        <w:t> </w:t>
      </w:r>
      <w:r w:rsidR="003F7E27" w:rsidRPr="003815F2">
        <w:t> </w:t>
      </w:r>
      <w:r w:rsidR="003F7E27" w:rsidRPr="003815F2">
        <w:t> </w:t>
      </w:r>
      <w:r w:rsidR="003F7E27" w:rsidRPr="007E4553">
        <w:fldChar w:fldCharType="end"/>
      </w:r>
    </w:p>
    <w:p w:rsidR="006E6B37" w:rsidRDefault="006E6B37" w:rsidP="006B4B01">
      <w:pPr>
        <w:ind w:left="1440"/>
        <w:rPr>
          <w:rFonts w:ascii="Calibri" w:hAnsi="Calibri"/>
        </w:rPr>
      </w:pPr>
    </w:p>
    <w:p w:rsidR="0073539E" w:rsidRPr="000B7836" w:rsidRDefault="006E6B37" w:rsidP="006B4B01">
      <w:pPr>
        <w:ind w:left="1440"/>
      </w:pPr>
      <w:r>
        <w:rPr>
          <w:rFonts w:ascii="Calibri" w:hAnsi="Calibri"/>
        </w:rPr>
        <w:t>Please explain your response</w:t>
      </w:r>
      <w:r w:rsidR="0073539E" w:rsidRPr="000B7836">
        <w:t xml:space="preserve">: </w:t>
      </w:r>
      <w:r w:rsidR="00D63F69" w:rsidRPr="000B7836">
        <w:t xml:space="preserve"> </w:t>
      </w:r>
      <w:r w:rsidR="003F7E27" w:rsidRPr="007E4553">
        <w:fldChar w:fldCharType="begin">
          <w:ffData>
            <w:name w:val="Text12"/>
            <w:enabled/>
            <w:calcOnExit w:val="0"/>
            <w:textInput/>
          </w:ffData>
        </w:fldChar>
      </w:r>
      <w:r w:rsidR="003F7E27" w:rsidRPr="003815F2">
        <w:instrText xml:space="preserve"> FORMTEXT </w:instrText>
      </w:r>
      <w:r w:rsidR="003F7E27" w:rsidRPr="007E4553">
        <w:fldChar w:fldCharType="separate"/>
      </w:r>
      <w:r w:rsidR="003F7E27" w:rsidRPr="003815F2">
        <w:t> </w:t>
      </w:r>
      <w:r w:rsidR="003F7E27" w:rsidRPr="003815F2">
        <w:t> </w:t>
      </w:r>
      <w:r w:rsidR="003F7E27" w:rsidRPr="003815F2">
        <w:t> </w:t>
      </w:r>
      <w:r w:rsidR="003F7E27" w:rsidRPr="003815F2">
        <w:t> </w:t>
      </w:r>
      <w:r w:rsidR="003F7E27" w:rsidRPr="003815F2">
        <w:t> </w:t>
      </w:r>
      <w:r w:rsidR="003F7E27" w:rsidRPr="007E4553">
        <w:fldChar w:fldCharType="end"/>
      </w:r>
      <w:r w:rsidR="00D63F69" w:rsidRPr="000B7836">
        <w:t xml:space="preserve">    </w:t>
      </w:r>
    </w:p>
    <w:p w:rsidR="005C6DF3" w:rsidRDefault="005C6DF3" w:rsidP="005C6DF3">
      <w:pPr>
        <w:ind w:left="720"/>
      </w:pPr>
    </w:p>
    <w:p w:rsidR="0073539E" w:rsidRDefault="006B4B01" w:rsidP="007E4553">
      <w:pPr>
        <w:pStyle w:val="ListParagraph"/>
        <w:keepNext/>
        <w:numPr>
          <w:ilvl w:val="0"/>
          <w:numId w:val="28"/>
        </w:numPr>
      </w:pPr>
      <w:r w:rsidRPr="006E6B37">
        <w:rPr>
          <w:rFonts w:ascii="Calibri" w:hAnsi="Calibri"/>
        </w:rPr>
        <w:lastRenderedPageBreak/>
        <w:t>What costs should be considered when evaluating these risks</w:t>
      </w:r>
      <w:r w:rsidR="00983964">
        <w:rPr>
          <w:rFonts w:ascii="Calibri" w:hAnsi="Calibri"/>
        </w:rPr>
        <w:t xml:space="preserve"> or in adding </w:t>
      </w:r>
      <w:r w:rsidR="00983964" w:rsidRPr="007E4553" w:rsidDel="006E6B37">
        <w:rPr>
          <w:rFonts w:ascii="Calibri" w:hAnsi="Calibri"/>
        </w:rPr>
        <w:t xml:space="preserve">planned maintenance outages </w:t>
      </w:r>
      <w:r w:rsidR="00BE39C3">
        <w:rPr>
          <w:rFonts w:ascii="Calibri" w:hAnsi="Calibri"/>
        </w:rPr>
        <w:t>less</w:t>
      </w:r>
      <w:r w:rsidR="00983964" w:rsidRPr="007E4553" w:rsidDel="006E6B37">
        <w:rPr>
          <w:rFonts w:ascii="Calibri" w:hAnsi="Calibri"/>
        </w:rPr>
        <w:t xml:space="preserve"> than six months</w:t>
      </w:r>
      <w:r w:rsidR="00983964">
        <w:rPr>
          <w:rFonts w:ascii="Calibri" w:hAnsi="Calibri"/>
        </w:rPr>
        <w:t xml:space="preserve"> to TPL-001-4</w:t>
      </w:r>
      <w:r w:rsidRPr="006E6B37">
        <w:rPr>
          <w:rFonts w:ascii="Calibri" w:hAnsi="Calibri"/>
        </w:rPr>
        <w:t>? Please explain your</w:t>
      </w:r>
      <w:r>
        <w:t xml:space="preserve"> </w:t>
      </w:r>
      <w:r w:rsidRPr="006E6B37">
        <w:rPr>
          <w:rFonts w:ascii="Calibri" w:hAnsi="Calibri"/>
        </w:rPr>
        <w:t>response</w:t>
      </w:r>
      <w:r w:rsidR="0073539E" w:rsidRPr="000B7836">
        <w:t xml:space="preserve">: </w:t>
      </w:r>
      <w:r w:rsidR="00D63F69" w:rsidRPr="000B7836">
        <w:t xml:space="preserve"> </w:t>
      </w:r>
      <w:r w:rsidR="003F7E27" w:rsidRPr="007E4553">
        <w:fldChar w:fldCharType="begin">
          <w:ffData>
            <w:name w:val="Text12"/>
            <w:enabled/>
            <w:calcOnExit w:val="0"/>
            <w:textInput/>
          </w:ffData>
        </w:fldChar>
      </w:r>
      <w:r w:rsidR="003F7E27" w:rsidRPr="003815F2">
        <w:instrText xml:space="preserve"> FORMTEXT </w:instrText>
      </w:r>
      <w:r w:rsidR="003F7E27" w:rsidRPr="007E4553">
        <w:fldChar w:fldCharType="separate"/>
      </w:r>
      <w:r w:rsidR="003F7E27" w:rsidRPr="003815F2">
        <w:t> </w:t>
      </w:r>
      <w:r w:rsidR="003F7E27" w:rsidRPr="003815F2">
        <w:t> </w:t>
      </w:r>
      <w:r w:rsidR="003F7E27" w:rsidRPr="003815F2">
        <w:t> </w:t>
      </w:r>
      <w:r w:rsidR="003F7E27" w:rsidRPr="003815F2">
        <w:t> </w:t>
      </w:r>
      <w:r w:rsidR="003F7E27" w:rsidRPr="003815F2">
        <w:t> </w:t>
      </w:r>
      <w:r w:rsidR="003F7E27" w:rsidRPr="007E4553">
        <w:fldChar w:fldCharType="end"/>
      </w:r>
      <w:r w:rsidR="00D63F69" w:rsidRPr="000B7836">
        <w:t xml:space="preserve">    </w:t>
      </w:r>
    </w:p>
    <w:p w:rsidR="006B4B01" w:rsidRDefault="006B4B01" w:rsidP="006B4B01">
      <w:pPr>
        <w:ind w:left="1440"/>
      </w:pPr>
    </w:p>
    <w:p w:rsidR="006B4B01" w:rsidRDefault="006B4B01" w:rsidP="006B4B01">
      <w:pPr>
        <w:pStyle w:val="Bullet"/>
        <w:numPr>
          <w:ilvl w:val="0"/>
          <w:numId w:val="28"/>
        </w:numPr>
        <w:tabs>
          <w:tab w:val="left" w:pos="720"/>
        </w:tabs>
        <w:spacing w:before="0" w:after="120"/>
        <w:rPr>
          <w:rFonts w:ascii="Calibri" w:hAnsi="Calibri"/>
          <w:sz w:val="24"/>
          <w:szCs w:val="24"/>
        </w:rPr>
      </w:pPr>
      <w:r>
        <w:rPr>
          <w:rFonts w:ascii="Calibri" w:hAnsi="Calibri"/>
          <w:sz w:val="24"/>
          <w:szCs w:val="24"/>
        </w:rPr>
        <w:t xml:space="preserve">If </w:t>
      </w:r>
      <w:r w:rsidR="006050A6">
        <w:rPr>
          <w:rFonts w:ascii="Calibri" w:hAnsi="Calibri"/>
          <w:sz w:val="24"/>
          <w:szCs w:val="24"/>
        </w:rPr>
        <w:t>you identified one or more risks and identified a likelihood of “medium” or “high”</w:t>
      </w:r>
      <w:r w:rsidR="001C514F">
        <w:rPr>
          <w:rFonts w:ascii="Calibri" w:hAnsi="Calibri"/>
          <w:sz w:val="24"/>
          <w:szCs w:val="24"/>
        </w:rPr>
        <w:t xml:space="preserve">, is there a </w:t>
      </w:r>
      <w:r w:rsidR="00983964">
        <w:rPr>
          <w:rFonts w:ascii="Calibri" w:hAnsi="Calibri"/>
          <w:sz w:val="24"/>
          <w:szCs w:val="24"/>
        </w:rPr>
        <w:t xml:space="preserve">more </w:t>
      </w:r>
      <w:r w:rsidR="001C514F">
        <w:rPr>
          <w:rFonts w:ascii="Calibri" w:hAnsi="Calibri"/>
          <w:sz w:val="24"/>
          <w:szCs w:val="24"/>
        </w:rPr>
        <w:t xml:space="preserve">cost </w:t>
      </w:r>
      <w:r>
        <w:rPr>
          <w:rFonts w:ascii="Calibri" w:hAnsi="Calibri"/>
          <w:sz w:val="24"/>
          <w:szCs w:val="24"/>
        </w:rPr>
        <w:t xml:space="preserve">effective manner to reduce </w:t>
      </w:r>
      <w:r w:rsidR="001C514F">
        <w:rPr>
          <w:rFonts w:ascii="Calibri" w:hAnsi="Calibri"/>
          <w:sz w:val="24"/>
          <w:szCs w:val="24"/>
        </w:rPr>
        <w:t>them</w:t>
      </w:r>
      <w:r w:rsidR="00983964">
        <w:rPr>
          <w:rFonts w:ascii="Calibri" w:hAnsi="Calibri"/>
          <w:sz w:val="24"/>
          <w:szCs w:val="24"/>
        </w:rPr>
        <w:t xml:space="preserve"> rather than revising TPL-001-4 or is there an preferred approach to revising TPL-001-4 that takes into consideration cost effectiv</w:t>
      </w:r>
      <w:r w:rsidR="006050A6">
        <w:rPr>
          <w:rFonts w:ascii="Calibri" w:hAnsi="Calibri"/>
          <w:sz w:val="24"/>
          <w:szCs w:val="24"/>
        </w:rPr>
        <w:t>e</w:t>
      </w:r>
      <w:r w:rsidR="00983964">
        <w:rPr>
          <w:rFonts w:ascii="Calibri" w:hAnsi="Calibri"/>
          <w:sz w:val="24"/>
          <w:szCs w:val="24"/>
        </w:rPr>
        <w:t>ness</w:t>
      </w:r>
      <w:r>
        <w:rPr>
          <w:rFonts w:ascii="Calibri" w:hAnsi="Calibri"/>
          <w:sz w:val="24"/>
          <w:szCs w:val="24"/>
        </w:rPr>
        <w:t xml:space="preserve">? </w:t>
      </w:r>
    </w:p>
    <w:p w:rsidR="006B4B01" w:rsidRPr="000B7836" w:rsidRDefault="006B4B01" w:rsidP="006B4B01">
      <w:pPr>
        <w:pStyle w:val="ListParagraph"/>
        <w:keepNext/>
        <w:ind w:left="1440"/>
      </w:pPr>
      <w:r w:rsidRPr="000B7836">
        <w:fldChar w:fldCharType="begin">
          <w:ffData>
            <w:name w:val="Check4"/>
            <w:enabled/>
            <w:calcOnExit w:val="0"/>
            <w:checkBox>
              <w:sizeAuto/>
              <w:default w:val="0"/>
            </w:checkBox>
          </w:ffData>
        </w:fldChar>
      </w:r>
      <w:r w:rsidRPr="000B7836">
        <w:instrText xml:space="preserve"> FORMCHECKBOX </w:instrText>
      </w:r>
      <w:r w:rsidR="00B62268">
        <w:fldChar w:fldCharType="separate"/>
      </w:r>
      <w:r w:rsidRPr="000B7836">
        <w:fldChar w:fldCharType="end"/>
      </w:r>
      <w:r w:rsidRPr="000B7836">
        <w:t xml:space="preserve"> Yes </w:t>
      </w:r>
    </w:p>
    <w:p w:rsidR="006B4B01" w:rsidRPr="000B7836" w:rsidRDefault="006B4B01" w:rsidP="006B4B01">
      <w:pPr>
        <w:pStyle w:val="ListParagraph"/>
        <w:keepNext/>
        <w:ind w:left="1440"/>
      </w:pPr>
      <w:r w:rsidRPr="000B7836">
        <w:fldChar w:fldCharType="begin">
          <w:ffData>
            <w:name w:val="Check4"/>
            <w:enabled/>
            <w:calcOnExit w:val="0"/>
            <w:checkBox>
              <w:sizeAuto/>
              <w:default w:val="0"/>
            </w:checkBox>
          </w:ffData>
        </w:fldChar>
      </w:r>
      <w:r w:rsidRPr="000B7836">
        <w:instrText xml:space="preserve"> FORMCHECKBOX </w:instrText>
      </w:r>
      <w:r w:rsidR="00B62268">
        <w:fldChar w:fldCharType="separate"/>
      </w:r>
      <w:r w:rsidRPr="000B7836">
        <w:fldChar w:fldCharType="end"/>
      </w:r>
      <w:r w:rsidRPr="000B7836">
        <w:t xml:space="preserve"> No </w:t>
      </w:r>
    </w:p>
    <w:p w:rsidR="006E6B37" w:rsidRDefault="006E6B37" w:rsidP="006B4B01">
      <w:pPr>
        <w:pStyle w:val="ListParagraph"/>
        <w:ind w:left="1440"/>
        <w:rPr>
          <w:rFonts w:ascii="Calibri" w:hAnsi="Calibri"/>
        </w:rPr>
      </w:pPr>
    </w:p>
    <w:p w:rsidR="006B4B01" w:rsidRDefault="006E6B37" w:rsidP="006B4B01">
      <w:pPr>
        <w:pStyle w:val="ListParagraph"/>
        <w:ind w:left="1440"/>
      </w:pPr>
      <w:r>
        <w:rPr>
          <w:rFonts w:ascii="Calibri" w:hAnsi="Calibri"/>
        </w:rPr>
        <w:t>Please explain your response</w:t>
      </w:r>
      <w:r w:rsidRPr="006B4B01">
        <w:rPr>
          <w:rFonts w:ascii="Calibri" w:hAnsi="Calibri"/>
        </w:rPr>
        <w:t xml:space="preserve"> including descriptions of potential cost effective solutions</w:t>
      </w:r>
      <w:r w:rsidR="003F7E27" w:rsidRPr="003F7E27">
        <w:rPr>
          <w:rFonts w:ascii="Calibri" w:hAnsi="Calibri"/>
        </w:rPr>
        <w:t xml:space="preserve"> </w:t>
      </w:r>
      <w:r w:rsidR="003F7E27">
        <w:rPr>
          <w:rFonts w:ascii="Calibri" w:hAnsi="Calibri"/>
        </w:rPr>
        <w:t>and the associated benefits to reliability</w:t>
      </w:r>
      <w:r w:rsidR="003F7E27" w:rsidRPr="000B7836">
        <w:t xml:space="preserve">: </w:t>
      </w:r>
      <w:r w:rsidR="003F7E27" w:rsidRPr="000B7836">
        <w:fldChar w:fldCharType="begin">
          <w:ffData>
            <w:name w:val="Text12"/>
            <w:enabled/>
            <w:calcOnExit w:val="0"/>
            <w:textInput/>
          </w:ffData>
        </w:fldChar>
      </w:r>
      <w:r w:rsidR="003F7E27" w:rsidRPr="000B7836">
        <w:instrText xml:space="preserve"> FORMTEXT </w:instrText>
      </w:r>
      <w:r w:rsidR="003F7E27" w:rsidRPr="000B7836">
        <w:fldChar w:fldCharType="separate"/>
      </w:r>
      <w:r w:rsidR="003F7E27" w:rsidRPr="000B7836">
        <w:t> </w:t>
      </w:r>
      <w:r w:rsidR="003F7E27" w:rsidRPr="000B7836">
        <w:t> </w:t>
      </w:r>
      <w:r w:rsidR="003F7E27" w:rsidRPr="000B7836">
        <w:t> </w:t>
      </w:r>
      <w:r w:rsidR="003F7E27" w:rsidRPr="000B7836">
        <w:t> </w:t>
      </w:r>
      <w:r w:rsidR="003F7E27" w:rsidRPr="000B7836">
        <w:t> </w:t>
      </w:r>
      <w:r w:rsidR="003F7E27" w:rsidRPr="000B7836">
        <w:fldChar w:fldCharType="end"/>
      </w:r>
      <w:r w:rsidR="006B4B01" w:rsidRPr="000B7836">
        <w:t xml:space="preserve"> </w:t>
      </w:r>
      <w:r w:rsidR="00D63F69" w:rsidRPr="000B7836">
        <w:t xml:space="preserve">     </w:t>
      </w:r>
    </w:p>
    <w:p w:rsidR="003F7E27" w:rsidRPr="000B7836" w:rsidRDefault="003F7E27" w:rsidP="002F0651"/>
    <w:p w:rsidR="00931694" w:rsidRPr="00412A12" w:rsidRDefault="006B4B01" w:rsidP="006050A6">
      <w:pPr>
        <w:pStyle w:val="Bullet"/>
        <w:numPr>
          <w:ilvl w:val="0"/>
          <w:numId w:val="36"/>
        </w:numPr>
        <w:tabs>
          <w:tab w:val="left" w:pos="720"/>
        </w:tabs>
        <w:spacing w:before="0" w:after="120"/>
        <w:rPr>
          <w:rFonts w:asciiTheme="minorHAnsi" w:hAnsiTheme="minorHAnsi"/>
          <w:sz w:val="24"/>
          <w:szCs w:val="24"/>
        </w:rPr>
      </w:pPr>
      <w:r w:rsidRPr="00412A12">
        <w:rPr>
          <w:rFonts w:asciiTheme="minorHAnsi" w:hAnsiTheme="minorHAnsi"/>
          <w:sz w:val="24"/>
          <w:szCs w:val="24"/>
        </w:rPr>
        <w:t>What</w:t>
      </w:r>
      <w:r w:rsidR="005818C7" w:rsidRPr="00412A12">
        <w:rPr>
          <w:rFonts w:asciiTheme="minorHAnsi" w:hAnsiTheme="minorHAnsi"/>
          <w:sz w:val="24"/>
          <w:szCs w:val="24"/>
        </w:rPr>
        <w:t xml:space="preserve">, if any, risk to the reliable operation of the BPS, as defined under Section 215 (see question </w:t>
      </w:r>
      <w:r w:rsidR="006050A6" w:rsidRPr="00412A12">
        <w:rPr>
          <w:rFonts w:asciiTheme="minorHAnsi" w:hAnsiTheme="minorHAnsi"/>
          <w:sz w:val="24"/>
          <w:szCs w:val="24"/>
        </w:rPr>
        <w:t>1 above)</w:t>
      </w:r>
      <w:r w:rsidR="001C514F" w:rsidRPr="00412A12">
        <w:rPr>
          <w:rFonts w:asciiTheme="minorHAnsi" w:hAnsiTheme="minorHAnsi"/>
          <w:sz w:val="24"/>
          <w:szCs w:val="24"/>
        </w:rPr>
        <w:t xml:space="preserve"> </w:t>
      </w:r>
      <w:r w:rsidR="005818C7" w:rsidRPr="00412A12">
        <w:rPr>
          <w:rFonts w:asciiTheme="minorHAnsi" w:hAnsiTheme="minorHAnsi"/>
          <w:sz w:val="24"/>
          <w:szCs w:val="24"/>
        </w:rPr>
        <w:t xml:space="preserve">is there </w:t>
      </w:r>
      <w:r w:rsidR="001C514F" w:rsidRPr="00412A12">
        <w:rPr>
          <w:rFonts w:asciiTheme="minorHAnsi" w:hAnsiTheme="minorHAnsi"/>
          <w:sz w:val="24"/>
          <w:szCs w:val="24"/>
        </w:rPr>
        <w:t>if an entity</w:t>
      </w:r>
      <w:r w:rsidRPr="00412A12">
        <w:rPr>
          <w:rFonts w:asciiTheme="minorHAnsi" w:hAnsiTheme="minorHAnsi"/>
          <w:sz w:val="24"/>
          <w:szCs w:val="24"/>
        </w:rPr>
        <w:t xml:space="preserve"> do</w:t>
      </w:r>
      <w:r w:rsidR="001C514F" w:rsidRPr="00412A12">
        <w:rPr>
          <w:rFonts w:asciiTheme="minorHAnsi" w:hAnsiTheme="minorHAnsi"/>
          <w:sz w:val="24"/>
          <w:szCs w:val="24"/>
        </w:rPr>
        <w:t>es</w:t>
      </w:r>
      <w:r w:rsidRPr="00412A12">
        <w:rPr>
          <w:rFonts w:asciiTheme="minorHAnsi" w:hAnsiTheme="minorHAnsi"/>
          <w:sz w:val="24"/>
          <w:szCs w:val="24"/>
        </w:rPr>
        <w:t xml:space="preserve"> not perform stability analyses for the P0, P1 and P2 categories in TPL-001-4 that consider the possible unavailability of long lead-time equipment? Please explain your response</w:t>
      </w:r>
      <w:r w:rsidR="006E6B37" w:rsidRPr="00412A12">
        <w:rPr>
          <w:rFonts w:asciiTheme="minorHAnsi" w:hAnsiTheme="minorHAnsi"/>
          <w:sz w:val="24"/>
          <w:szCs w:val="24"/>
        </w:rPr>
        <w:t>:</w:t>
      </w:r>
      <w:r w:rsidR="00931694" w:rsidRPr="00412A12">
        <w:rPr>
          <w:rFonts w:asciiTheme="minorHAnsi" w:hAnsiTheme="minorHAnsi"/>
          <w:sz w:val="24"/>
          <w:szCs w:val="24"/>
        </w:rPr>
        <w:t xml:space="preserve"> </w:t>
      </w:r>
      <w:r w:rsidR="00D63F69" w:rsidRPr="00412A12">
        <w:rPr>
          <w:rFonts w:asciiTheme="minorHAnsi" w:hAnsiTheme="minorHAnsi"/>
          <w:sz w:val="24"/>
          <w:szCs w:val="24"/>
        </w:rPr>
        <w:t xml:space="preserve"> </w:t>
      </w:r>
      <w:r w:rsidR="003F7E27" w:rsidRPr="007E4553">
        <w:fldChar w:fldCharType="begin">
          <w:ffData>
            <w:name w:val="Text12"/>
            <w:enabled/>
            <w:calcOnExit w:val="0"/>
            <w:textInput/>
          </w:ffData>
        </w:fldChar>
      </w:r>
      <w:r w:rsidR="003F7E27" w:rsidRPr="003815F2">
        <w:instrText xml:space="preserve"> FORMTEXT </w:instrText>
      </w:r>
      <w:r w:rsidR="003F7E27" w:rsidRPr="007E4553">
        <w:fldChar w:fldCharType="separate"/>
      </w:r>
      <w:r w:rsidR="003F7E27" w:rsidRPr="003815F2">
        <w:t> </w:t>
      </w:r>
      <w:r w:rsidR="003F7E27" w:rsidRPr="003815F2">
        <w:t> </w:t>
      </w:r>
      <w:r w:rsidR="003F7E27" w:rsidRPr="003815F2">
        <w:t> </w:t>
      </w:r>
      <w:r w:rsidR="003F7E27" w:rsidRPr="003815F2">
        <w:t> </w:t>
      </w:r>
      <w:r w:rsidR="003F7E27" w:rsidRPr="003815F2">
        <w:t> </w:t>
      </w:r>
      <w:r w:rsidR="003F7E27" w:rsidRPr="007E4553">
        <w:fldChar w:fldCharType="end"/>
      </w:r>
      <w:r w:rsidR="00D63F69" w:rsidRPr="00412A12">
        <w:rPr>
          <w:rFonts w:asciiTheme="minorHAnsi" w:hAnsiTheme="minorHAnsi"/>
          <w:sz w:val="24"/>
          <w:szCs w:val="24"/>
        </w:rPr>
        <w:t xml:space="preserve">    </w:t>
      </w:r>
    </w:p>
    <w:p w:rsidR="006B4B01" w:rsidRPr="006050A6" w:rsidRDefault="006B4B01" w:rsidP="006B4B01"/>
    <w:p w:rsidR="006050A6" w:rsidRPr="006050A6" w:rsidRDefault="005818C7" w:rsidP="006050A6">
      <w:pPr>
        <w:pStyle w:val="ListParagraph"/>
        <w:numPr>
          <w:ilvl w:val="1"/>
          <w:numId w:val="36"/>
        </w:numPr>
        <w:rPr>
          <w:rFonts w:ascii="Calibri" w:hAnsi="Calibri"/>
        </w:rPr>
      </w:pPr>
      <w:r w:rsidRPr="006050A6">
        <w:rPr>
          <w:rFonts w:ascii="Calibri" w:hAnsi="Calibri"/>
        </w:rPr>
        <w:t>If there are risks to the reliable operation of the BPS, are the lik</w:t>
      </w:r>
      <w:r w:rsidR="006050A6" w:rsidRPr="006050A6">
        <w:rPr>
          <w:rFonts w:ascii="Calibri" w:hAnsi="Calibri"/>
        </w:rPr>
        <w:t>el</w:t>
      </w:r>
      <w:r w:rsidRPr="006050A6">
        <w:rPr>
          <w:rFonts w:ascii="Calibri" w:hAnsi="Calibri"/>
        </w:rPr>
        <w:t xml:space="preserve">ihood of </w:t>
      </w:r>
      <w:r w:rsidR="006050A6" w:rsidRPr="006050A6">
        <w:rPr>
          <w:rFonts w:ascii="Calibri" w:hAnsi="Calibri"/>
        </w:rPr>
        <w:t xml:space="preserve">the occurrence of </w:t>
      </w:r>
      <w:r w:rsidRPr="006050A6">
        <w:rPr>
          <w:rFonts w:ascii="Calibri" w:hAnsi="Calibri"/>
        </w:rPr>
        <w:t xml:space="preserve">these risks low, medium or high?  </w:t>
      </w:r>
      <w:r w:rsidR="003F7E27" w:rsidRPr="007E4553">
        <w:fldChar w:fldCharType="begin">
          <w:ffData>
            <w:name w:val="Text12"/>
            <w:enabled/>
            <w:calcOnExit w:val="0"/>
            <w:textInput/>
          </w:ffData>
        </w:fldChar>
      </w:r>
      <w:r w:rsidR="003F7E27" w:rsidRPr="003815F2">
        <w:instrText xml:space="preserve"> FORMTEXT </w:instrText>
      </w:r>
      <w:r w:rsidR="003F7E27" w:rsidRPr="007E4553">
        <w:fldChar w:fldCharType="separate"/>
      </w:r>
      <w:r w:rsidR="003F7E27" w:rsidRPr="003815F2">
        <w:t> </w:t>
      </w:r>
      <w:r w:rsidR="003F7E27" w:rsidRPr="003815F2">
        <w:t> </w:t>
      </w:r>
      <w:r w:rsidR="003F7E27" w:rsidRPr="003815F2">
        <w:t> </w:t>
      </w:r>
      <w:r w:rsidR="003F7E27" w:rsidRPr="003815F2">
        <w:t> </w:t>
      </w:r>
      <w:r w:rsidR="003F7E27" w:rsidRPr="003815F2">
        <w:t> </w:t>
      </w:r>
      <w:r w:rsidR="003F7E27" w:rsidRPr="007E4553">
        <w:fldChar w:fldCharType="end"/>
      </w:r>
    </w:p>
    <w:p w:rsidR="006050A6" w:rsidRDefault="006050A6" w:rsidP="006B4B01">
      <w:pPr>
        <w:ind w:left="1440"/>
        <w:rPr>
          <w:rFonts w:ascii="Calibri" w:hAnsi="Calibri"/>
        </w:rPr>
      </w:pPr>
    </w:p>
    <w:p w:rsidR="006B4B01" w:rsidRPr="000B7836" w:rsidRDefault="006E6B37" w:rsidP="006B4B01">
      <w:pPr>
        <w:ind w:left="1440"/>
      </w:pPr>
      <w:r>
        <w:rPr>
          <w:rFonts w:ascii="Calibri" w:hAnsi="Calibri"/>
        </w:rPr>
        <w:t>Please explain your response</w:t>
      </w:r>
      <w:r w:rsidR="006B4B01" w:rsidRPr="000B7836">
        <w:t xml:space="preserve">: </w:t>
      </w:r>
      <w:r w:rsidR="00D63F69" w:rsidRPr="000B7836">
        <w:t xml:space="preserve"> </w:t>
      </w:r>
      <w:r w:rsidR="003F7E27" w:rsidRPr="007E4553">
        <w:fldChar w:fldCharType="begin">
          <w:ffData>
            <w:name w:val="Text12"/>
            <w:enabled/>
            <w:calcOnExit w:val="0"/>
            <w:textInput/>
          </w:ffData>
        </w:fldChar>
      </w:r>
      <w:r w:rsidR="003F7E27" w:rsidRPr="003815F2">
        <w:instrText xml:space="preserve"> FORMTEXT </w:instrText>
      </w:r>
      <w:r w:rsidR="003F7E27" w:rsidRPr="007E4553">
        <w:fldChar w:fldCharType="separate"/>
      </w:r>
      <w:r w:rsidR="003F7E27" w:rsidRPr="003815F2">
        <w:t> </w:t>
      </w:r>
      <w:r w:rsidR="003F7E27" w:rsidRPr="003815F2">
        <w:t> </w:t>
      </w:r>
      <w:r w:rsidR="003F7E27" w:rsidRPr="003815F2">
        <w:t> </w:t>
      </w:r>
      <w:r w:rsidR="003F7E27" w:rsidRPr="003815F2">
        <w:t> </w:t>
      </w:r>
      <w:r w:rsidR="003F7E27" w:rsidRPr="003815F2">
        <w:t> </w:t>
      </w:r>
      <w:r w:rsidR="003F7E27" w:rsidRPr="007E4553">
        <w:fldChar w:fldCharType="end"/>
      </w:r>
      <w:r w:rsidR="00D63F69" w:rsidRPr="000B7836">
        <w:t xml:space="preserve">    </w:t>
      </w:r>
    </w:p>
    <w:p w:rsidR="006B4B01" w:rsidRDefault="006B4B01" w:rsidP="006B4B01">
      <w:pPr>
        <w:ind w:left="720"/>
      </w:pPr>
    </w:p>
    <w:p w:rsidR="006B4B01" w:rsidRDefault="006B4B01" w:rsidP="006050A6">
      <w:pPr>
        <w:pStyle w:val="ListParagraph"/>
        <w:keepNext/>
        <w:numPr>
          <w:ilvl w:val="1"/>
          <w:numId w:val="36"/>
        </w:numPr>
      </w:pPr>
      <w:r w:rsidRPr="006B4B01">
        <w:rPr>
          <w:rFonts w:ascii="Calibri" w:hAnsi="Calibri"/>
        </w:rPr>
        <w:t>What costs should be considered when evaluating these risks? Please explain your</w:t>
      </w:r>
      <w:r>
        <w:t xml:space="preserve"> </w:t>
      </w:r>
      <w:r w:rsidRPr="006B4B01">
        <w:rPr>
          <w:rFonts w:ascii="Calibri" w:hAnsi="Calibri"/>
        </w:rPr>
        <w:t>response</w:t>
      </w:r>
      <w:r w:rsidRPr="000B7836">
        <w:t xml:space="preserve">: </w:t>
      </w:r>
      <w:r w:rsidR="00D63F69" w:rsidRPr="000B7836">
        <w:t xml:space="preserve"> </w:t>
      </w:r>
      <w:r w:rsidR="003F7E27" w:rsidRPr="007E4553">
        <w:fldChar w:fldCharType="begin">
          <w:ffData>
            <w:name w:val="Text12"/>
            <w:enabled/>
            <w:calcOnExit w:val="0"/>
            <w:textInput/>
          </w:ffData>
        </w:fldChar>
      </w:r>
      <w:r w:rsidR="003F7E27" w:rsidRPr="003815F2">
        <w:instrText xml:space="preserve"> FORMTEXT </w:instrText>
      </w:r>
      <w:r w:rsidR="003F7E27" w:rsidRPr="007E4553">
        <w:fldChar w:fldCharType="separate"/>
      </w:r>
      <w:r w:rsidR="003F7E27" w:rsidRPr="003815F2">
        <w:t> </w:t>
      </w:r>
      <w:r w:rsidR="003F7E27" w:rsidRPr="003815F2">
        <w:t> </w:t>
      </w:r>
      <w:r w:rsidR="003F7E27" w:rsidRPr="003815F2">
        <w:t> </w:t>
      </w:r>
      <w:r w:rsidR="003F7E27" w:rsidRPr="003815F2">
        <w:t> </w:t>
      </w:r>
      <w:r w:rsidR="003F7E27" w:rsidRPr="003815F2">
        <w:t> </w:t>
      </w:r>
      <w:r w:rsidR="003F7E27" w:rsidRPr="007E4553">
        <w:fldChar w:fldCharType="end"/>
      </w:r>
      <w:r w:rsidR="00D63F69" w:rsidRPr="000B7836">
        <w:t xml:space="preserve">    </w:t>
      </w:r>
    </w:p>
    <w:p w:rsidR="006B4B01" w:rsidRDefault="006B4B01" w:rsidP="006B4B01">
      <w:pPr>
        <w:ind w:left="1440"/>
      </w:pPr>
    </w:p>
    <w:p w:rsidR="006B4B01" w:rsidRDefault="006050A6" w:rsidP="006050A6">
      <w:pPr>
        <w:pStyle w:val="Bullet"/>
        <w:numPr>
          <w:ilvl w:val="1"/>
          <w:numId w:val="36"/>
        </w:numPr>
        <w:tabs>
          <w:tab w:val="left" w:pos="720"/>
        </w:tabs>
        <w:spacing w:before="0" w:after="120"/>
        <w:rPr>
          <w:rFonts w:ascii="Calibri" w:hAnsi="Calibri"/>
          <w:sz w:val="24"/>
          <w:szCs w:val="24"/>
        </w:rPr>
      </w:pPr>
      <w:r>
        <w:rPr>
          <w:rFonts w:ascii="Calibri" w:hAnsi="Calibri"/>
          <w:sz w:val="24"/>
          <w:szCs w:val="24"/>
        </w:rPr>
        <w:t>If you identified one or more risks and identified a likelihood of “medium” or “high”</w:t>
      </w:r>
      <w:r w:rsidR="001C514F">
        <w:rPr>
          <w:rFonts w:ascii="Calibri" w:hAnsi="Calibri"/>
          <w:sz w:val="24"/>
          <w:szCs w:val="24"/>
        </w:rPr>
        <w:t xml:space="preserve"> is there a cost </w:t>
      </w:r>
      <w:r w:rsidR="006B4B01">
        <w:rPr>
          <w:rFonts w:ascii="Calibri" w:hAnsi="Calibri"/>
          <w:sz w:val="24"/>
          <w:szCs w:val="24"/>
        </w:rPr>
        <w:t>effective manner to reduce t</w:t>
      </w:r>
      <w:r w:rsidR="001C514F">
        <w:rPr>
          <w:rFonts w:ascii="Calibri" w:hAnsi="Calibri"/>
          <w:sz w:val="24"/>
          <w:szCs w:val="24"/>
        </w:rPr>
        <w:t>hem</w:t>
      </w:r>
      <w:r w:rsidR="00983964" w:rsidRPr="00983964">
        <w:t xml:space="preserve"> </w:t>
      </w:r>
      <w:r w:rsidR="00983964" w:rsidRPr="00983964">
        <w:rPr>
          <w:rFonts w:ascii="Calibri" w:hAnsi="Calibri"/>
          <w:sz w:val="24"/>
          <w:szCs w:val="24"/>
        </w:rPr>
        <w:t>rather than revising TPL-001-4 or is there an preferred approach to revising TPL-001-4 that takes into consideration cost effectiv</w:t>
      </w:r>
      <w:r w:rsidR="00823705">
        <w:rPr>
          <w:rFonts w:ascii="Calibri" w:hAnsi="Calibri"/>
          <w:sz w:val="24"/>
          <w:szCs w:val="24"/>
        </w:rPr>
        <w:t>e</w:t>
      </w:r>
      <w:r w:rsidR="00983964" w:rsidRPr="00983964">
        <w:rPr>
          <w:rFonts w:ascii="Calibri" w:hAnsi="Calibri"/>
          <w:sz w:val="24"/>
          <w:szCs w:val="24"/>
        </w:rPr>
        <w:t>ness</w:t>
      </w:r>
      <w:r w:rsidR="006B4B01">
        <w:rPr>
          <w:rFonts w:ascii="Calibri" w:hAnsi="Calibri"/>
          <w:sz w:val="24"/>
          <w:szCs w:val="24"/>
        </w:rPr>
        <w:t xml:space="preserve">? </w:t>
      </w:r>
    </w:p>
    <w:p w:rsidR="006B4B01" w:rsidRPr="000B7836" w:rsidRDefault="006B4B01" w:rsidP="006B4B01">
      <w:pPr>
        <w:pStyle w:val="ListParagraph"/>
        <w:keepNext/>
        <w:ind w:left="1440"/>
      </w:pPr>
      <w:r w:rsidRPr="000B7836">
        <w:fldChar w:fldCharType="begin">
          <w:ffData>
            <w:name w:val="Check4"/>
            <w:enabled/>
            <w:calcOnExit w:val="0"/>
            <w:checkBox>
              <w:sizeAuto/>
              <w:default w:val="0"/>
            </w:checkBox>
          </w:ffData>
        </w:fldChar>
      </w:r>
      <w:r w:rsidRPr="000B7836">
        <w:instrText xml:space="preserve"> FORMCHECKBOX </w:instrText>
      </w:r>
      <w:r w:rsidR="00B62268">
        <w:fldChar w:fldCharType="separate"/>
      </w:r>
      <w:r w:rsidRPr="000B7836">
        <w:fldChar w:fldCharType="end"/>
      </w:r>
      <w:r w:rsidRPr="000B7836">
        <w:t xml:space="preserve"> Yes </w:t>
      </w:r>
    </w:p>
    <w:p w:rsidR="006B4B01" w:rsidRPr="000B7836" w:rsidRDefault="006B4B01" w:rsidP="006B4B01">
      <w:pPr>
        <w:pStyle w:val="ListParagraph"/>
        <w:keepNext/>
        <w:ind w:left="1440"/>
      </w:pPr>
      <w:r w:rsidRPr="000B7836">
        <w:fldChar w:fldCharType="begin">
          <w:ffData>
            <w:name w:val="Check4"/>
            <w:enabled/>
            <w:calcOnExit w:val="0"/>
            <w:checkBox>
              <w:sizeAuto/>
              <w:default w:val="0"/>
            </w:checkBox>
          </w:ffData>
        </w:fldChar>
      </w:r>
      <w:r w:rsidRPr="000B7836">
        <w:instrText xml:space="preserve"> FORMCHECKBOX </w:instrText>
      </w:r>
      <w:r w:rsidR="00B62268">
        <w:fldChar w:fldCharType="separate"/>
      </w:r>
      <w:r w:rsidRPr="000B7836">
        <w:fldChar w:fldCharType="end"/>
      </w:r>
      <w:r w:rsidRPr="000B7836">
        <w:t xml:space="preserve"> No </w:t>
      </w:r>
    </w:p>
    <w:p w:rsidR="006E6B37" w:rsidRDefault="006E6B37" w:rsidP="006B4B01">
      <w:pPr>
        <w:pStyle w:val="ListParagraph"/>
        <w:ind w:left="1440"/>
        <w:rPr>
          <w:rFonts w:ascii="Calibri" w:hAnsi="Calibri"/>
        </w:rPr>
      </w:pPr>
    </w:p>
    <w:p w:rsidR="006B4B01" w:rsidRPr="000B7836" w:rsidRDefault="006E6B37" w:rsidP="006B4B01">
      <w:pPr>
        <w:pStyle w:val="ListParagraph"/>
        <w:ind w:left="1440"/>
      </w:pPr>
      <w:r>
        <w:rPr>
          <w:rFonts w:ascii="Calibri" w:hAnsi="Calibri"/>
        </w:rPr>
        <w:t>Please explain your response</w:t>
      </w:r>
      <w:r w:rsidRPr="006B4B01">
        <w:rPr>
          <w:rFonts w:ascii="Calibri" w:hAnsi="Calibri"/>
        </w:rPr>
        <w:t xml:space="preserve"> including descriptions of potential cost effective solutions</w:t>
      </w:r>
      <w:r w:rsidR="003F7E27">
        <w:rPr>
          <w:rFonts w:ascii="Calibri" w:hAnsi="Calibri"/>
        </w:rPr>
        <w:t xml:space="preserve"> and the associated benefits to reliability</w:t>
      </w:r>
      <w:r w:rsidR="003F7E27" w:rsidRPr="000B7836">
        <w:t xml:space="preserve">: </w:t>
      </w:r>
      <w:r w:rsidR="003F7E27" w:rsidRPr="000B7836">
        <w:fldChar w:fldCharType="begin">
          <w:ffData>
            <w:name w:val="Text12"/>
            <w:enabled/>
            <w:calcOnExit w:val="0"/>
            <w:textInput/>
          </w:ffData>
        </w:fldChar>
      </w:r>
      <w:r w:rsidR="003F7E27" w:rsidRPr="000B7836">
        <w:instrText xml:space="preserve"> FORMTEXT </w:instrText>
      </w:r>
      <w:r w:rsidR="003F7E27" w:rsidRPr="000B7836">
        <w:fldChar w:fldCharType="separate"/>
      </w:r>
      <w:r w:rsidR="003F7E27" w:rsidRPr="000B7836">
        <w:t> </w:t>
      </w:r>
      <w:r w:rsidR="003F7E27" w:rsidRPr="000B7836">
        <w:t> </w:t>
      </w:r>
      <w:r w:rsidR="003F7E27" w:rsidRPr="000B7836">
        <w:t> </w:t>
      </w:r>
      <w:r w:rsidR="003F7E27" w:rsidRPr="000B7836">
        <w:t> </w:t>
      </w:r>
      <w:r w:rsidR="003F7E27" w:rsidRPr="000B7836">
        <w:t> </w:t>
      </w:r>
      <w:r w:rsidR="003F7E27" w:rsidRPr="000B7836">
        <w:fldChar w:fldCharType="end"/>
      </w:r>
      <w:r w:rsidR="003F7E27" w:rsidRPr="006B4B01">
        <w:rPr>
          <w:rFonts w:ascii="Calibri" w:hAnsi="Calibri"/>
        </w:rPr>
        <w:t xml:space="preserve"> </w:t>
      </w:r>
      <w:r w:rsidR="003F7E27" w:rsidRPr="000B7836">
        <w:t xml:space="preserve">     </w:t>
      </w:r>
    </w:p>
    <w:p w:rsidR="00931694" w:rsidRDefault="00931694" w:rsidP="00931694">
      <w:pPr>
        <w:pStyle w:val="Bullet"/>
        <w:numPr>
          <w:ilvl w:val="0"/>
          <w:numId w:val="0"/>
        </w:numPr>
        <w:spacing w:before="0" w:after="120"/>
        <w:ind w:left="720"/>
        <w:rPr>
          <w:rFonts w:asciiTheme="minorHAnsi" w:hAnsiTheme="minorHAnsi"/>
          <w:sz w:val="24"/>
          <w:szCs w:val="24"/>
        </w:rPr>
      </w:pPr>
    </w:p>
    <w:p w:rsidR="00C04EB3" w:rsidRDefault="00C04EB3" w:rsidP="005C6DF3">
      <w:pPr>
        <w:pStyle w:val="NumberingBullet6"/>
        <w:numPr>
          <w:ilvl w:val="0"/>
          <w:numId w:val="0"/>
        </w:numPr>
      </w:pPr>
    </w:p>
    <w:sectPr w:rsidR="00C04EB3" w:rsidSect="00AD41BD">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07" w:rsidRDefault="00AA0407">
      <w:r>
        <w:separator/>
      </w:r>
    </w:p>
  </w:endnote>
  <w:endnote w:type="continuationSeparator" w:id="0">
    <w:p w:rsidR="00AA0407" w:rsidRDefault="00AA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3" w:rsidRPr="00FA460E" w:rsidRDefault="00A661FF" w:rsidP="002A2B4F">
    <w:pPr>
      <w:pStyle w:val="Footer"/>
      <w:ind w:left="0" w:right="18"/>
    </w:pPr>
    <w:r>
      <w:t xml:space="preserve">Unofficial Comment Form: Cost Effectiveness Pilot Questions </w:t>
    </w:r>
    <w:r w:rsidR="00FA460E">
      <w:tab/>
    </w:r>
    <w:r w:rsidR="00656825" w:rsidRPr="001F176A">
      <w:fldChar w:fldCharType="begin"/>
    </w:r>
    <w:r w:rsidR="00FA460E" w:rsidRPr="001F176A">
      <w:instrText xml:space="preserve"> PAGE </w:instrText>
    </w:r>
    <w:r w:rsidR="00656825" w:rsidRPr="001F176A">
      <w:fldChar w:fldCharType="separate"/>
    </w:r>
    <w:r w:rsidR="00B62268">
      <w:rPr>
        <w:noProof/>
      </w:rPr>
      <w:t>3</w:t>
    </w:r>
    <w:r w:rsidR="00656825"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3" w:rsidRPr="00BC10A6" w:rsidRDefault="00BC10A6" w:rsidP="00BC10A6">
    <w:pPr>
      <w:pStyle w:val="Footer"/>
      <w:pBdr>
        <w:top w:val="none" w:sz="0" w:space="0" w:color="auto"/>
      </w:pBdr>
      <w:ind w:left="0"/>
    </w:pPr>
    <w:r>
      <w:rPr>
        <w:noProof/>
      </w:rPr>
      <w:drawing>
        <wp:anchor distT="0" distB="0" distL="114300" distR="114300" simplePos="0" relativeHeight="251677184" behindDoc="1" locked="0" layoutInCell="1" allowOverlap="1" wp14:anchorId="58D2D9A8" wp14:editId="2BF4F3A9">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07" w:rsidRDefault="00AA0407">
      <w:r>
        <w:separator/>
      </w:r>
    </w:p>
  </w:footnote>
  <w:footnote w:type="continuationSeparator" w:id="0">
    <w:p w:rsidR="00AA0407" w:rsidRDefault="00AA0407">
      <w:r>
        <w:continuationSeparator/>
      </w:r>
    </w:p>
  </w:footnote>
  <w:footnote w:id="1">
    <w:p w:rsidR="00A5302E" w:rsidRDefault="00A5302E">
      <w:pPr>
        <w:pStyle w:val="FootnoteText"/>
      </w:pPr>
      <w:r>
        <w:rPr>
          <w:rStyle w:val="FootnoteReference"/>
        </w:rPr>
        <w:footnoteRef/>
      </w:r>
      <w:r>
        <w:t xml:space="preserve"> </w:t>
      </w:r>
      <w:r w:rsidR="003B42C6">
        <w:t xml:space="preserve">Link to FERC Order No. 786: </w:t>
      </w:r>
      <w:hyperlink r:id="rId1" w:history="1">
        <w:r w:rsidR="00412A12">
          <w:rPr>
            <w:rStyle w:val="Hyperlink"/>
          </w:rPr>
          <w:t>http://www.nerc.com/FilingsOrders/us/FERCOrdersRules/E-2 Transmission Planning Rel. Strd.pdf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3" w:rsidRDefault="00D933A3">
    <w:r>
      <w:rPr>
        <w:noProof/>
      </w:rPr>
      <w:drawing>
        <wp:anchor distT="0" distB="0" distL="114300" distR="114300" simplePos="0" relativeHeight="251663870" behindDoc="1" locked="0" layoutInCell="1" allowOverlap="1" wp14:anchorId="5B3FE0BC" wp14:editId="3C9D808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3" w:rsidRDefault="00D20C70">
    <w:r>
      <w:rPr>
        <w:noProof/>
      </w:rPr>
      <w:drawing>
        <wp:anchor distT="0" distB="0" distL="114300" distR="114300" simplePos="0" relativeHeight="251678208" behindDoc="1" locked="0" layoutInCell="1" allowOverlap="1" wp14:anchorId="0157F0DE" wp14:editId="25C02EDF">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505D3685"/>
    <w:multiLevelType w:val="multilevel"/>
    <w:tmpl w:val="63E4A40E"/>
    <w:numStyleLink w:val="NERCListBullets"/>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15:restartNumberingAfterBreak="0">
    <w:nsid w:val="61832C66"/>
    <w:multiLevelType w:val="multilevel"/>
    <w:tmpl w:val="63E4A40E"/>
    <w:numStyleLink w:val="NERCListBullets"/>
  </w:abstractNum>
  <w:abstractNum w:abstractNumId="27"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711486"/>
    <w:multiLevelType w:val="hybridMultilevel"/>
    <w:tmpl w:val="9D8A4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F4B0A"/>
    <w:multiLevelType w:val="singleLevel"/>
    <w:tmpl w:val="0409000F"/>
    <w:lvl w:ilvl="0">
      <w:start w:val="1"/>
      <w:numFmt w:val="decimal"/>
      <w:lvlText w:val="%1."/>
      <w:lvlJc w:val="left"/>
      <w:pPr>
        <w:ind w:left="720" w:hanging="360"/>
      </w:pPr>
    </w:lvl>
  </w:abstractNum>
  <w:num w:numId="1">
    <w:abstractNumId w:val="24"/>
  </w:num>
  <w:num w:numId="2">
    <w:abstractNumId w:val="10"/>
  </w:num>
  <w:num w:numId="3">
    <w:abstractNumId w:val="30"/>
  </w:num>
  <w:num w:numId="4">
    <w:abstractNumId w:val="17"/>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21"/>
  </w:num>
  <w:num w:numId="19">
    <w:abstractNumId w:val="25"/>
  </w:num>
  <w:num w:numId="20">
    <w:abstractNumId w:val="23"/>
  </w:num>
  <w:num w:numId="21">
    <w:abstractNumId w:val="26"/>
  </w:num>
  <w:num w:numId="22">
    <w:abstractNumId w:val="12"/>
  </w:num>
  <w:num w:numId="23">
    <w:abstractNumId w:val="29"/>
  </w:num>
  <w:num w:numId="24">
    <w:abstractNumId w:val="11"/>
  </w:num>
  <w:num w:numId="25">
    <w:abstractNumId w:val="20"/>
  </w:num>
  <w:num w:numId="26">
    <w:abstractNumId w:val="15"/>
  </w:num>
  <w:num w:numId="27">
    <w:abstractNumId w:val="32"/>
  </w:num>
  <w:num w:numId="28">
    <w:abstractNumId w:val="18"/>
  </w:num>
  <w:num w:numId="29">
    <w:abstractNumId w:val="14"/>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11D42"/>
    <w:rsid w:val="000232FC"/>
    <w:rsid w:val="000334DF"/>
    <w:rsid w:val="000414F4"/>
    <w:rsid w:val="000A70BC"/>
    <w:rsid w:val="000B36CB"/>
    <w:rsid w:val="000B412D"/>
    <w:rsid w:val="000B7A04"/>
    <w:rsid w:val="000C0883"/>
    <w:rsid w:val="000D7162"/>
    <w:rsid w:val="000E3AB0"/>
    <w:rsid w:val="00107466"/>
    <w:rsid w:val="00136931"/>
    <w:rsid w:val="00136A12"/>
    <w:rsid w:val="001574EA"/>
    <w:rsid w:val="00160A47"/>
    <w:rsid w:val="00173B37"/>
    <w:rsid w:val="00185C24"/>
    <w:rsid w:val="001C514F"/>
    <w:rsid w:val="00201B4B"/>
    <w:rsid w:val="00207497"/>
    <w:rsid w:val="00223BC7"/>
    <w:rsid w:val="002629C8"/>
    <w:rsid w:val="0026615D"/>
    <w:rsid w:val="002662A9"/>
    <w:rsid w:val="00275BE6"/>
    <w:rsid w:val="00283FB4"/>
    <w:rsid w:val="002930EA"/>
    <w:rsid w:val="002A2B4F"/>
    <w:rsid w:val="002B7CFE"/>
    <w:rsid w:val="002D4B36"/>
    <w:rsid w:val="002E7434"/>
    <w:rsid w:val="002F0651"/>
    <w:rsid w:val="003109DD"/>
    <w:rsid w:val="00316985"/>
    <w:rsid w:val="00340C10"/>
    <w:rsid w:val="003414DA"/>
    <w:rsid w:val="00366A96"/>
    <w:rsid w:val="003815F2"/>
    <w:rsid w:val="0039275D"/>
    <w:rsid w:val="003948E2"/>
    <w:rsid w:val="003A1E5D"/>
    <w:rsid w:val="003B42C6"/>
    <w:rsid w:val="003E1C41"/>
    <w:rsid w:val="003F7E27"/>
    <w:rsid w:val="00406EBC"/>
    <w:rsid w:val="00412A12"/>
    <w:rsid w:val="00457486"/>
    <w:rsid w:val="004631BF"/>
    <w:rsid w:val="004800C7"/>
    <w:rsid w:val="004A12E4"/>
    <w:rsid w:val="004B7DE3"/>
    <w:rsid w:val="004B7ED4"/>
    <w:rsid w:val="004E5E50"/>
    <w:rsid w:val="004E7B5C"/>
    <w:rsid w:val="00510652"/>
    <w:rsid w:val="005316C6"/>
    <w:rsid w:val="005316F3"/>
    <w:rsid w:val="00555F79"/>
    <w:rsid w:val="00557919"/>
    <w:rsid w:val="00566787"/>
    <w:rsid w:val="00573832"/>
    <w:rsid w:val="00575D73"/>
    <w:rsid w:val="005818C7"/>
    <w:rsid w:val="005A721A"/>
    <w:rsid w:val="005C6DF3"/>
    <w:rsid w:val="005D3F72"/>
    <w:rsid w:val="006050A6"/>
    <w:rsid w:val="00613611"/>
    <w:rsid w:val="006164FE"/>
    <w:rsid w:val="00652754"/>
    <w:rsid w:val="00656825"/>
    <w:rsid w:val="006722BA"/>
    <w:rsid w:val="00693CC9"/>
    <w:rsid w:val="00694CD1"/>
    <w:rsid w:val="006B3EC7"/>
    <w:rsid w:val="006B4B01"/>
    <w:rsid w:val="006C1F78"/>
    <w:rsid w:val="006E6B37"/>
    <w:rsid w:val="00701249"/>
    <w:rsid w:val="007254EA"/>
    <w:rsid w:val="0073539E"/>
    <w:rsid w:val="00736823"/>
    <w:rsid w:val="00743B3B"/>
    <w:rsid w:val="0074626C"/>
    <w:rsid w:val="00760F26"/>
    <w:rsid w:val="0076365D"/>
    <w:rsid w:val="00763F96"/>
    <w:rsid w:val="007776DB"/>
    <w:rsid w:val="00784E9D"/>
    <w:rsid w:val="00787061"/>
    <w:rsid w:val="00791651"/>
    <w:rsid w:val="007936B4"/>
    <w:rsid w:val="007B6913"/>
    <w:rsid w:val="007C1460"/>
    <w:rsid w:val="007D618E"/>
    <w:rsid w:val="007E4553"/>
    <w:rsid w:val="008145F3"/>
    <w:rsid w:val="00823705"/>
    <w:rsid w:val="008630C1"/>
    <w:rsid w:val="00872B83"/>
    <w:rsid w:val="0087714C"/>
    <w:rsid w:val="0088632D"/>
    <w:rsid w:val="008E753C"/>
    <w:rsid w:val="008F04E6"/>
    <w:rsid w:val="00931694"/>
    <w:rsid w:val="0095499D"/>
    <w:rsid w:val="00983964"/>
    <w:rsid w:val="009A4FEE"/>
    <w:rsid w:val="009B380B"/>
    <w:rsid w:val="009D57A7"/>
    <w:rsid w:val="009F057F"/>
    <w:rsid w:val="00A0470A"/>
    <w:rsid w:val="00A2452B"/>
    <w:rsid w:val="00A27782"/>
    <w:rsid w:val="00A35DA7"/>
    <w:rsid w:val="00A5302E"/>
    <w:rsid w:val="00A54499"/>
    <w:rsid w:val="00A54A7B"/>
    <w:rsid w:val="00A54CDB"/>
    <w:rsid w:val="00A5536D"/>
    <w:rsid w:val="00A661FF"/>
    <w:rsid w:val="00A6738A"/>
    <w:rsid w:val="00A77D6B"/>
    <w:rsid w:val="00A86A64"/>
    <w:rsid w:val="00AA0407"/>
    <w:rsid w:val="00AD41BD"/>
    <w:rsid w:val="00B04BAA"/>
    <w:rsid w:val="00B07619"/>
    <w:rsid w:val="00B137E2"/>
    <w:rsid w:val="00B146D4"/>
    <w:rsid w:val="00B30EA4"/>
    <w:rsid w:val="00B375B5"/>
    <w:rsid w:val="00B40105"/>
    <w:rsid w:val="00B564B1"/>
    <w:rsid w:val="00B62268"/>
    <w:rsid w:val="00BA34E0"/>
    <w:rsid w:val="00BA5923"/>
    <w:rsid w:val="00BB5E88"/>
    <w:rsid w:val="00BC04CC"/>
    <w:rsid w:val="00BC10A6"/>
    <w:rsid w:val="00BD1789"/>
    <w:rsid w:val="00BD2ACA"/>
    <w:rsid w:val="00BE39C3"/>
    <w:rsid w:val="00BE5580"/>
    <w:rsid w:val="00BE7657"/>
    <w:rsid w:val="00BF1D49"/>
    <w:rsid w:val="00C04EB3"/>
    <w:rsid w:val="00C07558"/>
    <w:rsid w:val="00C30BFD"/>
    <w:rsid w:val="00C50A47"/>
    <w:rsid w:val="00C661F0"/>
    <w:rsid w:val="00C73BB8"/>
    <w:rsid w:val="00C878C5"/>
    <w:rsid w:val="00C96094"/>
    <w:rsid w:val="00CB0BEA"/>
    <w:rsid w:val="00CC7BE7"/>
    <w:rsid w:val="00D126C9"/>
    <w:rsid w:val="00D20C70"/>
    <w:rsid w:val="00D228D6"/>
    <w:rsid w:val="00D33BF5"/>
    <w:rsid w:val="00D405AB"/>
    <w:rsid w:val="00D4685C"/>
    <w:rsid w:val="00D63F69"/>
    <w:rsid w:val="00D933A3"/>
    <w:rsid w:val="00DA03E3"/>
    <w:rsid w:val="00DA634C"/>
    <w:rsid w:val="00DB62EC"/>
    <w:rsid w:val="00E12F4E"/>
    <w:rsid w:val="00E658E0"/>
    <w:rsid w:val="00E95C93"/>
    <w:rsid w:val="00EA3E18"/>
    <w:rsid w:val="00ED7BDB"/>
    <w:rsid w:val="00F06E1A"/>
    <w:rsid w:val="00F4013A"/>
    <w:rsid w:val="00F574B3"/>
    <w:rsid w:val="00FA460E"/>
    <w:rsid w:val="00FC22EA"/>
    <w:rsid w:val="00FC7B36"/>
    <w:rsid w:val="00FD012D"/>
    <w:rsid w:val="00FE4A04"/>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CostEffectivenessPilo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15-10-Single-Points-of-Failure-TPL-001.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jordan.mallory@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ingsOrders/us/FERCOrdersRules/E-2%20Transmission%20PLanning%20Rel.%20Str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8F26FB26475F542951CBE44DD7FEE78" ma:contentTypeVersion="43" ma:contentTypeDescription="Create a new document." ma:contentTypeScope="" ma:versionID="871ecb8999fa579b78325fac06fb639e">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4924C-489E-49CA-B490-610700FA3875}"/>
</file>

<file path=customXml/itemProps2.xml><?xml version="1.0" encoding="utf-8"?>
<ds:datastoreItem xmlns:ds="http://schemas.openxmlformats.org/officeDocument/2006/customXml" ds:itemID="{B89101C4-0D2F-4259-9128-512A6EC61755}"/>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2B64924C-489E-49CA-B490-610700FA3875}">
  <ds:schemaRefs>
    <ds:schemaRef ds:uri="http://schemas.microsoft.com/sharepoint/v3/contenttype/forms"/>
  </ds:schemaRefs>
</ds:datastoreItem>
</file>

<file path=customXml/itemProps5.xml><?xml version="1.0" encoding="utf-8"?>
<ds:datastoreItem xmlns:ds="http://schemas.openxmlformats.org/officeDocument/2006/customXml" ds:itemID="{4A4300E4-0F79-4ECE-A74C-D443D97E99C1}"/>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2016-04-26T18:02:00Z</dcterms:created>
  <dcterms:modified xsi:type="dcterms:W3CDTF">2016-04-26T18:02:00Z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gFAAsdpvfP9KDXJuCvJLrIUROTXZEfEP5EPOEJ3unYpVAVnTIeQmNdjgZCRfxs3Y8fTjyXQx6mClokqP
N5UGzqhr5YDYzf7gklwHNXNZOLB6tOud/2O/dLb6OSGHB6ze87j2ZZYLH6Kg7Oudz4+/yosEN0BL
AiJSB0kv6anbsFmlpTTuPhFGp8LUWEM5zU+HAXVU+k8eqd7j3qUXxpwrG83nuGBUqDsS6LEDG4lq
ZNClqB7X7kfCITHlW</vt:lpwstr>
  </property>
  <property fmtid="{D5CDD505-2E9C-101B-9397-08002B2CF9AE}" pid="3" name="MAIL_MSG_ID2">
    <vt:lpwstr>+fEg/fdhoHAUPlxfIAb2LUPKZpy7e+FYiWbWm8lPTXUG9djlbxjNYZfrs0X
U0hD70qvElG8wYSWSBgfc3o6E0j4MG8UssatcQ==</vt:lpwstr>
  </property>
  <property fmtid="{D5CDD505-2E9C-101B-9397-08002B2CF9AE}" pid="4" name="RESPONSE_SENDER_NAME">
    <vt:lpwstr>sAAAb0xRtPDW5UvRUd/5UWCnAlOWGJE1/c/1P4lvu0sDYkY=</vt:lpwstr>
  </property>
  <property fmtid="{D5CDD505-2E9C-101B-9397-08002B2CF9AE}" pid="5" name="EMAIL_OWNER_ADDRESS">
    <vt:lpwstr>ABAAdnH19QYq2YWeDFWBKmi57wbARO2pHV/d7eA0cTS6dX+0QjIQRjDU8M9WHRqWXWe4</vt:lpwstr>
  </property>
  <property fmtid="{D5CDD505-2E9C-101B-9397-08002B2CF9AE}" pid="6" name="Order">
    <vt:r8>9500</vt:r8>
  </property>
  <property fmtid="{D5CDD505-2E9C-101B-9397-08002B2CF9AE}" pid="7" name="xd_ProgID">
    <vt:lpwstr/>
  </property>
  <property fmtid="{D5CDD505-2E9C-101B-9397-08002B2CF9AE}" pid="8" name="_CopySource">
    <vt:lpwstr>http://nercmoss/sites/standards/Department Documents/BOT_MRC_SOTC Meetings/November 2012/Documents in Progress/COM-001 BOT_NOV-Write-up_mgl.docx</vt:lpwstr>
  </property>
  <property fmtid="{D5CDD505-2E9C-101B-9397-08002B2CF9AE}" pid="9" name="ContentTypeId">
    <vt:lpwstr>0x01010048F26FB26475F542951CBE44DD7FEE78</vt:lpwstr>
  </property>
  <property fmtid="{D5CDD505-2E9C-101B-9397-08002B2CF9AE}" pid="10" name="Status">
    <vt:lpwstr>Approved</vt:lpwstr>
  </property>
  <property fmtid="{D5CDD505-2E9C-101B-9397-08002B2CF9AE}" pid="11" name="TemplateUrl">
    <vt:lpwstr/>
  </property>
  <property fmtid="{D5CDD505-2E9C-101B-9397-08002B2CF9AE}" pid="12" name="_dlc_DocIdItemGuid">
    <vt:lpwstr>6cf58449-5aff-4e7f-8c87-b720c2ebaea0</vt:lpwstr>
  </property>
</Properties>
</file>