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702BEE">
        <w:t>201</w:t>
      </w:r>
      <w:r w:rsidR="00A43CA2">
        <w:t>4</w:t>
      </w:r>
      <w:r w:rsidR="00702BEE">
        <w:t>-</w:t>
      </w:r>
      <w:r w:rsidR="00A43CA2">
        <w:t>03</w:t>
      </w:r>
      <w:r>
        <w:t xml:space="preserve"> </w:t>
      </w:r>
      <w:r w:rsidR="00A43CA2">
        <w:t>Revisions to TOP/IRO Reliability Standards</w:t>
      </w:r>
      <w:r w:rsidR="00702BEE">
        <w:t xml:space="preserve"> </w:t>
      </w:r>
    </w:p>
    <w:p w:rsidR="0055051B" w:rsidRDefault="0055051B"/>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5448FF">
          <w:rPr>
            <w:rStyle w:val="Hyperlink"/>
          </w:rPr>
          <w:t xml:space="preserve">electronic </w:t>
        </w:r>
        <w:r w:rsidR="00E13EC1" w:rsidRPr="005448FF">
          <w:rPr>
            <w:rStyle w:val="Hyperlink"/>
          </w:rPr>
          <w:t>form</w:t>
        </w:r>
      </w:hyperlink>
      <w:r w:rsidR="00E13EC1" w:rsidRPr="000B7836">
        <w:t xml:space="preserve"> </w:t>
      </w:r>
      <w:r w:rsidRPr="000B7836">
        <w:t xml:space="preserve">to submit comments on the </w:t>
      </w:r>
      <w:r w:rsidR="00E13EC1">
        <w:t>definition</w:t>
      </w:r>
      <w:r w:rsidRPr="000B7836">
        <w:t>.  The electronic comment form must be completed by</w:t>
      </w:r>
      <w:r w:rsidR="00A43CA2">
        <w:t xml:space="preserve"> </w:t>
      </w:r>
      <w:r w:rsidR="005448FF" w:rsidRPr="005448FF">
        <w:rPr>
          <w:b/>
          <w:color w:val="FF0000"/>
        </w:rPr>
        <w:t>March 24, 2014</w:t>
      </w:r>
      <w:r w:rsidRPr="000B7836">
        <w:t xml:space="preserve">. </w:t>
      </w:r>
    </w:p>
    <w:p w:rsidR="0073546A" w:rsidRPr="000B7836" w:rsidRDefault="0073546A" w:rsidP="0073546A"/>
    <w:p w:rsidR="0039275D" w:rsidRDefault="00E13EC1" w:rsidP="0073546A">
      <w:r>
        <w:t xml:space="preserve">All documents and information about this project are available on the </w:t>
      </w:r>
      <w:hyperlink r:id="rId12" w:history="1">
        <w:r w:rsidRPr="00E13EC1">
          <w:rPr>
            <w:rStyle w:val="Hyperlink"/>
          </w:rPr>
          <w:t>pro</w:t>
        </w:r>
        <w:r w:rsidRPr="00E13EC1">
          <w:rPr>
            <w:rStyle w:val="Hyperlink"/>
          </w:rPr>
          <w:t>j</w:t>
        </w:r>
        <w:r w:rsidRPr="00E13EC1">
          <w:rPr>
            <w:rStyle w:val="Hyperlink"/>
          </w:rPr>
          <w:t>ect page</w:t>
        </w:r>
      </w:hyperlink>
      <w:r>
        <w:t xml:space="preserve">.  </w:t>
      </w:r>
      <w:r w:rsidR="0073546A" w:rsidRPr="000B7836">
        <w:t xml:space="preserve">If you have questions please contact </w:t>
      </w:r>
      <w:r w:rsidR="007F377B">
        <w:t>Ed Dobrowolski</w:t>
      </w:r>
      <w:r w:rsidR="0073546A" w:rsidRPr="000B7836">
        <w:t xml:space="preserve"> at </w:t>
      </w:r>
      <w:hyperlink r:id="rId13" w:history="1">
        <w:r w:rsidR="007F377B" w:rsidRPr="007D219B">
          <w:rPr>
            <w:rStyle w:val="Hyperlink"/>
            <w:rFonts w:ascii="Verdana" w:hAnsi="Verdana"/>
            <w:sz w:val="20"/>
          </w:rPr>
          <w:t>ed.dobrowolski@nerc.net</w:t>
        </w:r>
      </w:hyperlink>
      <w:r w:rsidR="007F377B">
        <w:rPr>
          <w:rFonts w:ascii="Verdana" w:hAnsi="Verdana"/>
          <w:sz w:val="20"/>
        </w:rPr>
        <w:t xml:space="preserve"> </w:t>
      </w:r>
      <w:r w:rsidR="007F377B" w:rsidRPr="007F377B">
        <w:t>or by telephone at 609-947-3673</w:t>
      </w:r>
      <w:r w:rsidR="0073546A" w:rsidRPr="000B7836">
        <w:t>.</w:t>
      </w:r>
      <w:r w:rsidR="00734E6D">
        <w:t xml:space="preserve">  </w:t>
      </w:r>
      <w:r w:rsidR="0039275D" w:rsidRPr="00136931">
        <w:t xml:space="preserve"> </w:t>
      </w:r>
    </w:p>
    <w:p w:rsidR="002F2BFE" w:rsidRPr="00136931" w:rsidRDefault="002F2BFE" w:rsidP="00D933A3">
      <w:bookmarkStart w:id="2" w:name="_GoBack"/>
      <w:bookmarkEnd w:id="2"/>
    </w:p>
    <w:bookmarkEnd w:id="1"/>
    <w:p w:rsidR="007F377B" w:rsidRDefault="007C3AC2" w:rsidP="007F377B">
      <w:pPr>
        <w:pStyle w:val="Heading2"/>
      </w:pPr>
      <w:r w:rsidRPr="007C3AC2">
        <w:rPr>
          <w:rFonts w:cs="Tahoma"/>
        </w:rPr>
        <w:t>Background Information</w:t>
      </w:r>
      <w:bookmarkStart w:id="3" w:name="_Toc195946482"/>
      <w:r w:rsidRPr="007C3AC2">
        <w:rPr>
          <w:rFonts w:cs="Tahoma"/>
        </w:rPr>
        <w:t xml:space="preserve"> - </w:t>
      </w:r>
      <w:r w:rsidRPr="007C3AC2">
        <w:rPr>
          <w:rFonts w:cs="Tahoma"/>
          <w:szCs w:val="22"/>
        </w:rPr>
        <w:t xml:space="preserve">Project </w:t>
      </w:r>
      <w:r w:rsidR="00A43CA2">
        <w:t>2014-03 Revisions to TOP/IRO Reliability Standards</w:t>
      </w:r>
    </w:p>
    <w:p w:rsidR="00A43CA2" w:rsidRPr="005D2AD3" w:rsidRDefault="00A43CA2" w:rsidP="00A43CA2">
      <w:pPr>
        <w:pStyle w:val="Default"/>
        <w:rPr>
          <w:rFonts w:ascii="Calibri" w:hAnsi="Calibri"/>
        </w:rPr>
      </w:pPr>
      <w:r w:rsidRPr="005D2AD3">
        <w:rPr>
          <w:rFonts w:ascii="Calibri" w:hAnsi="Calibri"/>
        </w:rPr>
        <w:t xml:space="preserve">On April 16, 2013, NERC submitted </w:t>
      </w:r>
      <w:r>
        <w:rPr>
          <w:rFonts w:ascii="Calibri" w:hAnsi="Calibri"/>
        </w:rPr>
        <w:t>two petitions requesting</w:t>
      </w:r>
      <w:r w:rsidRPr="005D2AD3">
        <w:rPr>
          <w:rFonts w:ascii="Calibri" w:hAnsi="Calibri"/>
        </w:rPr>
        <w:t xml:space="preserve"> Commission approval </w:t>
      </w:r>
      <w:r>
        <w:rPr>
          <w:rFonts w:ascii="Calibri" w:hAnsi="Calibri"/>
        </w:rPr>
        <w:t xml:space="preserve">of TOP and IRO standards.  </w:t>
      </w:r>
      <w:r w:rsidRPr="00A43CA2">
        <w:rPr>
          <w:rFonts w:ascii="Calibri" w:hAnsi="Calibri"/>
        </w:rPr>
        <w:t>One petition</w:t>
      </w:r>
      <w:r>
        <w:rPr>
          <w:rFonts w:ascii="Calibri" w:hAnsi="Calibri"/>
        </w:rPr>
        <w:t xml:space="preserve"> addresse</w:t>
      </w:r>
      <w:r w:rsidR="00D52643">
        <w:rPr>
          <w:rFonts w:ascii="Calibri" w:hAnsi="Calibri"/>
        </w:rPr>
        <w:t>d</w:t>
      </w:r>
      <w:r>
        <w:rPr>
          <w:rFonts w:ascii="Calibri" w:hAnsi="Calibri"/>
        </w:rPr>
        <w:t xml:space="preserve"> </w:t>
      </w:r>
      <w:r w:rsidRPr="005D2AD3">
        <w:rPr>
          <w:rFonts w:ascii="Calibri" w:hAnsi="Calibri"/>
        </w:rPr>
        <w:t>three revised TOP Reliability Standards:  TOP-001-2 (Transmission Operations), TOP-002-3 (Operations Planning), TOP-003-2 (Operational Reliability Data), and one Protection Systems (PRC) Reliability Standard, PRC-001-2 (System Protection Coordination) to replace the eight currently-effective TOP standards</w:t>
      </w:r>
      <w:r>
        <w:rPr>
          <w:rFonts w:ascii="Calibri" w:hAnsi="Calibri"/>
        </w:rPr>
        <w:t xml:space="preserve">.  The </w:t>
      </w:r>
      <w:r w:rsidRPr="00A43CA2">
        <w:rPr>
          <w:rFonts w:ascii="Calibri" w:hAnsi="Calibri"/>
        </w:rPr>
        <w:t>second petition</w:t>
      </w:r>
      <w:r>
        <w:rPr>
          <w:rFonts w:ascii="Calibri" w:hAnsi="Calibri"/>
        </w:rPr>
        <w:t xml:space="preserve"> addresses</w:t>
      </w:r>
      <w:r w:rsidRPr="005D2AD3">
        <w:rPr>
          <w:rFonts w:ascii="Calibri" w:hAnsi="Calibri"/>
        </w:rPr>
        <w:t xml:space="preserve"> four revised IRO Reliability Standards:  IRO-001-3 (Responsibilities and Authorities), IRO-002-3 (Analysis Tools), IRO-005-4 (Current Day Operations), and IRO-014-2 (Coordination Among Reliability Coordinators) to replace six currently-effective IRO standards.  </w:t>
      </w:r>
    </w:p>
    <w:p w:rsidR="00A43CA2" w:rsidRDefault="00A43CA2" w:rsidP="00A43CA2">
      <w:pPr>
        <w:pStyle w:val="Default"/>
        <w:rPr>
          <w:rFonts w:ascii="Calibri" w:hAnsi="Calibri"/>
        </w:rPr>
      </w:pPr>
    </w:p>
    <w:p w:rsidR="00A43CA2" w:rsidRDefault="00A43CA2" w:rsidP="00A43CA2">
      <w:pPr>
        <w:pStyle w:val="Default"/>
      </w:pPr>
      <w:r w:rsidRPr="005D2AD3">
        <w:rPr>
          <w:rFonts w:ascii="Calibri" w:hAnsi="Calibri"/>
        </w:rPr>
        <w:t xml:space="preserve">On November 21, 2013, the Commission issued a </w:t>
      </w:r>
      <w:r w:rsidRPr="00A43CA2">
        <w:rPr>
          <w:rFonts w:ascii="Calibri" w:hAnsi="Calibri"/>
        </w:rPr>
        <w:t>NOPR</w:t>
      </w:r>
      <w:r w:rsidRPr="005D2AD3">
        <w:rPr>
          <w:rFonts w:ascii="Calibri" w:hAnsi="Calibri"/>
        </w:rPr>
        <w:t xml:space="preserve"> </w:t>
      </w:r>
      <w:r>
        <w:rPr>
          <w:rFonts w:ascii="Calibri" w:hAnsi="Calibri"/>
        </w:rPr>
        <w:t>in response to</w:t>
      </w:r>
      <w:r w:rsidRPr="005D2AD3">
        <w:rPr>
          <w:rFonts w:ascii="Calibri" w:hAnsi="Calibri"/>
        </w:rPr>
        <w:t xml:space="preserve"> </w:t>
      </w:r>
      <w:r>
        <w:rPr>
          <w:rFonts w:ascii="Calibri" w:hAnsi="Calibri"/>
        </w:rPr>
        <w:t>these</w:t>
      </w:r>
      <w:r w:rsidRPr="005D2AD3">
        <w:rPr>
          <w:rFonts w:ascii="Calibri" w:hAnsi="Calibri"/>
        </w:rPr>
        <w:t xml:space="preserve"> petitions</w:t>
      </w:r>
      <w:r>
        <w:rPr>
          <w:rFonts w:ascii="Calibri" w:hAnsi="Calibri"/>
        </w:rPr>
        <w:t xml:space="preserve">.  The NOPR </w:t>
      </w:r>
      <w:r w:rsidR="00D52643">
        <w:rPr>
          <w:rFonts w:ascii="Calibri" w:hAnsi="Calibri"/>
        </w:rPr>
        <w:t xml:space="preserve">announced the Commission’s intent </w:t>
      </w:r>
      <w:r w:rsidRPr="005D2AD3">
        <w:rPr>
          <w:rFonts w:ascii="Calibri" w:hAnsi="Calibri"/>
        </w:rPr>
        <w:t>to remand the proposed TOP and IRO Standards.</w:t>
      </w:r>
      <w:r w:rsidRPr="00224430">
        <w:rPr>
          <w:rStyle w:val="FootnoteReference"/>
        </w:rPr>
        <w:t xml:space="preserve"> </w:t>
      </w:r>
      <w:r w:rsidRPr="005D2AD3">
        <w:rPr>
          <w:rFonts w:ascii="Calibri" w:hAnsi="Calibri"/>
        </w:rPr>
        <w:t xml:space="preserve"> In the NOPR, the Commission raises a concern that NERC “has removed critical reliability aspects that are included in the currently-effective standards without adequately addressing these aspects in the proposed standards.”</w:t>
      </w:r>
      <w:r w:rsidRPr="00224430">
        <w:rPr>
          <w:rStyle w:val="FootnoteReference"/>
        </w:rPr>
        <w:t xml:space="preserve"> </w:t>
      </w:r>
      <w:r w:rsidRPr="005D2AD3">
        <w:rPr>
          <w:rFonts w:ascii="Calibri" w:hAnsi="Calibri"/>
        </w:rPr>
        <w:t xml:space="preserve"> For example, the Commission cites the fact that the proposed TOP Standards do not require Transmission Operators to plan and operate within all System Operating Limits (“SOLs”), which is a requirement in the currently effective standards.</w:t>
      </w:r>
      <w:r w:rsidRPr="00224430">
        <w:rPr>
          <w:rStyle w:val="FootnoteReference"/>
        </w:rPr>
        <w:t xml:space="preserve"> </w:t>
      </w:r>
    </w:p>
    <w:p w:rsidR="00A43CA2" w:rsidRDefault="00A43CA2" w:rsidP="00A43CA2">
      <w:pPr>
        <w:pStyle w:val="Default"/>
      </w:pPr>
    </w:p>
    <w:p w:rsidR="00A43CA2" w:rsidRDefault="00A43CA2" w:rsidP="00A43CA2">
      <w:pPr>
        <w:rPr>
          <w:rFonts w:ascii="Calibri" w:hAnsi="Calibri"/>
        </w:rPr>
      </w:pPr>
      <w:r w:rsidRPr="001C2514">
        <w:rPr>
          <w:rFonts w:ascii="Calibri" w:hAnsi="Calibri"/>
        </w:rPr>
        <w:t xml:space="preserve">On December 20, 2013, </w:t>
      </w:r>
      <w:r>
        <w:rPr>
          <w:rFonts w:ascii="Calibri" w:hAnsi="Calibri"/>
        </w:rPr>
        <w:t xml:space="preserve">NERC filed a </w:t>
      </w:r>
      <w:r w:rsidRPr="00A43CA2">
        <w:rPr>
          <w:rFonts w:ascii="Calibri" w:hAnsi="Calibri"/>
        </w:rPr>
        <w:t>motion</w:t>
      </w:r>
      <w:r>
        <w:rPr>
          <w:rFonts w:ascii="Calibri" w:hAnsi="Calibri"/>
        </w:rPr>
        <w:t xml:space="preserve"> requesting that the Commission defer action on the NOPR until January 31, 2015 to </w:t>
      </w:r>
      <w:r w:rsidRPr="001C2514">
        <w:rPr>
          <w:rFonts w:ascii="Calibri" w:hAnsi="Calibri"/>
        </w:rPr>
        <w:t>provide NERC and the industry the opportunity to thoroughly examine the technical concerns raised in the NOPR</w:t>
      </w:r>
      <w:r>
        <w:rPr>
          <w:rFonts w:ascii="Calibri" w:hAnsi="Calibri"/>
        </w:rPr>
        <w:t>.  This deferral</w:t>
      </w:r>
      <w:r w:rsidRPr="001C2514">
        <w:rPr>
          <w:rFonts w:ascii="Calibri" w:hAnsi="Calibri"/>
        </w:rPr>
        <w:t xml:space="preserve"> would </w:t>
      </w:r>
      <w:r>
        <w:rPr>
          <w:rFonts w:ascii="Calibri" w:hAnsi="Calibri"/>
        </w:rPr>
        <w:t xml:space="preserve">provide an opportunity for </w:t>
      </w:r>
      <w:r w:rsidRPr="001C2514">
        <w:rPr>
          <w:rFonts w:ascii="Calibri" w:hAnsi="Calibri"/>
        </w:rPr>
        <w:t xml:space="preserve">the industry, NERC, and FERC </w:t>
      </w:r>
      <w:r>
        <w:rPr>
          <w:rFonts w:ascii="Calibri" w:hAnsi="Calibri"/>
        </w:rPr>
        <w:t xml:space="preserve">to </w:t>
      </w:r>
      <w:r w:rsidRPr="001C2514">
        <w:rPr>
          <w:rFonts w:ascii="Calibri" w:hAnsi="Calibri"/>
        </w:rPr>
        <w:t xml:space="preserve">work toward </w:t>
      </w:r>
      <w:r>
        <w:rPr>
          <w:rFonts w:ascii="Calibri" w:hAnsi="Calibri"/>
        </w:rPr>
        <w:t xml:space="preserve">a common understanding and </w:t>
      </w:r>
      <w:r w:rsidRPr="001C2514">
        <w:rPr>
          <w:rFonts w:ascii="Calibri" w:hAnsi="Calibri"/>
        </w:rPr>
        <w:t>afford time to review the proposed TOP and IRO Standards through the NERC standards development process</w:t>
      </w:r>
      <w:r>
        <w:rPr>
          <w:rFonts w:ascii="Calibri" w:hAnsi="Calibri"/>
        </w:rPr>
        <w:t xml:space="preserve"> to ensure that a</w:t>
      </w:r>
      <w:r w:rsidRPr="001C2514">
        <w:rPr>
          <w:rFonts w:ascii="Calibri" w:hAnsi="Calibri"/>
        </w:rPr>
        <w:t xml:space="preserve"> </w:t>
      </w:r>
      <w:r>
        <w:rPr>
          <w:rFonts w:ascii="Calibri" w:hAnsi="Calibri"/>
        </w:rPr>
        <w:t>technically justified set of solutions is in place for reliability.</w:t>
      </w:r>
    </w:p>
    <w:p w:rsidR="00D52643" w:rsidRDefault="00D52643" w:rsidP="00A43CA2">
      <w:pPr>
        <w:rPr>
          <w:rFonts w:ascii="Calibri" w:hAnsi="Calibri"/>
        </w:rPr>
      </w:pPr>
    </w:p>
    <w:p w:rsidR="00A43CA2" w:rsidRPr="00B8156A" w:rsidRDefault="00A43CA2" w:rsidP="00A43CA2">
      <w:pPr>
        <w:pStyle w:val="Default"/>
        <w:rPr>
          <w:rFonts w:ascii="Calibri" w:hAnsi="Calibri"/>
        </w:rPr>
      </w:pPr>
      <w:r>
        <w:rPr>
          <w:rFonts w:ascii="Calibri" w:hAnsi="Calibri"/>
        </w:rPr>
        <w:t xml:space="preserve">As explained in the </w:t>
      </w:r>
      <w:r w:rsidRPr="00A43CA2">
        <w:rPr>
          <w:rFonts w:ascii="Calibri" w:hAnsi="Calibri"/>
        </w:rPr>
        <w:t>motion</w:t>
      </w:r>
      <w:r>
        <w:rPr>
          <w:rFonts w:ascii="Calibri" w:hAnsi="Calibri"/>
        </w:rPr>
        <w:t xml:space="preserve">, </w:t>
      </w:r>
      <w:r w:rsidRPr="00B8156A">
        <w:rPr>
          <w:rFonts w:ascii="Calibri" w:hAnsi="Calibri"/>
        </w:rPr>
        <w:t xml:space="preserve">NERC will hold two technical conferences </w:t>
      </w:r>
      <w:r>
        <w:rPr>
          <w:rFonts w:ascii="Calibri" w:hAnsi="Calibri"/>
        </w:rPr>
        <w:t xml:space="preserve">(one in the East and one in the West) </w:t>
      </w:r>
      <w:r w:rsidRPr="00B8156A">
        <w:rPr>
          <w:rFonts w:ascii="Calibri" w:hAnsi="Calibri"/>
        </w:rPr>
        <w:t>to identify and assess concerns regarding the TOP and IRO Standards</w:t>
      </w:r>
      <w:r>
        <w:rPr>
          <w:rFonts w:ascii="Calibri" w:hAnsi="Calibri"/>
        </w:rPr>
        <w:t xml:space="preserve"> identified n the NOPR</w:t>
      </w:r>
      <w:r w:rsidRPr="00B8156A">
        <w:rPr>
          <w:rFonts w:ascii="Calibri" w:hAnsi="Calibri"/>
        </w:rPr>
        <w:t xml:space="preserve">, such as the monitoring of SOLs, unknown operating states, and outage coordination.  Concurrently, NERC will work with the Standards Committee to re-formulate a standard drafting team to begin development work on revisions to the proposed standards, which would be informed by the technical conferences.  </w:t>
      </w:r>
      <w:r w:rsidRPr="00A35A7D">
        <w:rPr>
          <w:rFonts w:ascii="Calibri" w:hAnsi="Calibri"/>
          <w:vertAlign w:val="superscript"/>
        </w:rPr>
        <w:t xml:space="preserve"> </w:t>
      </w:r>
      <w:r w:rsidRPr="00B8156A">
        <w:rPr>
          <w:rFonts w:ascii="Calibri" w:hAnsi="Calibri"/>
        </w:rPr>
        <w:t xml:space="preserve"> </w:t>
      </w:r>
    </w:p>
    <w:p w:rsidR="00A43CA2" w:rsidRDefault="00A43CA2" w:rsidP="00A43CA2">
      <w:pPr>
        <w:pStyle w:val="Default"/>
        <w:rPr>
          <w:rFonts w:ascii="Calibri" w:hAnsi="Calibri"/>
        </w:rPr>
      </w:pPr>
    </w:p>
    <w:p w:rsidR="00BE73CE" w:rsidRDefault="00A43CA2" w:rsidP="005A6A86">
      <w:r w:rsidRPr="00B8156A">
        <w:rPr>
          <w:rFonts w:ascii="Calibri" w:hAnsi="Calibri"/>
        </w:rPr>
        <w:lastRenderedPageBreak/>
        <w:t>Additionally, in response to the concerns noted by the Commission in the NOPR on the development of a minimum set of analytical tools (analysis and monitoring capabilities) to ensure that Reliability Coordinator</w:t>
      </w:r>
      <w:r w:rsidR="00D52643">
        <w:rPr>
          <w:rFonts w:ascii="Calibri" w:hAnsi="Calibri"/>
        </w:rPr>
        <w:t>s</w:t>
      </w:r>
      <w:r w:rsidRPr="00B8156A">
        <w:rPr>
          <w:rFonts w:ascii="Calibri" w:hAnsi="Calibri"/>
        </w:rPr>
        <w:t xml:space="preserve"> </w:t>
      </w:r>
      <w:r w:rsidR="00D52643">
        <w:rPr>
          <w:rFonts w:ascii="Calibri" w:hAnsi="Calibri"/>
        </w:rPr>
        <w:t xml:space="preserve">and Transmission Operators </w:t>
      </w:r>
      <w:r w:rsidRPr="00B8156A">
        <w:rPr>
          <w:rFonts w:ascii="Calibri" w:hAnsi="Calibri"/>
        </w:rPr>
        <w:t>ha</w:t>
      </w:r>
      <w:r w:rsidR="00D52643">
        <w:rPr>
          <w:rFonts w:ascii="Calibri" w:hAnsi="Calibri"/>
        </w:rPr>
        <w:t>ve</w:t>
      </w:r>
      <w:r w:rsidRPr="00B8156A">
        <w:rPr>
          <w:rFonts w:ascii="Calibri" w:hAnsi="Calibri"/>
        </w:rPr>
        <w:t xml:space="preserve"> the tools it needs to perform its functions, NERC will continue development of </w:t>
      </w:r>
      <w:r>
        <w:rPr>
          <w:rFonts w:ascii="Calibri" w:hAnsi="Calibri"/>
        </w:rPr>
        <w:t>Reliability S</w:t>
      </w:r>
      <w:r w:rsidRPr="00B8156A">
        <w:rPr>
          <w:rFonts w:ascii="Calibri" w:hAnsi="Calibri"/>
        </w:rPr>
        <w:t xml:space="preserve">tandards that address Real-Time Tools as they relate to the proposed TOP and IRO standards, which could </w:t>
      </w:r>
      <w:r>
        <w:rPr>
          <w:rFonts w:ascii="Calibri" w:hAnsi="Calibri"/>
        </w:rPr>
        <w:t xml:space="preserve">either </w:t>
      </w:r>
      <w:r w:rsidRPr="00B8156A">
        <w:rPr>
          <w:rFonts w:ascii="Calibri" w:hAnsi="Calibri"/>
        </w:rPr>
        <w:t>continue to be included as part of Project 2009-02, Real-time Monitoring and Analysis Capabilities, or in revisions to the proposed TOP and IRO standards.</w:t>
      </w:r>
      <w:r w:rsidR="00BE73CE" w:rsidRPr="005A6A86">
        <w:t xml:space="preserve"> </w:t>
      </w:r>
    </w:p>
    <w:p w:rsidR="00B80B04" w:rsidRDefault="00B80B04" w:rsidP="005A6A86"/>
    <w:p w:rsidR="00B80B04" w:rsidRDefault="00B80B04" w:rsidP="00B80B04">
      <w:pPr>
        <w:pStyle w:val="Default"/>
        <w:rPr>
          <w:rFonts w:ascii="Calibri" w:hAnsi="Calibri"/>
        </w:rPr>
      </w:pPr>
      <w:r>
        <w:rPr>
          <w:rFonts w:ascii="Calibri" w:hAnsi="Calibri"/>
        </w:rPr>
        <w:t xml:space="preserve">Links </w:t>
      </w:r>
      <w:r w:rsidRPr="00D15405">
        <w:rPr>
          <w:rFonts w:ascii="Calibri" w:hAnsi="Calibri"/>
        </w:rPr>
        <w:t xml:space="preserve">to the </w:t>
      </w:r>
      <w:r>
        <w:rPr>
          <w:rFonts w:ascii="Calibri" w:hAnsi="Calibri"/>
        </w:rPr>
        <w:t xml:space="preserve">relevant files and </w:t>
      </w:r>
      <w:r w:rsidRPr="00D15405">
        <w:rPr>
          <w:rFonts w:ascii="Calibri" w:hAnsi="Calibri"/>
        </w:rPr>
        <w:t xml:space="preserve">project </w:t>
      </w:r>
      <w:r>
        <w:rPr>
          <w:rFonts w:ascii="Calibri" w:hAnsi="Calibri"/>
        </w:rPr>
        <w:t>pages are</w:t>
      </w:r>
      <w:r w:rsidRPr="00D15405">
        <w:rPr>
          <w:rFonts w:ascii="Calibri" w:hAnsi="Calibri"/>
        </w:rPr>
        <w:t xml:space="preserve"> included here for reference:</w:t>
      </w:r>
    </w:p>
    <w:p w:rsidR="00B80B04" w:rsidRDefault="00B80B04" w:rsidP="00B80B04">
      <w:pPr>
        <w:pStyle w:val="Default"/>
        <w:rPr>
          <w:rFonts w:ascii="Calibri" w:hAnsi="Calibri"/>
        </w:rPr>
      </w:pPr>
    </w:p>
    <w:p w:rsidR="00B80B04" w:rsidRDefault="00B80B04" w:rsidP="00B80B04">
      <w:pPr>
        <w:pStyle w:val="Default"/>
        <w:rPr>
          <w:rFonts w:ascii="Calibri" w:hAnsi="Calibri"/>
        </w:rPr>
      </w:pPr>
      <w:r>
        <w:rPr>
          <w:rFonts w:ascii="Calibri" w:hAnsi="Calibri"/>
        </w:rPr>
        <w:t>[</w:t>
      </w:r>
      <w:hyperlink r:id="rId14" w:history="1">
        <w:r w:rsidRPr="003C60E6">
          <w:rPr>
            <w:rStyle w:val="Hyperlink"/>
            <w:rFonts w:ascii="Calibri" w:hAnsi="Calibri"/>
          </w:rPr>
          <w:t>NERC Petition on TOP Standards</w:t>
        </w:r>
      </w:hyperlink>
      <w:r>
        <w:rPr>
          <w:rFonts w:ascii="Calibri" w:hAnsi="Calibri"/>
        </w:rPr>
        <w:t>]</w:t>
      </w:r>
    </w:p>
    <w:p w:rsidR="00B80B04" w:rsidRDefault="00B80B04" w:rsidP="00B80B04">
      <w:pPr>
        <w:pStyle w:val="Default"/>
        <w:rPr>
          <w:rFonts w:ascii="Calibri" w:hAnsi="Calibri"/>
        </w:rPr>
      </w:pPr>
    </w:p>
    <w:p w:rsidR="00B80B04" w:rsidRDefault="00B80B04" w:rsidP="00B80B04">
      <w:pPr>
        <w:pStyle w:val="Default"/>
        <w:rPr>
          <w:rFonts w:ascii="Calibri" w:hAnsi="Calibri"/>
        </w:rPr>
      </w:pPr>
      <w:r>
        <w:rPr>
          <w:rFonts w:ascii="Calibri" w:hAnsi="Calibri"/>
        </w:rPr>
        <w:t>[</w:t>
      </w:r>
      <w:hyperlink r:id="rId15" w:history="1">
        <w:r w:rsidRPr="003C60E6">
          <w:rPr>
            <w:rStyle w:val="Hyperlink"/>
            <w:rFonts w:ascii="Calibri" w:hAnsi="Calibri"/>
          </w:rPr>
          <w:t>NERC Petition on IRO Standards</w:t>
        </w:r>
      </w:hyperlink>
      <w:r>
        <w:rPr>
          <w:rFonts w:ascii="Calibri" w:hAnsi="Calibri"/>
        </w:rPr>
        <w:t>]</w:t>
      </w:r>
    </w:p>
    <w:p w:rsidR="00B80B04" w:rsidRDefault="00B80B04" w:rsidP="00B80B04">
      <w:pPr>
        <w:pStyle w:val="Default"/>
        <w:rPr>
          <w:rFonts w:ascii="Calibri" w:hAnsi="Calibri"/>
        </w:rPr>
      </w:pPr>
    </w:p>
    <w:p w:rsidR="00B80B04" w:rsidRDefault="00B80B04" w:rsidP="00B80B04">
      <w:pPr>
        <w:pStyle w:val="Default"/>
        <w:rPr>
          <w:rFonts w:ascii="Calibri" w:hAnsi="Calibri"/>
        </w:rPr>
      </w:pPr>
      <w:r>
        <w:rPr>
          <w:rFonts w:ascii="Calibri" w:hAnsi="Calibri"/>
        </w:rPr>
        <w:t>[</w:t>
      </w:r>
      <w:hyperlink r:id="rId16" w:history="1">
        <w:r w:rsidRPr="003C60E6">
          <w:rPr>
            <w:rStyle w:val="Hyperlink"/>
            <w:rFonts w:ascii="Calibri" w:hAnsi="Calibri"/>
          </w:rPr>
          <w:t>FERC NOPR</w:t>
        </w:r>
      </w:hyperlink>
      <w:r>
        <w:rPr>
          <w:rFonts w:ascii="Calibri" w:hAnsi="Calibri"/>
        </w:rPr>
        <w:t>]</w:t>
      </w:r>
    </w:p>
    <w:p w:rsidR="00B80B04" w:rsidRDefault="00B80B04" w:rsidP="00B80B04">
      <w:pPr>
        <w:pStyle w:val="Default"/>
        <w:rPr>
          <w:rFonts w:ascii="Calibri" w:hAnsi="Calibri"/>
        </w:rPr>
      </w:pPr>
    </w:p>
    <w:p w:rsidR="00B80B04" w:rsidRDefault="00B80B04" w:rsidP="00B80B04">
      <w:pPr>
        <w:pStyle w:val="Default"/>
        <w:rPr>
          <w:rFonts w:ascii="Calibri" w:hAnsi="Calibri"/>
        </w:rPr>
      </w:pPr>
      <w:r>
        <w:rPr>
          <w:rFonts w:ascii="Calibri" w:hAnsi="Calibri"/>
        </w:rPr>
        <w:t>[</w:t>
      </w:r>
      <w:hyperlink r:id="rId17" w:history="1">
        <w:r w:rsidRPr="003C60E6">
          <w:rPr>
            <w:rStyle w:val="Hyperlink"/>
            <w:rFonts w:ascii="Calibri" w:hAnsi="Calibri"/>
          </w:rPr>
          <w:t>NERC Motion to Defer Action</w:t>
        </w:r>
      </w:hyperlink>
      <w:r>
        <w:rPr>
          <w:rFonts w:ascii="Calibri" w:hAnsi="Calibri"/>
        </w:rPr>
        <w:t>]</w:t>
      </w:r>
    </w:p>
    <w:p w:rsidR="00B80B04" w:rsidRDefault="00B80B04" w:rsidP="00B80B04">
      <w:pPr>
        <w:pStyle w:val="Default"/>
        <w:rPr>
          <w:rFonts w:ascii="Calibri" w:hAnsi="Calibri"/>
        </w:rPr>
      </w:pPr>
    </w:p>
    <w:p w:rsidR="00B80B04" w:rsidRPr="005A6A86" w:rsidRDefault="00B80B04" w:rsidP="00B80B04">
      <w:r>
        <w:rPr>
          <w:rFonts w:ascii="Calibri" w:hAnsi="Calibri"/>
        </w:rPr>
        <w:t xml:space="preserve"> [</w:t>
      </w:r>
      <w:hyperlink r:id="rId18" w:history="1">
        <w:r w:rsidRPr="003C60E6">
          <w:rPr>
            <w:rStyle w:val="Hyperlink"/>
            <w:rFonts w:ascii="Calibri" w:hAnsi="Calibri"/>
          </w:rPr>
          <w:t>Project 2009-02 Real-time Monitoring and Analysis Capabilities project page</w:t>
        </w:r>
      </w:hyperlink>
      <w:r>
        <w:rPr>
          <w:rFonts w:ascii="Calibri" w:hAnsi="Calibri"/>
        </w:rPr>
        <w:t>]</w:t>
      </w:r>
    </w:p>
    <w:p w:rsidR="007F377B" w:rsidRPr="00734E6D" w:rsidRDefault="007C3AC2" w:rsidP="007F377B">
      <w:pPr>
        <w:pStyle w:val="FootnoteText"/>
        <w:tabs>
          <w:tab w:val="left" w:pos="90"/>
          <w:tab w:val="left" w:pos="10170"/>
        </w:tabs>
        <w:rPr>
          <w:sz w:val="22"/>
          <w:szCs w:val="22"/>
        </w:rPr>
      </w:pPr>
      <w:r w:rsidRPr="007C3AC2">
        <w:rPr>
          <w:sz w:val="22"/>
          <w:szCs w:val="22"/>
        </w:rPr>
        <w:t xml:space="preserve">  </w:t>
      </w:r>
    </w:p>
    <w:p w:rsidR="005A6A86" w:rsidRDefault="007C3AC2">
      <w:pPr>
        <w:rPr>
          <w:sz w:val="22"/>
          <w:szCs w:val="22"/>
        </w:rPr>
      </w:pPr>
      <w:r w:rsidRPr="007C3AC2">
        <w:rPr>
          <w:sz w:val="22"/>
          <w:szCs w:val="22"/>
        </w:rPr>
        <w:t>You do not have to answer all questions.  Enter comments in simple text format.  Bullets, numbers, and special formatting will not be retained.</w:t>
      </w:r>
      <w:bookmarkEnd w:id="3"/>
    </w:p>
    <w:p w:rsidR="005A6A86" w:rsidRDefault="005A6A86">
      <w:pPr>
        <w:rPr>
          <w:b/>
          <w:bCs/>
          <w:sz w:val="22"/>
          <w:szCs w:val="22"/>
        </w:rPr>
      </w:pPr>
    </w:p>
    <w:p w:rsidR="0039275D" w:rsidRPr="00BD7EBF" w:rsidRDefault="007C3AC2" w:rsidP="00102A01">
      <w:pPr>
        <w:pStyle w:val="Heading2"/>
        <w:rPr>
          <w:rFonts w:asciiTheme="minorHAnsi" w:hAnsiTheme="minorHAnsi"/>
          <w:sz w:val="24"/>
          <w:szCs w:val="22"/>
        </w:rPr>
      </w:pPr>
      <w:r w:rsidRPr="00BD7EBF">
        <w:rPr>
          <w:rFonts w:asciiTheme="minorHAnsi" w:hAnsiTheme="minorHAnsi"/>
          <w:sz w:val="24"/>
          <w:szCs w:val="22"/>
        </w:rPr>
        <w:t>Questions</w:t>
      </w:r>
    </w:p>
    <w:p w:rsidR="00575783" w:rsidRPr="00734E6D" w:rsidRDefault="00575783" w:rsidP="00575783">
      <w:pPr>
        <w:rPr>
          <w:sz w:val="22"/>
          <w:szCs w:val="22"/>
        </w:rPr>
      </w:pPr>
    </w:p>
    <w:p w:rsidR="003855D4" w:rsidRPr="00CC5FFD" w:rsidRDefault="00851C38" w:rsidP="003855D4">
      <w:pPr>
        <w:pStyle w:val="Bullet"/>
        <w:numPr>
          <w:ilvl w:val="0"/>
          <w:numId w:val="26"/>
        </w:numPr>
        <w:spacing w:before="0" w:after="120"/>
        <w:rPr>
          <w:rFonts w:asciiTheme="minorHAnsi" w:hAnsiTheme="minorHAnsi"/>
          <w:sz w:val="24"/>
          <w:szCs w:val="24"/>
        </w:rPr>
      </w:pPr>
      <w:r>
        <w:rPr>
          <w:rFonts w:asciiTheme="minorHAnsi" w:hAnsiTheme="minorHAnsi"/>
          <w:sz w:val="24"/>
          <w:szCs w:val="24"/>
        </w:rPr>
        <w:t xml:space="preserve">Do you agree with the scope and contents of the SAR?  If not, please provide specific comments and suggestions for SDT consideration. </w:t>
      </w:r>
      <w:r w:rsidR="003855D4" w:rsidRPr="00CC5FFD">
        <w:rPr>
          <w:rFonts w:asciiTheme="minorHAnsi" w:hAnsiTheme="minorHAnsi"/>
          <w:sz w:val="24"/>
          <w:szCs w:val="24"/>
        </w:rPr>
        <w:t xml:space="preserve">        </w:t>
      </w:r>
    </w:p>
    <w:p w:rsidR="00BD7EBF" w:rsidRPr="00BD7EBF" w:rsidRDefault="00BD7EBF" w:rsidP="00BD7EBF">
      <w:pPr>
        <w:keepNext/>
        <w:tabs>
          <w:tab w:val="num" w:pos="720"/>
        </w:tabs>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Pr="00BD7EBF">
        <w:rPr>
          <w:rFonts w:ascii="Calibri" w:hAnsi="Calibri"/>
        </w:rPr>
        <w:instrText xml:space="preserve"> FORMCHECKBOX </w:instrText>
      </w:r>
      <w:r w:rsidR="00D13064">
        <w:rPr>
          <w:rFonts w:ascii="Calibri" w:hAnsi="Calibri"/>
        </w:rPr>
      </w:r>
      <w:r w:rsidR="00D13064">
        <w:rPr>
          <w:rFonts w:ascii="Calibri" w:hAnsi="Calibri"/>
        </w:rPr>
        <w:fldChar w:fldCharType="separate"/>
      </w:r>
      <w:r w:rsidRPr="00BD7EBF">
        <w:rPr>
          <w:rFonts w:ascii="Calibri" w:hAnsi="Calibri"/>
        </w:rPr>
        <w:fldChar w:fldCharType="end"/>
      </w:r>
      <w:r w:rsidRPr="00BD7EBF">
        <w:rPr>
          <w:rFonts w:ascii="Calibri" w:hAnsi="Calibri"/>
        </w:rPr>
        <w:t xml:space="preserve"> Yes </w:t>
      </w:r>
    </w:p>
    <w:p w:rsidR="00BD7EBF" w:rsidRPr="00BD7EBF" w:rsidRDefault="00BD7EBF" w:rsidP="00BD7EBF">
      <w:pPr>
        <w:keepNext/>
        <w:tabs>
          <w:tab w:val="num" w:pos="720"/>
        </w:tabs>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Pr="00BD7EBF">
        <w:rPr>
          <w:rFonts w:ascii="Calibri" w:hAnsi="Calibri"/>
        </w:rPr>
        <w:instrText xml:space="preserve"> FORMCHECKBOX </w:instrText>
      </w:r>
      <w:r w:rsidR="00D13064">
        <w:rPr>
          <w:rFonts w:ascii="Calibri" w:hAnsi="Calibri"/>
        </w:rPr>
      </w:r>
      <w:r w:rsidR="00D13064">
        <w:rPr>
          <w:rFonts w:ascii="Calibri" w:hAnsi="Calibri"/>
        </w:rPr>
        <w:fldChar w:fldCharType="separate"/>
      </w:r>
      <w:r w:rsidRPr="00BD7EBF">
        <w:rPr>
          <w:rFonts w:ascii="Calibri" w:hAnsi="Calibri"/>
        </w:rPr>
        <w:fldChar w:fldCharType="end"/>
      </w:r>
      <w:r w:rsidRPr="00BD7EBF">
        <w:rPr>
          <w:rFonts w:ascii="Calibri" w:hAnsi="Calibri"/>
        </w:rPr>
        <w:t xml:space="preserve"> No </w:t>
      </w:r>
    </w:p>
    <w:p w:rsidR="00BD7EBF" w:rsidRPr="00BD7EBF" w:rsidRDefault="00BD7EBF" w:rsidP="00BD7EBF">
      <w:pPr>
        <w:tabs>
          <w:tab w:val="num" w:pos="720"/>
        </w:tabs>
        <w:ind w:left="360"/>
        <w:rPr>
          <w:rFonts w:ascii="Calibri" w:hAnsi="Calibri"/>
        </w:rPr>
      </w:pPr>
      <w:r w:rsidRPr="00BD7EBF">
        <w:rPr>
          <w:rFonts w:ascii="Calibri" w:hAnsi="Calibri"/>
        </w:rPr>
        <w:t xml:space="preserve">Comments: </w:t>
      </w:r>
      <w:r w:rsidRPr="00BD7EBF">
        <w:rPr>
          <w:rFonts w:ascii="Calibri" w:hAnsi="Calibri"/>
        </w:rPr>
        <w:fldChar w:fldCharType="begin">
          <w:ffData>
            <w:name w:val="Text12"/>
            <w:enabled/>
            <w:calcOnExit w:val="0"/>
            <w:textInput/>
          </w:ffData>
        </w:fldChar>
      </w:r>
      <w:r w:rsidRPr="00BD7EBF">
        <w:rPr>
          <w:rFonts w:ascii="Calibri" w:hAnsi="Calibri"/>
        </w:rPr>
        <w:instrText xml:space="preserve"> FORMTEXT </w:instrText>
      </w:r>
      <w:r w:rsidRPr="00BD7EBF">
        <w:rPr>
          <w:rFonts w:ascii="Calibri" w:hAnsi="Calibri"/>
        </w:rPr>
      </w:r>
      <w:r w:rsidRPr="00BD7EBF">
        <w:rPr>
          <w:rFonts w:ascii="Calibri" w:hAnsi="Calibri"/>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BD7EBF">
        <w:rPr>
          <w:rFonts w:ascii="Calibri" w:hAnsi="Calibri"/>
        </w:rPr>
        <w:fldChar w:fldCharType="end"/>
      </w:r>
    </w:p>
    <w:p w:rsidR="003855D4" w:rsidRPr="00CC5FFD" w:rsidRDefault="003855D4" w:rsidP="003855D4">
      <w:pPr>
        <w:pStyle w:val="ListParagraph"/>
        <w:rPr>
          <w:rFonts w:asciiTheme="minorHAnsi" w:hAnsiTheme="minorHAnsi"/>
          <w:sz w:val="24"/>
          <w:szCs w:val="24"/>
        </w:rPr>
      </w:pPr>
    </w:p>
    <w:p w:rsidR="00851C38" w:rsidRPr="00851C38" w:rsidRDefault="00851C38" w:rsidP="00187FEE">
      <w:pPr>
        <w:pStyle w:val="Bullet"/>
        <w:numPr>
          <w:ilvl w:val="0"/>
          <w:numId w:val="26"/>
        </w:numPr>
        <w:spacing w:before="0" w:after="120"/>
        <w:rPr>
          <w:rFonts w:asciiTheme="minorHAnsi" w:hAnsiTheme="minorHAnsi"/>
          <w:sz w:val="24"/>
          <w:szCs w:val="24"/>
        </w:rPr>
      </w:pPr>
      <w:r w:rsidRPr="00851C38">
        <w:rPr>
          <w:rFonts w:asciiTheme="minorHAnsi" w:hAnsiTheme="minorHAnsi"/>
          <w:sz w:val="24"/>
          <w:szCs w:val="24"/>
        </w:rPr>
        <w:t>Are you aware of any regional variances associated with approved NERC Reliability Standards that will be needed as a result of this project?  If yes, please identify the Regional Variance.</w:t>
      </w:r>
    </w:p>
    <w:p w:rsidR="00BD7EBF" w:rsidRPr="00BD7EBF" w:rsidRDefault="00BD7EBF" w:rsidP="00BD7EBF">
      <w:pPr>
        <w:keepNext/>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Pr="00BD7EBF">
        <w:rPr>
          <w:rFonts w:ascii="Calibri" w:hAnsi="Calibri"/>
        </w:rPr>
        <w:instrText xml:space="preserve"> FORMCHECKBOX </w:instrText>
      </w:r>
      <w:r w:rsidR="00D13064">
        <w:rPr>
          <w:rFonts w:ascii="Calibri" w:hAnsi="Calibri"/>
        </w:rPr>
      </w:r>
      <w:r w:rsidR="00D13064">
        <w:rPr>
          <w:rFonts w:ascii="Calibri" w:hAnsi="Calibri"/>
        </w:rPr>
        <w:fldChar w:fldCharType="separate"/>
      </w:r>
      <w:r w:rsidRPr="00BD7EBF">
        <w:rPr>
          <w:rFonts w:ascii="Calibri" w:hAnsi="Calibri"/>
        </w:rPr>
        <w:fldChar w:fldCharType="end"/>
      </w:r>
      <w:r w:rsidRPr="00BD7EBF">
        <w:rPr>
          <w:rFonts w:ascii="Calibri" w:hAnsi="Calibri"/>
        </w:rPr>
        <w:t xml:space="preserve"> Yes </w:t>
      </w:r>
    </w:p>
    <w:p w:rsidR="00BD7EBF" w:rsidRPr="00BD7EBF" w:rsidRDefault="00BD7EBF" w:rsidP="00BD7EBF">
      <w:pPr>
        <w:keepNext/>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Pr="00BD7EBF">
        <w:rPr>
          <w:rFonts w:ascii="Calibri" w:hAnsi="Calibri"/>
        </w:rPr>
        <w:instrText xml:space="preserve"> FORMCHECKBOX </w:instrText>
      </w:r>
      <w:r w:rsidR="00D13064">
        <w:rPr>
          <w:rFonts w:ascii="Calibri" w:hAnsi="Calibri"/>
        </w:rPr>
      </w:r>
      <w:r w:rsidR="00D13064">
        <w:rPr>
          <w:rFonts w:ascii="Calibri" w:hAnsi="Calibri"/>
        </w:rPr>
        <w:fldChar w:fldCharType="separate"/>
      </w:r>
      <w:r w:rsidRPr="00BD7EBF">
        <w:rPr>
          <w:rFonts w:ascii="Calibri" w:hAnsi="Calibri"/>
        </w:rPr>
        <w:fldChar w:fldCharType="end"/>
      </w:r>
      <w:r w:rsidRPr="00BD7EBF">
        <w:rPr>
          <w:rFonts w:ascii="Calibri" w:hAnsi="Calibri"/>
        </w:rPr>
        <w:t xml:space="preserve"> No </w:t>
      </w:r>
    </w:p>
    <w:p w:rsidR="00BD7EBF" w:rsidRPr="00BD7EBF" w:rsidRDefault="00BD7EBF" w:rsidP="00BD7EBF">
      <w:pPr>
        <w:ind w:left="360"/>
        <w:rPr>
          <w:rFonts w:ascii="Calibri" w:hAnsi="Calibri"/>
        </w:rPr>
      </w:pPr>
      <w:r w:rsidRPr="00BD7EBF">
        <w:rPr>
          <w:rFonts w:ascii="Calibri" w:hAnsi="Calibri"/>
        </w:rPr>
        <w:t xml:space="preserve">Comments: </w:t>
      </w:r>
      <w:r w:rsidRPr="00BD7EBF">
        <w:rPr>
          <w:rFonts w:ascii="Calibri" w:hAnsi="Calibri"/>
        </w:rPr>
        <w:fldChar w:fldCharType="begin">
          <w:ffData>
            <w:name w:val="Text12"/>
            <w:enabled/>
            <w:calcOnExit w:val="0"/>
            <w:textInput/>
          </w:ffData>
        </w:fldChar>
      </w:r>
      <w:r w:rsidRPr="00BD7EBF">
        <w:rPr>
          <w:rFonts w:ascii="Calibri" w:hAnsi="Calibri"/>
        </w:rPr>
        <w:instrText xml:space="preserve"> FORMTEXT </w:instrText>
      </w:r>
      <w:r w:rsidRPr="00BD7EBF">
        <w:rPr>
          <w:rFonts w:ascii="Calibri" w:hAnsi="Calibri"/>
        </w:rPr>
      </w:r>
      <w:r w:rsidRPr="00BD7EBF">
        <w:rPr>
          <w:rFonts w:ascii="Calibri" w:hAnsi="Calibri"/>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BD7EBF">
        <w:rPr>
          <w:rFonts w:ascii="Calibri" w:hAnsi="Calibri"/>
        </w:rPr>
        <w:fldChar w:fldCharType="end"/>
      </w:r>
    </w:p>
    <w:p w:rsidR="00851C38" w:rsidRDefault="00851C38" w:rsidP="00851C38">
      <w:pPr>
        <w:pStyle w:val="Bullet"/>
        <w:numPr>
          <w:ilvl w:val="0"/>
          <w:numId w:val="0"/>
        </w:numPr>
        <w:spacing w:before="0" w:after="120"/>
        <w:ind w:left="360"/>
        <w:rPr>
          <w:rFonts w:asciiTheme="minorHAnsi" w:hAnsiTheme="minorHAnsi"/>
          <w:sz w:val="24"/>
          <w:szCs w:val="24"/>
        </w:rPr>
      </w:pPr>
    </w:p>
    <w:p w:rsidR="00BD7EBF" w:rsidRDefault="00BD7EBF">
      <w:r>
        <w:br w:type="page"/>
      </w:r>
    </w:p>
    <w:p w:rsidR="00BD7EBF" w:rsidRPr="00BD7EBF" w:rsidRDefault="00BD7EBF" w:rsidP="00BD7EBF">
      <w:pPr>
        <w:pStyle w:val="Bullet"/>
        <w:numPr>
          <w:ilvl w:val="0"/>
          <w:numId w:val="26"/>
        </w:numPr>
        <w:spacing w:before="0" w:after="120"/>
        <w:rPr>
          <w:rFonts w:asciiTheme="minorHAnsi" w:hAnsiTheme="minorHAnsi"/>
          <w:sz w:val="24"/>
          <w:szCs w:val="24"/>
        </w:rPr>
      </w:pPr>
      <w:r w:rsidRPr="00BD7EBF">
        <w:rPr>
          <w:rFonts w:asciiTheme="minorHAnsi" w:hAnsiTheme="minorHAnsi"/>
          <w:sz w:val="24"/>
          <w:szCs w:val="24"/>
        </w:rPr>
        <w:lastRenderedPageBreak/>
        <w:t>Are you aware of any Canadian provincial or other regulatory requirements that may need to be considered during this project in order to develop a continent-wide approach to the standard(s)?  If yes, please identify the jurisdiction and specific regulatory requirements.</w:t>
      </w:r>
    </w:p>
    <w:p w:rsidR="00BD7EBF" w:rsidRPr="00E212BF" w:rsidRDefault="00BD7EBF" w:rsidP="00BD7EBF">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Pr="00E212BF">
        <w:rPr>
          <w:rFonts w:ascii="Calibri" w:hAnsi="Calibri"/>
        </w:rPr>
        <w:instrText xml:space="preserve"> FORMCHECKBOX </w:instrText>
      </w:r>
      <w:r w:rsidR="00D13064">
        <w:rPr>
          <w:rFonts w:ascii="Calibri" w:hAnsi="Calibri"/>
        </w:rPr>
      </w:r>
      <w:r w:rsidR="00D13064">
        <w:rPr>
          <w:rFonts w:ascii="Calibri" w:hAnsi="Calibri"/>
        </w:rPr>
        <w:fldChar w:fldCharType="separate"/>
      </w:r>
      <w:r w:rsidRPr="00E212BF">
        <w:rPr>
          <w:rFonts w:ascii="Calibri" w:hAnsi="Calibri"/>
        </w:rPr>
        <w:fldChar w:fldCharType="end"/>
      </w:r>
      <w:r w:rsidRPr="00E212BF">
        <w:rPr>
          <w:rFonts w:ascii="Calibri" w:hAnsi="Calibri"/>
        </w:rPr>
        <w:t xml:space="preserve"> Yes </w:t>
      </w:r>
    </w:p>
    <w:p w:rsidR="00BD7EBF" w:rsidRPr="00E212BF" w:rsidRDefault="00BD7EBF" w:rsidP="00BD7EBF">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Pr="00E212BF">
        <w:rPr>
          <w:rFonts w:ascii="Calibri" w:hAnsi="Calibri"/>
        </w:rPr>
        <w:instrText xml:space="preserve"> FORMCHECKBOX </w:instrText>
      </w:r>
      <w:r w:rsidR="00D13064">
        <w:rPr>
          <w:rFonts w:ascii="Calibri" w:hAnsi="Calibri"/>
        </w:rPr>
      </w:r>
      <w:r w:rsidR="00D13064">
        <w:rPr>
          <w:rFonts w:ascii="Calibri" w:hAnsi="Calibri"/>
        </w:rPr>
        <w:fldChar w:fldCharType="separate"/>
      </w:r>
      <w:r w:rsidRPr="00E212BF">
        <w:rPr>
          <w:rFonts w:ascii="Calibri" w:hAnsi="Calibri"/>
        </w:rPr>
        <w:fldChar w:fldCharType="end"/>
      </w:r>
      <w:r w:rsidRPr="00E212BF">
        <w:rPr>
          <w:rFonts w:ascii="Calibri" w:hAnsi="Calibri"/>
        </w:rPr>
        <w:t xml:space="preserve"> No </w:t>
      </w:r>
    </w:p>
    <w:p w:rsidR="00BD7EBF" w:rsidRPr="00E212BF" w:rsidRDefault="00BD7EBF" w:rsidP="00BD7EBF">
      <w:pPr>
        <w:ind w:left="360"/>
        <w:rPr>
          <w:rFonts w:ascii="Calibri" w:hAnsi="Calibri"/>
        </w:rPr>
      </w:pPr>
      <w:r w:rsidRPr="00E212BF">
        <w:rPr>
          <w:rFonts w:ascii="Calibri" w:hAnsi="Calibri"/>
        </w:rPr>
        <w:t xml:space="preserve">Comments: </w:t>
      </w:r>
      <w:r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Pr="00E212BF">
        <w:rPr>
          <w:rFonts w:ascii="Calibri" w:hAnsi="Calibri"/>
        </w:rPr>
      </w:r>
      <w:r w:rsidRPr="00E212BF">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E212BF">
        <w:rPr>
          <w:rFonts w:ascii="Calibri" w:hAnsi="Calibri"/>
        </w:rPr>
        <w:fldChar w:fldCharType="end"/>
      </w:r>
    </w:p>
    <w:p w:rsidR="00BD7EBF" w:rsidRDefault="00BD7EBF" w:rsidP="00BD7EBF">
      <w:pPr>
        <w:pStyle w:val="Bullet"/>
        <w:numPr>
          <w:ilvl w:val="0"/>
          <w:numId w:val="0"/>
        </w:numPr>
        <w:spacing w:before="0" w:after="120"/>
        <w:rPr>
          <w:rFonts w:asciiTheme="minorHAnsi" w:hAnsiTheme="minorHAnsi"/>
          <w:sz w:val="24"/>
          <w:szCs w:val="24"/>
        </w:rPr>
      </w:pPr>
    </w:p>
    <w:p w:rsidR="003855D4" w:rsidRPr="00CC5FFD" w:rsidRDefault="003855D4" w:rsidP="00187FEE">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Are there any other concerns with this</w:t>
      </w:r>
      <w:r w:rsidR="00851C38">
        <w:rPr>
          <w:rFonts w:asciiTheme="minorHAnsi" w:hAnsiTheme="minorHAnsi"/>
          <w:sz w:val="24"/>
          <w:szCs w:val="24"/>
        </w:rPr>
        <w:t xml:space="preserve"> SAR</w:t>
      </w:r>
      <w:r w:rsidRPr="00CC5FFD">
        <w:rPr>
          <w:rFonts w:asciiTheme="minorHAnsi" w:hAnsiTheme="minorHAnsi"/>
          <w:sz w:val="24"/>
          <w:szCs w:val="24"/>
        </w:rPr>
        <w:t xml:space="preserve">? </w:t>
      </w:r>
    </w:p>
    <w:p w:rsidR="00BD7EBF" w:rsidRPr="00BD7EBF" w:rsidRDefault="00BD7EBF" w:rsidP="00BD7EBF">
      <w:pPr>
        <w:keepNext/>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Pr="00BD7EBF">
        <w:rPr>
          <w:rFonts w:ascii="Calibri" w:hAnsi="Calibri"/>
        </w:rPr>
        <w:instrText xml:space="preserve"> FORMCHECKBOX </w:instrText>
      </w:r>
      <w:r w:rsidR="00D13064">
        <w:rPr>
          <w:rFonts w:ascii="Calibri" w:hAnsi="Calibri"/>
        </w:rPr>
      </w:r>
      <w:r w:rsidR="00D13064">
        <w:rPr>
          <w:rFonts w:ascii="Calibri" w:hAnsi="Calibri"/>
        </w:rPr>
        <w:fldChar w:fldCharType="separate"/>
      </w:r>
      <w:r w:rsidRPr="00BD7EBF">
        <w:rPr>
          <w:rFonts w:ascii="Calibri" w:hAnsi="Calibri"/>
        </w:rPr>
        <w:fldChar w:fldCharType="end"/>
      </w:r>
      <w:r w:rsidRPr="00BD7EBF">
        <w:rPr>
          <w:rFonts w:ascii="Calibri" w:hAnsi="Calibri"/>
        </w:rPr>
        <w:t xml:space="preserve"> Yes </w:t>
      </w:r>
    </w:p>
    <w:p w:rsidR="00BD7EBF" w:rsidRPr="00BD7EBF" w:rsidRDefault="00BD7EBF" w:rsidP="00BD7EBF">
      <w:pPr>
        <w:keepNext/>
        <w:ind w:left="360"/>
        <w:rPr>
          <w:rFonts w:ascii="Calibri" w:hAnsi="Calibri"/>
        </w:rPr>
      </w:pPr>
      <w:r w:rsidRPr="00BD7EBF">
        <w:rPr>
          <w:rFonts w:ascii="Calibri" w:hAnsi="Calibri"/>
        </w:rPr>
        <w:fldChar w:fldCharType="begin">
          <w:ffData>
            <w:name w:val="Check4"/>
            <w:enabled/>
            <w:calcOnExit w:val="0"/>
            <w:checkBox>
              <w:sizeAuto/>
              <w:default w:val="0"/>
            </w:checkBox>
          </w:ffData>
        </w:fldChar>
      </w:r>
      <w:r w:rsidRPr="00BD7EBF">
        <w:rPr>
          <w:rFonts w:ascii="Calibri" w:hAnsi="Calibri"/>
        </w:rPr>
        <w:instrText xml:space="preserve"> FORMCHECKBOX </w:instrText>
      </w:r>
      <w:r w:rsidR="00D13064">
        <w:rPr>
          <w:rFonts w:ascii="Calibri" w:hAnsi="Calibri"/>
        </w:rPr>
      </w:r>
      <w:r w:rsidR="00D13064">
        <w:rPr>
          <w:rFonts w:ascii="Calibri" w:hAnsi="Calibri"/>
        </w:rPr>
        <w:fldChar w:fldCharType="separate"/>
      </w:r>
      <w:r w:rsidRPr="00BD7EBF">
        <w:rPr>
          <w:rFonts w:ascii="Calibri" w:hAnsi="Calibri"/>
        </w:rPr>
        <w:fldChar w:fldCharType="end"/>
      </w:r>
      <w:r w:rsidRPr="00BD7EBF">
        <w:rPr>
          <w:rFonts w:ascii="Calibri" w:hAnsi="Calibri"/>
        </w:rPr>
        <w:t xml:space="preserve"> No </w:t>
      </w:r>
    </w:p>
    <w:p w:rsidR="00BD7EBF" w:rsidRPr="00BD7EBF" w:rsidRDefault="00BD7EBF" w:rsidP="00BD7EBF">
      <w:pPr>
        <w:ind w:left="360"/>
        <w:rPr>
          <w:rFonts w:ascii="Calibri" w:hAnsi="Calibri"/>
        </w:rPr>
      </w:pPr>
      <w:r w:rsidRPr="00BD7EBF">
        <w:rPr>
          <w:rFonts w:ascii="Calibri" w:hAnsi="Calibri"/>
        </w:rPr>
        <w:t xml:space="preserve">Comments: </w:t>
      </w:r>
      <w:r w:rsidRPr="00BD7EBF">
        <w:rPr>
          <w:rFonts w:ascii="Calibri" w:hAnsi="Calibri"/>
        </w:rPr>
        <w:fldChar w:fldCharType="begin">
          <w:ffData>
            <w:name w:val="Text12"/>
            <w:enabled/>
            <w:calcOnExit w:val="0"/>
            <w:textInput/>
          </w:ffData>
        </w:fldChar>
      </w:r>
      <w:r w:rsidRPr="00BD7EBF">
        <w:rPr>
          <w:rFonts w:ascii="Calibri" w:hAnsi="Calibri"/>
        </w:rPr>
        <w:instrText xml:space="preserve"> FORMTEXT </w:instrText>
      </w:r>
      <w:r w:rsidRPr="00BD7EBF">
        <w:rPr>
          <w:rFonts w:ascii="Calibri" w:hAnsi="Calibri"/>
        </w:rPr>
      </w:r>
      <w:r w:rsidRPr="00BD7EBF">
        <w:rPr>
          <w:rFonts w:ascii="Calibri" w:hAnsi="Calibri"/>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BD7EBF">
        <w:rPr>
          <w:rFonts w:ascii="Calibri" w:hAnsi="Calibri"/>
        </w:rPr>
        <w:fldChar w:fldCharType="end"/>
      </w:r>
    </w:p>
    <w:p w:rsidR="003855D4" w:rsidRPr="00CC5FFD" w:rsidRDefault="003855D4" w:rsidP="003855D4">
      <w:pPr>
        <w:rPr>
          <w:rStyle w:val="BoxText"/>
        </w:rPr>
      </w:pPr>
    </w:p>
    <w:p w:rsidR="004F3349" w:rsidRDefault="004F3349">
      <w:pPr>
        <w:keepNext/>
        <w:rPr>
          <w:sz w:val="22"/>
          <w:szCs w:val="22"/>
        </w:rPr>
      </w:pPr>
    </w:p>
    <w:sectPr w:rsidR="004F3349" w:rsidSect="00713195">
      <w:headerReference w:type="default" r:id="rId19"/>
      <w:footerReference w:type="default" r:id="rId20"/>
      <w:headerReference w:type="first" r:id="rId21"/>
      <w:footerReference w:type="first" r:id="rId22"/>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064" w:rsidRDefault="00D13064">
      <w:r>
        <w:separator/>
      </w:r>
    </w:p>
  </w:endnote>
  <w:endnote w:type="continuationSeparator" w:id="0">
    <w:p w:rsidR="00D13064" w:rsidRDefault="00D1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43" w:rsidRPr="00855BA8" w:rsidRDefault="00D52643" w:rsidP="00575783">
    <w:pPr>
      <w:pStyle w:val="Footer"/>
      <w:tabs>
        <w:tab w:val="clear" w:pos="10354"/>
        <w:tab w:val="right" w:pos="10350"/>
      </w:tabs>
      <w:ind w:left="0" w:right="18"/>
    </w:pPr>
    <w:r>
      <w:t>Unofficial Comment Form</w:t>
    </w:r>
    <w:r>
      <w:br/>
      <w:t>Project 201</w:t>
    </w:r>
    <w:r w:rsidR="005A6A86">
      <w:t>4</w:t>
    </w:r>
    <w:r>
      <w:t>-</w:t>
    </w:r>
    <w:r w:rsidR="005A6A86">
      <w:t>03</w:t>
    </w:r>
    <w:r>
      <w:t xml:space="preserve"> </w:t>
    </w:r>
    <w:r w:rsidR="005A6A86">
      <w:t>Revisions to TOP/IRO Reliability Standards</w:t>
    </w:r>
    <w:r>
      <w:tab/>
    </w:r>
    <w:r w:rsidR="00200CE7">
      <w:fldChar w:fldCharType="begin"/>
    </w:r>
    <w:r w:rsidR="005A6A86">
      <w:instrText xml:space="preserve"> PAGE </w:instrText>
    </w:r>
    <w:r w:rsidR="00200CE7">
      <w:fldChar w:fldCharType="separate"/>
    </w:r>
    <w:r w:rsidR="005448FF">
      <w:rPr>
        <w:noProof/>
      </w:rPr>
      <w:t>3</w:t>
    </w:r>
    <w:r w:rsidR="00200CE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43" w:rsidRDefault="00D52643"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064" w:rsidRDefault="00D13064">
      <w:r>
        <w:separator/>
      </w:r>
    </w:p>
  </w:footnote>
  <w:footnote w:type="continuationSeparator" w:id="0">
    <w:p w:rsidR="00D13064" w:rsidRDefault="00D13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43" w:rsidRDefault="00D52643">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43" w:rsidRDefault="00D52643"/>
  <w:p w:rsidR="00D52643" w:rsidRDefault="00D52643">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7">
    <w:nsid w:val="783F4B0A"/>
    <w:multiLevelType w:val="singleLevel"/>
    <w:tmpl w:val="0409000F"/>
    <w:lvl w:ilvl="0">
      <w:start w:val="1"/>
      <w:numFmt w:val="decimal"/>
      <w:lvlText w:val="%1."/>
      <w:lvlJc w:val="left"/>
      <w:pPr>
        <w:tabs>
          <w:tab w:val="num" w:pos="360"/>
        </w:tabs>
        <w:ind w:left="360" w:hanging="360"/>
      </w:pPr>
    </w:lvl>
  </w:abstractNum>
  <w:abstractNum w:abstractNumId="28">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2"/>
  </w:num>
  <w:num w:numId="2">
    <w:abstractNumId w:val="14"/>
  </w:num>
  <w:num w:numId="3">
    <w:abstractNumId w:val="25"/>
  </w:num>
  <w:num w:numId="4">
    <w:abstractNumId w:val="19"/>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3"/>
  </w:num>
  <w:num w:numId="20">
    <w:abstractNumId w:val="21"/>
  </w:num>
  <w:num w:numId="21">
    <w:abstractNumId w:val="16"/>
  </w:num>
  <w:num w:numId="22">
    <w:abstractNumId w:val="10"/>
  </w:num>
  <w:num w:numId="23">
    <w:abstractNumId w:val="28"/>
  </w:num>
  <w:num w:numId="24">
    <w:abstractNumId w:val="12"/>
  </w:num>
  <w:num w:numId="25">
    <w:abstractNumId w:val="18"/>
  </w:num>
  <w:num w:numId="26">
    <w:abstractNumId w:val="27"/>
  </w:num>
  <w:num w:numId="27">
    <w:abstractNumId w:val="11"/>
  </w:num>
  <w:num w:numId="28">
    <w:abstractNumId w:val="23"/>
  </w:num>
  <w:num w:numId="29">
    <w:abstractNumId w:val="18"/>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6409"/>
    <w:rsid w:val="000067C8"/>
    <w:rsid w:val="00011D42"/>
    <w:rsid w:val="000334DF"/>
    <w:rsid w:val="00054742"/>
    <w:rsid w:val="000646BE"/>
    <w:rsid w:val="000A70BC"/>
    <w:rsid w:val="000B36CB"/>
    <w:rsid w:val="000B7A04"/>
    <w:rsid w:val="000D7162"/>
    <w:rsid w:val="000E3AB0"/>
    <w:rsid w:val="00102A01"/>
    <w:rsid w:val="00104317"/>
    <w:rsid w:val="001346AA"/>
    <w:rsid w:val="00136931"/>
    <w:rsid w:val="001574EA"/>
    <w:rsid w:val="00187FEE"/>
    <w:rsid w:val="001A471D"/>
    <w:rsid w:val="001A6FC8"/>
    <w:rsid w:val="001D47FD"/>
    <w:rsid w:val="00200CE7"/>
    <w:rsid w:val="00254228"/>
    <w:rsid w:val="00264481"/>
    <w:rsid w:val="00283FB4"/>
    <w:rsid w:val="002A6BAD"/>
    <w:rsid w:val="002D74CE"/>
    <w:rsid w:val="002F2BFE"/>
    <w:rsid w:val="003134D1"/>
    <w:rsid w:val="003245A0"/>
    <w:rsid w:val="00344D64"/>
    <w:rsid w:val="00366A96"/>
    <w:rsid w:val="003855D4"/>
    <w:rsid w:val="0038676B"/>
    <w:rsid w:val="0039275D"/>
    <w:rsid w:val="003E1C41"/>
    <w:rsid w:val="003F57E8"/>
    <w:rsid w:val="00434285"/>
    <w:rsid w:val="00456B99"/>
    <w:rsid w:val="004631BF"/>
    <w:rsid w:val="004800C7"/>
    <w:rsid w:val="004859C6"/>
    <w:rsid w:val="0048784D"/>
    <w:rsid w:val="004B7DE3"/>
    <w:rsid w:val="004E7B5C"/>
    <w:rsid w:val="004F3349"/>
    <w:rsid w:val="005039D5"/>
    <w:rsid w:val="00510652"/>
    <w:rsid w:val="005316C6"/>
    <w:rsid w:val="005316F3"/>
    <w:rsid w:val="005448FF"/>
    <w:rsid w:val="0055051B"/>
    <w:rsid w:val="00555F79"/>
    <w:rsid w:val="00573832"/>
    <w:rsid w:val="00575783"/>
    <w:rsid w:val="005A6A86"/>
    <w:rsid w:val="005A721A"/>
    <w:rsid w:val="005B7382"/>
    <w:rsid w:val="005D3F72"/>
    <w:rsid w:val="005E20EF"/>
    <w:rsid w:val="00652754"/>
    <w:rsid w:val="00676409"/>
    <w:rsid w:val="00692F16"/>
    <w:rsid w:val="00694CD1"/>
    <w:rsid w:val="006B3EC7"/>
    <w:rsid w:val="006C1F78"/>
    <w:rsid w:val="006E67B7"/>
    <w:rsid w:val="006F4AD7"/>
    <w:rsid w:val="00702BEE"/>
    <w:rsid w:val="00705B5E"/>
    <w:rsid w:val="00713195"/>
    <w:rsid w:val="007254EA"/>
    <w:rsid w:val="00730419"/>
    <w:rsid w:val="00733724"/>
    <w:rsid w:val="00734E6D"/>
    <w:rsid w:val="0073546A"/>
    <w:rsid w:val="0074626C"/>
    <w:rsid w:val="00791651"/>
    <w:rsid w:val="007924E4"/>
    <w:rsid w:val="007C3AC2"/>
    <w:rsid w:val="007F377B"/>
    <w:rsid w:val="0083365D"/>
    <w:rsid w:val="00851C38"/>
    <w:rsid w:val="00855BA8"/>
    <w:rsid w:val="00856441"/>
    <w:rsid w:val="008866E7"/>
    <w:rsid w:val="00905DC1"/>
    <w:rsid w:val="00A35DA7"/>
    <w:rsid w:val="00A40534"/>
    <w:rsid w:val="00A43CA2"/>
    <w:rsid w:val="00A6738A"/>
    <w:rsid w:val="00A92B1C"/>
    <w:rsid w:val="00A93F7B"/>
    <w:rsid w:val="00AB0CD3"/>
    <w:rsid w:val="00AC0C35"/>
    <w:rsid w:val="00AD1865"/>
    <w:rsid w:val="00B146D4"/>
    <w:rsid w:val="00B375B5"/>
    <w:rsid w:val="00B651FE"/>
    <w:rsid w:val="00B7649E"/>
    <w:rsid w:val="00B80B04"/>
    <w:rsid w:val="00BA34E0"/>
    <w:rsid w:val="00BA5939"/>
    <w:rsid w:val="00BD7EBF"/>
    <w:rsid w:val="00BE5580"/>
    <w:rsid w:val="00BE73CE"/>
    <w:rsid w:val="00C24464"/>
    <w:rsid w:val="00C31EA1"/>
    <w:rsid w:val="00C802A9"/>
    <w:rsid w:val="00C84D89"/>
    <w:rsid w:val="00C85CE1"/>
    <w:rsid w:val="00CC7BE7"/>
    <w:rsid w:val="00CF6E4A"/>
    <w:rsid w:val="00D01D2D"/>
    <w:rsid w:val="00D13064"/>
    <w:rsid w:val="00D17455"/>
    <w:rsid w:val="00D204B8"/>
    <w:rsid w:val="00D228D6"/>
    <w:rsid w:val="00D52643"/>
    <w:rsid w:val="00D56EBF"/>
    <w:rsid w:val="00D5715F"/>
    <w:rsid w:val="00D71B57"/>
    <w:rsid w:val="00D8646B"/>
    <w:rsid w:val="00D933A3"/>
    <w:rsid w:val="00D9670F"/>
    <w:rsid w:val="00D96A22"/>
    <w:rsid w:val="00DA19CF"/>
    <w:rsid w:val="00DA634C"/>
    <w:rsid w:val="00DB0DD3"/>
    <w:rsid w:val="00DB62EC"/>
    <w:rsid w:val="00DB7C23"/>
    <w:rsid w:val="00E13EC1"/>
    <w:rsid w:val="00E96B90"/>
    <w:rsid w:val="00F31926"/>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A43CA2"/>
    <w:rPr>
      <w:vertAlign w:val="superscript"/>
    </w:rPr>
  </w:style>
  <w:style w:type="character" w:styleId="FollowedHyperlink">
    <w:name w:val="FollowedHyperlink"/>
    <w:basedOn w:val="DefaultParagraphFont"/>
    <w:uiPriority w:val="99"/>
    <w:semiHidden/>
    <w:unhideWhenUsed/>
    <w:rsid w:val="005448F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dobrowolski@nerc.net" TargetMode="External"/><Relationship Id="rId18" Type="http://schemas.openxmlformats.org/officeDocument/2006/relationships/hyperlink" Target="http://www.nerc.com/pa/Stand/Pages/Project-2009-02-Real-time-Reliability-Monitoring-and-Analysis-Capabilities.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erc.com/pa/Stand/Pages/Project-2014-03-Revisions-to-TOP-and-IRO-Standards.aspx" TargetMode="External"/><Relationship Id="rId17" Type="http://schemas.openxmlformats.org/officeDocument/2006/relationships/hyperlink" Target="http://www.nerc.com/FilingsOrders/us/NERC%20Filings%20to%20FERC%20DL/Final_Final_Motion_to_Defer_Action_20131220%20(1).pdf"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nerc.com/FilingsOrders/us/FERCOrdersRules/NOPR_TOP_IRO_RM13-12_RM13-14_RM13-15_2013112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ee0297bc3228459e8440fb7dd3148c1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erc.com/FilingsOrders/us/NERC%20Filings%20to%20FERC%20DL/Final_IRO_Filing_20130416_complet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hyperlink" Target="http://www.nerc.com/FilingsOrders/us/NERC%20Filings%20to%20FERC%20DL/Final_TOP_Filing_20130416_complet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92108C820BA4F82A2C41A0FEDF632" ma:contentTypeVersion="40" ma:contentTypeDescription="Create a new document." ma:contentTypeScope="" ma:versionID="e976b7a71c4733df3ac760363cb5d90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029547669C624FBB618D795E3A4762" ma:contentTypeVersion="0" ma:contentTypeDescription="Create a new document." ma:contentTypeScope="" ma:versionID="a3e57212a6b1feffea2822c00ae28257">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1D3C794-2972-40F8-A740-1C6169AE9C63}"/>
</file>

<file path=customXml/itemProps2.xml><?xml version="1.0" encoding="utf-8"?>
<ds:datastoreItem xmlns:ds="http://schemas.openxmlformats.org/officeDocument/2006/customXml" ds:itemID="{26DA1EA2-1BCD-4D4C-A347-18756611655A}"/>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B10F16F8-664F-4508-9B15-F4E9E7DDFA49}"/>
</file>

<file path=customXml/itemProps5.xml><?xml version="1.0" encoding="utf-8"?>
<ds:datastoreItem xmlns:ds="http://schemas.openxmlformats.org/officeDocument/2006/customXml" ds:itemID="{3AADE751-F4AA-46F9-8BA7-3253CC583788}"/>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2</cp:revision>
  <dcterms:created xsi:type="dcterms:W3CDTF">2014-02-17T02:24:00Z</dcterms:created>
  <dcterms:modified xsi:type="dcterms:W3CDTF">2014-02-19T13:50:00Z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0x01010019E92108C820BA4F82A2C41A0FEDF632</vt:lpwstr>
  </property>
  <property fmtid="{D5CDD505-2E9C-101B-9397-08002B2CF9AE}" pid="3" name="Document Category">
    <vt:lpwstr>Template</vt:lpwstr>
  </property>
  <property fmtid="{D5CDD505-2E9C-101B-9397-08002B2CF9AE}" pid="4" name="_dlc_DocIdItemGuid">
    <vt:lpwstr>fa25727c-16b1-4b21-a36c-eed39e31934c</vt:lpwstr>
  </property>
</Properties>
</file>