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5D" w:rsidRPr="0082139F" w:rsidRDefault="00402B8E" w:rsidP="0039275D">
      <w:pPr>
        <w:pStyle w:val="DocumentSubtitle"/>
        <w:spacing w:after="0"/>
        <w:ind w:left="-90"/>
        <w:rPr>
          <w:b/>
          <w:szCs w:val="36"/>
        </w:rPr>
      </w:pPr>
      <w:r w:rsidRPr="0082139F">
        <w:rPr>
          <w:b/>
          <w:szCs w:val="36"/>
        </w:rPr>
        <w:t>Project 2007</w:t>
      </w:r>
      <w:r w:rsidR="00AB767D" w:rsidRPr="0082139F">
        <w:rPr>
          <w:b/>
          <w:szCs w:val="36"/>
        </w:rPr>
        <w:t>-0</w:t>
      </w:r>
      <w:r w:rsidRPr="0082139F">
        <w:rPr>
          <w:b/>
          <w:szCs w:val="36"/>
        </w:rPr>
        <w:t>9</w:t>
      </w:r>
      <w:r w:rsidR="00AB767D" w:rsidRPr="0082139F">
        <w:rPr>
          <w:b/>
          <w:szCs w:val="36"/>
        </w:rPr>
        <w:t xml:space="preserve"> </w:t>
      </w:r>
      <w:r w:rsidRPr="0082139F">
        <w:rPr>
          <w:b/>
          <w:szCs w:val="36"/>
        </w:rPr>
        <w:t>Generator Verification</w:t>
      </w:r>
    </w:p>
    <w:p w:rsidR="0082139F" w:rsidRPr="0082139F" w:rsidRDefault="0082139F" w:rsidP="0039275D">
      <w:pPr>
        <w:pStyle w:val="DocumentSubtitle"/>
        <w:spacing w:after="0"/>
        <w:ind w:left="-90"/>
        <w:rPr>
          <w:sz w:val="28"/>
          <w:szCs w:val="28"/>
        </w:rPr>
      </w:pPr>
      <w:r w:rsidRPr="0082139F">
        <w:rPr>
          <w:sz w:val="28"/>
          <w:szCs w:val="28"/>
        </w:rPr>
        <w:t>Unofficial Comment Form</w:t>
      </w:r>
    </w:p>
    <w:p w:rsidR="0082139F" w:rsidRPr="0082139F" w:rsidRDefault="0082139F" w:rsidP="0039275D">
      <w:pPr>
        <w:pStyle w:val="DocumentSubtitle"/>
        <w:spacing w:after="0"/>
        <w:ind w:left="-90"/>
        <w:rPr>
          <w:sz w:val="28"/>
          <w:szCs w:val="28"/>
        </w:rPr>
      </w:pPr>
      <w:r w:rsidRPr="0082139F">
        <w:rPr>
          <w:sz w:val="28"/>
          <w:szCs w:val="28"/>
        </w:rPr>
        <w:t>MOD-027-1</w:t>
      </w:r>
    </w:p>
    <w:p w:rsidR="0039275D" w:rsidRPr="00687867" w:rsidRDefault="0039275D" w:rsidP="0039275D">
      <w:pPr>
        <w:pStyle w:val="Heading"/>
        <w:spacing w:before="0" w:after="0"/>
        <w:ind w:left="-90"/>
        <w:rPr>
          <w:sz w:val="24"/>
          <w:szCs w:val="24"/>
        </w:rPr>
      </w:pPr>
      <w:bookmarkStart w:id="0" w:name="_Toc195946480"/>
    </w:p>
    <w:bookmarkEnd w:id="0"/>
    <w:p w:rsidR="00F228CB" w:rsidRPr="00B50824" w:rsidRDefault="00F228CB" w:rsidP="00F228CB">
      <w:pPr>
        <w:rPr>
          <w:rFonts w:ascii="Tahoma" w:hAnsi="Tahoma" w:cs="Tahoma"/>
          <w:b/>
          <w:sz w:val="22"/>
          <w:szCs w:val="22"/>
        </w:rPr>
      </w:pPr>
      <w:r w:rsidRPr="00B50824">
        <w:rPr>
          <w:rFonts w:ascii="Tahoma" w:hAnsi="Tahoma" w:cs="Tahoma"/>
          <w:b/>
          <w:sz w:val="22"/>
          <w:szCs w:val="22"/>
        </w:rPr>
        <w:t>Instructions</w:t>
      </w:r>
    </w:p>
    <w:p w:rsidR="00F228CB" w:rsidRPr="002B7217" w:rsidRDefault="00F228CB" w:rsidP="00F228CB">
      <w:pPr>
        <w:rPr>
          <w:rFonts w:asciiTheme="minorHAnsi" w:hAnsiTheme="minorHAnsi"/>
        </w:rPr>
      </w:pPr>
      <w:r w:rsidRPr="002B7217">
        <w:rPr>
          <w:rFonts w:asciiTheme="minorHAnsi" w:hAnsiTheme="minorHAnsi"/>
        </w:rPr>
        <w:t xml:space="preserve">Please </w:t>
      </w:r>
      <w:r w:rsidRPr="002B7217">
        <w:rPr>
          <w:rFonts w:asciiTheme="minorHAnsi" w:hAnsiTheme="minorHAnsi"/>
          <w:b/>
          <w:color w:val="FF0000"/>
        </w:rPr>
        <w:t>DO NOT</w:t>
      </w:r>
      <w:r w:rsidRPr="002B7217">
        <w:rPr>
          <w:rFonts w:asciiTheme="minorHAnsi" w:hAnsiTheme="minorHAnsi"/>
        </w:rPr>
        <w:t xml:space="preserve"> use this form for commenting.  Please use the </w:t>
      </w:r>
      <w:hyperlink r:id="rId8" w:history="1">
        <w:r w:rsidRPr="004336BF">
          <w:rPr>
            <w:rStyle w:val="Hyperlink"/>
            <w:rFonts w:asciiTheme="minorHAnsi" w:hAnsiTheme="minorHAnsi"/>
          </w:rPr>
          <w:t>electronic comment form</w:t>
        </w:r>
      </w:hyperlink>
      <w:r w:rsidRPr="002B7217">
        <w:rPr>
          <w:rFonts w:asciiTheme="minorHAnsi" w:hAnsiTheme="minorHAnsi"/>
        </w:rPr>
        <w:t xml:space="preserve"> to submit comments on the proposed revisions to MOD-027-1.  Comments must be submitted by </w:t>
      </w:r>
      <w:r w:rsidR="00D93CE9">
        <w:rPr>
          <w:rFonts w:asciiTheme="minorHAnsi" w:hAnsiTheme="minorHAnsi"/>
        </w:rPr>
        <w:t xml:space="preserve">8 p.m. ET on </w:t>
      </w:r>
      <w:r w:rsidR="000C02D3">
        <w:rPr>
          <w:rFonts w:asciiTheme="minorHAnsi" w:hAnsiTheme="minorHAnsi"/>
          <w:b/>
          <w:color w:val="FF0000"/>
        </w:rPr>
        <w:t>October 29</w:t>
      </w:r>
      <w:r w:rsidR="002B7217" w:rsidRPr="002B7217">
        <w:rPr>
          <w:rFonts w:asciiTheme="minorHAnsi" w:hAnsiTheme="minorHAnsi"/>
          <w:b/>
          <w:color w:val="FF0000"/>
        </w:rPr>
        <w:t>, 2012</w:t>
      </w:r>
      <w:r w:rsidRPr="002B7217">
        <w:rPr>
          <w:rFonts w:asciiTheme="minorHAnsi" w:hAnsiTheme="minorHAnsi"/>
        </w:rPr>
        <w:t xml:space="preserve">.  If you have questions please contact Stephen Crutchfield at </w:t>
      </w:r>
      <w:hyperlink r:id="rId9" w:history="1">
        <w:r w:rsidR="002B7217" w:rsidRPr="00676508">
          <w:rPr>
            <w:rStyle w:val="Hyperlink"/>
            <w:rFonts w:asciiTheme="minorHAnsi" w:hAnsiTheme="minorHAnsi"/>
          </w:rPr>
          <w:t>Stephen.crutchfield@nerc.net</w:t>
        </w:r>
      </w:hyperlink>
      <w:r w:rsidR="001C54EB">
        <w:t xml:space="preserve"> </w:t>
      </w:r>
      <w:r w:rsidRPr="002B7217">
        <w:rPr>
          <w:rFonts w:asciiTheme="minorHAnsi" w:hAnsiTheme="minorHAnsi"/>
        </w:rPr>
        <w:t>or by telephone at 609-651-9455.</w:t>
      </w:r>
    </w:p>
    <w:p w:rsidR="00642700" w:rsidRPr="00786AD7" w:rsidRDefault="00642700" w:rsidP="00530DE2">
      <w:pPr>
        <w:pStyle w:val="Header"/>
        <w:rPr>
          <w:rFonts w:asciiTheme="minorHAnsi" w:hAnsiTheme="minorHAnsi"/>
        </w:rPr>
      </w:pPr>
    </w:p>
    <w:p w:rsidR="00642700" w:rsidRPr="00D709D0" w:rsidRDefault="00642700" w:rsidP="00A26FA8">
      <w:pPr>
        <w:pStyle w:val="Heading3"/>
        <w:spacing w:before="0" w:after="0"/>
        <w:rPr>
          <w:rFonts w:ascii="Tahoma" w:hAnsi="Tahoma" w:cs="Tahoma"/>
          <w:i w:val="0"/>
          <w:szCs w:val="22"/>
        </w:rPr>
      </w:pPr>
      <w:r w:rsidRPr="00D709D0">
        <w:rPr>
          <w:rFonts w:ascii="Tahoma" w:hAnsi="Tahoma" w:cs="Tahoma"/>
          <w:i w:val="0"/>
          <w:szCs w:val="22"/>
        </w:rPr>
        <w:t>Background Information:</w:t>
      </w:r>
    </w:p>
    <w:p w:rsidR="00642700" w:rsidRDefault="00642700" w:rsidP="00A26FA8">
      <w:pPr>
        <w:pStyle w:val="Bullet"/>
        <w:numPr>
          <w:ilvl w:val="0"/>
          <w:numId w:val="0"/>
        </w:numPr>
        <w:spacing w:before="0"/>
        <w:rPr>
          <w:rFonts w:asciiTheme="minorHAnsi" w:hAnsiTheme="minorHAnsi"/>
          <w:sz w:val="24"/>
          <w:szCs w:val="24"/>
        </w:rPr>
      </w:pPr>
      <w:r w:rsidRPr="00D709D0">
        <w:rPr>
          <w:rFonts w:asciiTheme="minorHAnsi" w:hAnsiTheme="minorHAnsi"/>
          <w:sz w:val="24"/>
          <w:szCs w:val="24"/>
        </w:rPr>
        <w:t xml:space="preserve">The </w:t>
      </w:r>
      <w:r w:rsidR="00402B8E">
        <w:rPr>
          <w:rFonts w:asciiTheme="minorHAnsi" w:hAnsiTheme="minorHAnsi"/>
          <w:sz w:val="24"/>
          <w:szCs w:val="24"/>
        </w:rPr>
        <w:t>GV</w:t>
      </w:r>
      <w:r w:rsidRPr="00D709D0">
        <w:rPr>
          <w:rFonts w:asciiTheme="minorHAnsi" w:hAnsiTheme="minorHAnsi"/>
          <w:sz w:val="24"/>
          <w:szCs w:val="24"/>
        </w:rPr>
        <w:t>SDT posted the draft standard</w:t>
      </w:r>
      <w:r w:rsidR="009E7DE2">
        <w:rPr>
          <w:rFonts w:asciiTheme="minorHAnsi" w:hAnsiTheme="minorHAnsi"/>
          <w:sz w:val="24"/>
          <w:szCs w:val="24"/>
        </w:rPr>
        <w:t>,</w:t>
      </w:r>
      <w:r w:rsidRPr="00D709D0">
        <w:rPr>
          <w:rFonts w:asciiTheme="minorHAnsi" w:hAnsiTheme="minorHAnsi"/>
          <w:sz w:val="24"/>
          <w:szCs w:val="24"/>
        </w:rPr>
        <w:t xml:space="preserve"> </w:t>
      </w:r>
      <w:r w:rsidR="00402B8E">
        <w:rPr>
          <w:rFonts w:asciiTheme="minorHAnsi" w:hAnsiTheme="minorHAnsi"/>
          <w:sz w:val="24"/>
          <w:szCs w:val="24"/>
        </w:rPr>
        <w:t>MOD-02</w:t>
      </w:r>
      <w:r w:rsidR="002322D4">
        <w:rPr>
          <w:rFonts w:asciiTheme="minorHAnsi" w:hAnsiTheme="minorHAnsi"/>
          <w:sz w:val="24"/>
          <w:szCs w:val="24"/>
        </w:rPr>
        <w:t>7</w:t>
      </w:r>
      <w:r w:rsidRPr="00D709D0">
        <w:rPr>
          <w:rFonts w:asciiTheme="minorHAnsi" w:hAnsiTheme="minorHAnsi"/>
          <w:sz w:val="24"/>
          <w:szCs w:val="24"/>
        </w:rPr>
        <w:t>-</w:t>
      </w:r>
      <w:r w:rsidR="0069230E">
        <w:rPr>
          <w:rFonts w:asciiTheme="minorHAnsi" w:hAnsiTheme="minorHAnsi"/>
          <w:sz w:val="24"/>
          <w:szCs w:val="24"/>
        </w:rPr>
        <w:t>1</w:t>
      </w:r>
      <w:r w:rsidR="009E7DE2">
        <w:rPr>
          <w:rFonts w:asciiTheme="minorHAnsi" w:hAnsiTheme="minorHAnsi"/>
          <w:sz w:val="24"/>
          <w:szCs w:val="24"/>
        </w:rPr>
        <w:t>,</w:t>
      </w:r>
      <w:r w:rsidRPr="00D709D0">
        <w:rPr>
          <w:rFonts w:asciiTheme="minorHAnsi" w:hAnsiTheme="minorHAnsi"/>
          <w:sz w:val="24"/>
          <w:szCs w:val="24"/>
        </w:rPr>
        <w:t xml:space="preserve"> </w:t>
      </w:r>
      <w:r w:rsidR="00AE1C18" w:rsidRPr="009E7DE2">
        <w:rPr>
          <w:rFonts w:asciiTheme="minorHAnsi" w:hAnsiTheme="minorHAnsi"/>
          <w:sz w:val="24"/>
          <w:szCs w:val="24"/>
        </w:rPr>
        <w:t>February 29</w:t>
      </w:r>
      <w:r w:rsidRPr="009E7DE2">
        <w:rPr>
          <w:rFonts w:asciiTheme="minorHAnsi" w:hAnsiTheme="minorHAnsi"/>
          <w:sz w:val="24"/>
          <w:szCs w:val="24"/>
        </w:rPr>
        <w:t xml:space="preserve"> – </w:t>
      </w:r>
      <w:r w:rsidR="00AE1C18" w:rsidRPr="009E7DE2">
        <w:rPr>
          <w:rFonts w:asciiTheme="minorHAnsi" w:hAnsiTheme="minorHAnsi"/>
          <w:sz w:val="24"/>
          <w:szCs w:val="24"/>
        </w:rPr>
        <w:t>April 16</w:t>
      </w:r>
      <w:r w:rsidRPr="00D709D0">
        <w:rPr>
          <w:rFonts w:asciiTheme="minorHAnsi" w:hAnsiTheme="minorHAnsi"/>
          <w:sz w:val="24"/>
          <w:szCs w:val="24"/>
        </w:rPr>
        <w:t>, 201</w:t>
      </w:r>
      <w:r w:rsidR="00AE1C18">
        <w:rPr>
          <w:rFonts w:asciiTheme="minorHAnsi" w:hAnsiTheme="minorHAnsi"/>
          <w:sz w:val="24"/>
          <w:szCs w:val="24"/>
        </w:rPr>
        <w:t>2</w:t>
      </w:r>
      <w:r w:rsidRPr="00D709D0">
        <w:rPr>
          <w:rFonts w:asciiTheme="minorHAnsi" w:hAnsiTheme="minorHAnsi"/>
          <w:sz w:val="24"/>
          <w:szCs w:val="24"/>
        </w:rPr>
        <w:t xml:space="preserve"> for a formal comment period</w:t>
      </w:r>
      <w:r w:rsidR="00AE1C18">
        <w:rPr>
          <w:rFonts w:asciiTheme="minorHAnsi" w:hAnsiTheme="minorHAnsi"/>
          <w:sz w:val="24"/>
          <w:szCs w:val="24"/>
        </w:rPr>
        <w:t xml:space="preserve"> and </w:t>
      </w:r>
      <w:r w:rsidR="002322D4">
        <w:rPr>
          <w:rFonts w:asciiTheme="minorHAnsi" w:hAnsiTheme="minorHAnsi"/>
          <w:sz w:val="24"/>
          <w:szCs w:val="24"/>
        </w:rPr>
        <w:t>initial ballot</w:t>
      </w:r>
      <w:r w:rsidRPr="00D709D0">
        <w:rPr>
          <w:rFonts w:asciiTheme="minorHAnsi" w:hAnsiTheme="minorHAnsi"/>
          <w:sz w:val="24"/>
          <w:szCs w:val="24"/>
        </w:rPr>
        <w:t xml:space="preserve">.  Based on stakeholder feedback, the </w:t>
      </w:r>
      <w:r w:rsidR="00402B8E">
        <w:rPr>
          <w:rFonts w:asciiTheme="minorHAnsi" w:hAnsiTheme="minorHAnsi"/>
          <w:sz w:val="24"/>
          <w:szCs w:val="24"/>
        </w:rPr>
        <w:t>GV</w:t>
      </w:r>
      <w:r w:rsidRPr="00D709D0">
        <w:rPr>
          <w:rFonts w:asciiTheme="minorHAnsi" w:hAnsiTheme="minorHAnsi"/>
          <w:sz w:val="24"/>
          <w:szCs w:val="24"/>
        </w:rPr>
        <w:t xml:space="preserve">SDT made revisions to the standard to improve clarity.  </w:t>
      </w:r>
    </w:p>
    <w:p w:rsidR="0069230E" w:rsidRDefault="0069230E" w:rsidP="00A26FA8">
      <w:pPr>
        <w:pStyle w:val="Bullet"/>
        <w:numPr>
          <w:ilvl w:val="0"/>
          <w:numId w:val="0"/>
        </w:numPr>
        <w:spacing w:before="0"/>
        <w:rPr>
          <w:rFonts w:asciiTheme="minorHAnsi" w:hAnsiTheme="minorHAnsi"/>
          <w:sz w:val="24"/>
          <w:szCs w:val="24"/>
        </w:rPr>
      </w:pPr>
    </w:p>
    <w:p w:rsidR="003119EA" w:rsidRDefault="003119EA" w:rsidP="003119EA">
      <w:pPr>
        <w:rPr>
          <w:rFonts w:asciiTheme="minorHAnsi" w:hAnsiTheme="minorHAnsi"/>
        </w:rPr>
      </w:pPr>
      <w:r w:rsidRPr="003119EA">
        <w:rPr>
          <w:rFonts w:asciiTheme="minorHAnsi" w:hAnsiTheme="minorHAnsi"/>
        </w:rPr>
        <w:t xml:space="preserve">Most stakeholders agreed with the inclusion of partial load rejection testing and the inclusion of the applicable footnote.  As many stakeholders noted, the appropriate footnote </w:t>
      </w:r>
      <w:r w:rsidR="00B90935" w:rsidRPr="00B90935">
        <w:rPr>
          <w:rFonts w:asciiTheme="minorHAnsi" w:hAnsiTheme="minorHAnsi"/>
        </w:rPr>
        <w:t>in the posted version of the standard was</w:t>
      </w:r>
      <w:r w:rsidRPr="003119EA">
        <w:rPr>
          <w:rFonts w:asciiTheme="minorHAnsi" w:hAnsiTheme="minorHAnsi"/>
        </w:rPr>
        <w:t xml:space="preserve"> footnote 4, rather than 5</w:t>
      </w:r>
      <w:r w:rsidR="00B90935" w:rsidRPr="00B90935">
        <w:rPr>
          <w:rFonts w:asciiTheme="minorHAnsi" w:hAnsiTheme="minorHAnsi"/>
        </w:rPr>
        <w:t xml:space="preserve"> – and is currently footnote 2 in the current draft of the standard</w:t>
      </w:r>
      <w:r w:rsidRPr="003119EA">
        <w:rPr>
          <w:rFonts w:asciiTheme="minorHAnsi" w:hAnsiTheme="minorHAnsi"/>
        </w:rPr>
        <w:t>.  Based on the comments received, the GVSDT made the following clarifications and revisions:</w:t>
      </w:r>
    </w:p>
    <w:p w:rsidR="003119EA" w:rsidRPr="003119EA" w:rsidRDefault="003119EA" w:rsidP="002B7217">
      <w:pPr>
        <w:spacing w:before="120"/>
        <w:ind w:left="1080" w:hanging="360"/>
        <w:rPr>
          <w:rFonts w:asciiTheme="minorHAnsi" w:hAnsiTheme="minorHAnsi"/>
        </w:rPr>
      </w:pPr>
      <w:r w:rsidRPr="003119EA">
        <w:rPr>
          <w:rFonts w:asciiTheme="minorHAnsi" w:hAnsiTheme="minorHAnsi"/>
        </w:rPr>
        <w:t>1</w:t>
      </w:r>
      <w:r w:rsidR="002B7217">
        <w:rPr>
          <w:rFonts w:asciiTheme="minorHAnsi" w:hAnsiTheme="minorHAnsi"/>
        </w:rPr>
        <w:t>.</w:t>
      </w:r>
      <w:r w:rsidRPr="003119EA">
        <w:rPr>
          <w:rFonts w:asciiTheme="minorHAnsi" w:hAnsiTheme="minorHAnsi"/>
        </w:rPr>
        <w:tab/>
        <w:t xml:space="preserve">Numerous revisions made to clarify the language in Attachment 1, including adding row numbers.  Several Industry commenters indicated that it was not clear if the table was associated with Attachment 1 or not.  In response, the SDT has re-formatted Attachment 1 to make it clear that the table is a part of Attachment 1. </w:t>
      </w:r>
    </w:p>
    <w:p w:rsidR="003119EA" w:rsidRPr="003119EA" w:rsidRDefault="003119EA" w:rsidP="002B7217">
      <w:pPr>
        <w:spacing w:before="120"/>
        <w:ind w:left="1080" w:hanging="360"/>
        <w:rPr>
          <w:rFonts w:asciiTheme="minorHAnsi" w:hAnsiTheme="minorHAnsi"/>
        </w:rPr>
      </w:pPr>
      <w:r w:rsidRPr="003119EA">
        <w:rPr>
          <w:rFonts w:asciiTheme="minorHAnsi" w:hAnsiTheme="minorHAnsi"/>
        </w:rPr>
        <w:t>2</w:t>
      </w:r>
      <w:r w:rsidR="002B7217">
        <w:rPr>
          <w:rFonts w:asciiTheme="minorHAnsi" w:hAnsiTheme="minorHAnsi"/>
        </w:rPr>
        <w:t>.</w:t>
      </w:r>
      <w:r w:rsidRPr="003119EA">
        <w:rPr>
          <w:rFonts w:asciiTheme="minorHAnsi" w:hAnsiTheme="minorHAnsi"/>
        </w:rPr>
        <w:tab/>
        <w:t>Revised sections 4.2.1, 4.2.2, and 4.2.3 to clarify the language.</w:t>
      </w:r>
    </w:p>
    <w:p w:rsidR="003119EA" w:rsidRPr="003119EA" w:rsidRDefault="003119EA" w:rsidP="002B7217">
      <w:pPr>
        <w:spacing w:before="120"/>
        <w:ind w:left="1080" w:hanging="360"/>
        <w:rPr>
          <w:rFonts w:asciiTheme="minorHAnsi" w:hAnsiTheme="minorHAnsi"/>
        </w:rPr>
      </w:pPr>
      <w:r w:rsidRPr="003119EA">
        <w:rPr>
          <w:rFonts w:asciiTheme="minorHAnsi" w:hAnsiTheme="minorHAnsi"/>
        </w:rPr>
        <w:t>3</w:t>
      </w:r>
      <w:r w:rsidR="002B7217">
        <w:rPr>
          <w:rFonts w:asciiTheme="minorHAnsi" w:hAnsiTheme="minorHAnsi"/>
        </w:rPr>
        <w:t>.</w:t>
      </w:r>
      <w:r w:rsidRPr="003119EA">
        <w:rPr>
          <w:rFonts w:asciiTheme="minorHAnsi" w:hAnsiTheme="minorHAnsi"/>
        </w:rPr>
        <w:tab/>
        <w:t>Corrected numbering error of footnotes 4 and 5.</w:t>
      </w:r>
    </w:p>
    <w:p w:rsidR="007748CE" w:rsidRDefault="003119EA" w:rsidP="002B7217">
      <w:pPr>
        <w:spacing w:before="120"/>
        <w:ind w:left="1080" w:hanging="360"/>
        <w:rPr>
          <w:rFonts w:asciiTheme="minorHAnsi" w:hAnsiTheme="minorHAnsi"/>
        </w:rPr>
      </w:pPr>
      <w:r w:rsidRPr="003119EA">
        <w:rPr>
          <w:rFonts w:asciiTheme="minorHAnsi" w:hAnsiTheme="minorHAnsi"/>
        </w:rPr>
        <w:t>4</w:t>
      </w:r>
      <w:r w:rsidR="002B7217">
        <w:rPr>
          <w:rFonts w:asciiTheme="minorHAnsi" w:hAnsiTheme="minorHAnsi"/>
        </w:rPr>
        <w:t>.</w:t>
      </w:r>
      <w:r w:rsidRPr="003119EA">
        <w:rPr>
          <w:rFonts w:asciiTheme="minorHAnsi" w:hAnsiTheme="minorHAnsi"/>
        </w:rPr>
        <w:tab/>
        <w:t>Corrected language in</w:t>
      </w:r>
      <w:r w:rsidR="00B90935" w:rsidRPr="00B90935">
        <w:t xml:space="preserve"> </w:t>
      </w:r>
      <w:r w:rsidR="00B90935" w:rsidRPr="00B90935">
        <w:rPr>
          <w:rFonts w:asciiTheme="minorHAnsi" w:hAnsiTheme="minorHAnsi"/>
        </w:rPr>
        <w:t>the footnote associated with partial load rejection</w:t>
      </w:r>
      <w:r w:rsidRPr="003119EA">
        <w:rPr>
          <w:rFonts w:asciiTheme="minorHAnsi" w:hAnsiTheme="minorHAnsi"/>
        </w:rPr>
        <w:t>, changing “on-load data” to “on-line data”</w:t>
      </w:r>
    </w:p>
    <w:p w:rsidR="00DB5DDC" w:rsidRDefault="00DB5DDC" w:rsidP="002B7217">
      <w:pPr>
        <w:spacing w:before="120"/>
        <w:ind w:left="1080" w:hanging="360"/>
        <w:rPr>
          <w:rFonts w:asciiTheme="minorHAnsi" w:hAnsiTheme="minorHAnsi"/>
        </w:rPr>
      </w:pPr>
      <w:r w:rsidRPr="00DB5DDC">
        <w:rPr>
          <w:rFonts w:asciiTheme="minorHAnsi" w:hAnsiTheme="minorHAnsi"/>
        </w:rPr>
        <w:t>5</w:t>
      </w:r>
      <w:r w:rsidR="002B7217">
        <w:rPr>
          <w:rFonts w:asciiTheme="minorHAnsi" w:hAnsiTheme="minorHAnsi"/>
        </w:rPr>
        <w:t>.</w:t>
      </w:r>
      <w:r w:rsidRPr="00DB5DDC">
        <w:rPr>
          <w:rFonts w:asciiTheme="minorHAnsi" w:hAnsiTheme="minorHAnsi"/>
        </w:rPr>
        <w:tab/>
        <w:t xml:space="preserve">Reformatted </w:t>
      </w:r>
      <w:r w:rsidR="00286D8B">
        <w:rPr>
          <w:rFonts w:asciiTheme="minorHAnsi" w:hAnsiTheme="minorHAnsi"/>
        </w:rPr>
        <w:t>S</w:t>
      </w:r>
      <w:r w:rsidR="00286D8B" w:rsidRPr="00DB5DDC">
        <w:rPr>
          <w:rFonts w:asciiTheme="minorHAnsi" w:hAnsiTheme="minorHAnsi"/>
        </w:rPr>
        <w:t>ub</w:t>
      </w:r>
      <w:r w:rsidRPr="00DB5DDC">
        <w:rPr>
          <w:rFonts w:asciiTheme="minorHAnsi" w:hAnsiTheme="minorHAnsi"/>
        </w:rPr>
        <w:t>part 2.1.1 that breaks the three alternatives for acquiring the unit MW response for model verification into 3 bullets instead of listing all three in a sentence.</w:t>
      </w:r>
    </w:p>
    <w:p w:rsidR="003119EA" w:rsidRPr="003119EA" w:rsidRDefault="003119EA" w:rsidP="003119EA">
      <w:pPr>
        <w:rPr>
          <w:rFonts w:asciiTheme="minorHAnsi" w:hAnsiTheme="minorHAnsi"/>
        </w:rPr>
      </w:pPr>
    </w:p>
    <w:p w:rsidR="003119EA" w:rsidRDefault="003119EA" w:rsidP="003119EA">
      <w:pPr>
        <w:rPr>
          <w:rFonts w:asciiTheme="minorHAnsi" w:hAnsiTheme="minorHAnsi"/>
        </w:rPr>
      </w:pPr>
      <w:r w:rsidRPr="003119EA">
        <w:rPr>
          <w:rFonts w:asciiTheme="minorHAnsi" w:hAnsiTheme="minorHAnsi"/>
        </w:rPr>
        <w:t xml:space="preserve">Stakeholders were evenly divided in their opinions regarding the periodicity aspects of Attachment 1.  The GVSDT received suggestions for improvements </w:t>
      </w:r>
      <w:r w:rsidR="00286D8B">
        <w:rPr>
          <w:rFonts w:asciiTheme="minorHAnsi" w:hAnsiTheme="minorHAnsi"/>
        </w:rPr>
        <w:t>and made</w:t>
      </w:r>
      <w:r w:rsidRPr="003119EA">
        <w:rPr>
          <w:rFonts w:asciiTheme="minorHAnsi" w:hAnsiTheme="minorHAnsi"/>
        </w:rPr>
        <w:t xml:space="preserve"> the following</w:t>
      </w:r>
      <w:r w:rsidR="00286D8B">
        <w:rPr>
          <w:rFonts w:asciiTheme="minorHAnsi" w:hAnsiTheme="minorHAnsi"/>
        </w:rPr>
        <w:t xml:space="preserve"> </w:t>
      </w:r>
      <w:r w:rsidR="00286D8B" w:rsidRPr="003119EA">
        <w:rPr>
          <w:rFonts w:asciiTheme="minorHAnsi" w:hAnsiTheme="minorHAnsi"/>
        </w:rPr>
        <w:t>clarifications and revisions</w:t>
      </w:r>
      <w:r w:rsidRPr="003119EA">
        <w:rPr>
          <w:rFonts w:asciiTheme="minorHAnsi" w:hAnsiTheme="minorHAnsi"/>
        </w:rPr>
        <w:t>:</w:t>
      </w:r>
    </w:p>
    <w:p w:rsidR="003119EA" w:rsidRPr="003119EA" w:rsidRDefault="003119EA" w:rsidP="002B7217">
      <w:pPr>
        <w:tabs>
          <w:tab w:val="left" w:pos="1080"/>
        </w:tabs>
        <w:spacing w:before="120"/>
        <w:ind w:left="720"/>
        <w:rPr>
          <w:rFonts w:asciiTheme="minorHAnsi" w:hAnsiTheme="minorHAnsi"/>
        </w:rPr>
      </w:pPr>
      <w:r w:rsidRPr="003119EA">
        <w:rPr>
          <w:rFonts w:asciiTheme="minorHAnsi" w:hAnsiTheme="minorHAnsi"/>
        </w:rPr>
        <w:t>1</w:t>
      </w:r>
      <w:r w:rsidR="002B7217">
        <w:rPr>
          <w:rFonts w:asciiTheme="minorHAnsi" w:hAnsiTheme="minorHAnsi"/>
        </w:rPr>
        <w:t>.</w:t>
      </w:r>
      <w:r w:rsidRPr="003119EA">
        <w:rPr>
          <w:rFonts w:asciiTheme="minorHAnsi" w:hAnsiTheme="minorHAnsi"/>
        </w:rPr>
        <w:tab/>
        <w:t>Numerous revisions were made to clarify the language in Attachment 1.</w:t>
      </w:r>
    </w:p>
    <w:p w:rsidR="003119EA" w:rsidRPr="003119EA" w:rsidRDefault="003119EA" w:rsidP="002B7217">
      <w:pPr>
        <w:tabs>
          <w:tab w:val="left" w:pos="1080"/>
        </w:tabs>
        <w:spacing w:before="120"/>
        <w:ind w:left="720"/>
        <w:rPr>
          <w:rFonts w:asciiTheme="minorHAnsi" w:hAnsiTheme="minorHAnsi"/>
        </w:rPr>
      </w:pPr>
      <w:r w:rsidRPr="003119EA">
        <w:rPr>
          <w:rFonts w:asciiTheme="minorHAnsi" w:hAnsiTheme="minorHAnsi"/>
        </w:rPr>
        <w:t>2</w:t>
      </w:r>
      <w:r w:rsidR="002B7217">
        <w:rPr>
          <w:rFonts w:asciiTheme="minorHAnsi" w:hAnsiTheme="minorHAnsi"/>
        </w:rPr>
        <w:t>.</w:t>
      </w:r>
      <w:r w:rsidRPr="003119EA">
        <w:rPr>
          <w:rFonts w:asciiTheme="minorHAnsi" w:hAnsiTheme="minorHAnsi"/>
        </w:rPr>
        <w:tab/>
        <w:t>Row numbers were added to Attachment 1.</w:t>
      </w:r>
    </w:p>
    <w:p w:rsidR="003119EA" w:rsidRPr="003119EA" w:rsidRDefault="003119EA" w:rsidP="002B7217">
      <w:pPr>
        <w:tabs>
          <w:tab w:val="left" w:pos="1080"/>
        </w:tabs>
        <w:spacing w:before="120"/>
        <w:ind w:left="1080" w:hanging="360"/>
        <w:rPr>
          <w:rFonts w:asciiTheme="minorHAnsi" w:hAnsiTheme="minorHAnsi"/>
        </w:rPr>
      </w:pPr>
      <w:r w:rsidRPr="003119EA">
        <w:rPr>
          <w:rFonts w:asciiTheme="minorHAnsi" w:hAnsiTheme="minorHAnsi"/>
        </w:rPr>
        <w:t>3</w:t>
      </w:r>
      <w:r w:rsidR="002B7217">
        <w:rPr>
          <w:rFonts w:asciiTheme="minorHAnsi" w:hAnsiTheme="minorHAnsi"/>
        </w:rPr>
        <w:t>.</w:t>
      </w:r>
      <w:r w:rsidRPr="003119EA">
        <w:rPr>
          <w:rFonts w:asciiTheme="minorHAnsi" w:hAnsiTheme="minorHAnsi"/>
        </w:rPr>
        <w:tab/>
        <w:t xml:space="preserve">The following text was removed from </w:t>
      </w:r>
      <w:r w:rsidR="00286D8B">
        <w:rPr>
          <w:rFonts w:asciiTheme="minorHAnsi" w:hAnsiTheme="minorHAnsi"/>
        </w:rPr>
        <w:t xml:space="preserve">Requirement </w:t>
      </w:r>
      <w:r w:rsidRPr="003119EA">
        <w:rPr>
          <w:rFonts w:asciiTheme="minorHAnsi" w:hAnsiTheme="minorHAnsi"/>
        </w:rPr>
        <w:t>R2: “within 365 calendar days from the date that the response was recorded</w:t>
      </w:r>
      <w:r w:rsidR="002B7217">
        <w:rPr>
          <w:rFonts w:asciiTheme="minorHAnsi" w:hAnsiTheme="minorHAnsi"/>
        </w:rPr>
        <w:t>.</w:t>
      </w:r>
      <w:r w:rsidRPr="003119EA">
        <w:rPr>
          <w:rFonts w:asciiTheme="minorHAnsi" w:hAnsiTheme="minorHAnsi"/>
        </w:rPr>
        <w:t>”</w:t>
      </w:r>
    </w:p>
    <w:p w:rsidR="003119EA" w:rsidRPr="003119EA" w:rsidRDefault="003119EA" w:rsidP="002B7217">
      <w:pPr>
        <w:tabs>
          <w:tab w:val="left" w:pos="1080"/>
        </w:tabs>
        <w:spacing w:before="120"/>
        <w:ind w:left="720"/>
        <w:rPr>
          <w:rFonts w:asciiTheme="minorHAnsi" w:hAnsiTheme="minorHAnsi"/>
        </w:rPr>
      </w:pPr>
      <w:r w:rsidRPr="003119EA">
        <w:rPr>
          <w:rFonts w:asciiTheme="minorHAnsi" w:hAnsiTheme="minorHAnsi"/>
        </w:rPr>
        <w:lastRenderedPageBreak/>
        <w:t>4</w:t>
      </w:r>
      <w:r w:rsidR="002B7217">
        <w:rPr>
          <w:rFonts w:asciiTheme="minorHAnsi" w:hAnsiTheme="minorHAnsi"/>
        </w:rPr>
        <w:t>.</w:t>
      </w:r>
      <w:r w:rsidRPr="003119EA">
        <w:rPr>
          <w:rFonts w:asciiTheme="minorHAnsi" w:hAnsiTheme="minorHAnsi"/>
        </w:rPr>
        <w:tab/>
        <w:t>In Attachment 1, the column title was revised from “Comments” to “Required Action”.</w:t>
      </w:r>
    </w:p>
    <w:p w:rsidR="003119EA" w:rsidRPr="003119EA" w:rsidRDefault="003119EA" w:rsidP="002B7217">
      <w:pPr>
        <w:tabs>
          <w:tab w:val="left" w:pos="1080"/>
        </w:tabs>
        <w:spacing w:before="120"/>
        <w:ind w:left="1080" w:hanging="360"/>
        <w:rPr>
          <w:rFonts w:asciiTheme="minorHAnsi" w:hAnsiTheme="minorHAnsi"/>
        </w:rPr>
      </w:pPr>
      <w:r w:rsidRPr="003119EA">
        <w:rPr>
          <w:rFonts w:asciiTheme="minorHAnsi" w:hAnsiTheme="minorHAnsi"/>
        </w:rPr>
        <w:t>5</w:t>
      </w:r>
      <w:r w:rsidR="002B7217">
        <w:rPr>
          <w:rFonts w:asciiTheme="minorHAnsi" w:hAnsiTheme="minorHAnsi"/>
        </w:rPr>
        <w:t>.</w:t>
      </w:r>
      <w:r w:rsidRPr="003119EA">
        <w:rPr>
          <w:rFonts w:asciiTheme="minorHAnsi" w:hAnsiTheme="minorHAnsi"/>
        </w:rPr>
        <w:tab/>
        <w:t xml:space="preserve">Removed 25/50/75/100% phase in </w:t>
      </w:r>
      <w:r w:rsidR="00530DE2">
        <w:rPr>
          <w:rFonts w:asciiTheme="minorHAnsi" w:hAnsiTheme="minorHAnsi"/>
        </w:rPr>
        <w:t xml:space="preserve">from the Implementation Plan </w:t>
      </w:r>
      <w:r w:rsidRPr="003119EA">
        <w:rPr>
          <w:rFonts w:asciiTheme="minorHAnsi" w:hAnsiTheme="minorHAnsi"/>
        </w:rPr>
        <w:t>allowing GOs to install MW Recorders.  This phase in unnecessarily complicated the Implementation Plan considering that the vast majority of units already have recorders or processes in place where MW response can be recorded and provided (from plant DCS systems, recorders, SCADA data, etc).  Note that low resolution data, approximately 1 sample per second, is adequate for turbine/governor and load control or active power/frequency control function model verification.</w:t>
      </w:r>
    </w:p>
    <w:p w:rsidR="003119EA" w:rsidRPr="003119EA" w:rsidRDefault="003119EA" w:rsidP="003119EA">
      <w:pPr>
        <w:rPr>
          <w:rFonts w:asciiTheme="minorHAnsi" w:hAnsiTheme="minorHAnsi"/>
        </w:rPr>
      </w:pPr>
    </w:p>
    <w:p w:rsidR="003119EA" w:rsidRDefault="003119EA" w:rsidP="003119EA">
      <w:pPr>
        <w:rPr>
          <w:rFonts w:asciiTheme="minorHAnsi" w:hAnsiTheme="minorHAnsi"/>
        </w:rPr>
      </w:pPr>
      <w:r w:rsidRPr="003119EA">
        <w:rPr>
          <w:rFonts w:asciiTheme="minorHAnsi" w:hAnsiTheme="minorHAnsi"/>
        </w:rPr>
        <w:t xml:space="preserve">There was a lot of industry confusion regarding the GVSDT attempt to effectively propose an exemption for base load units as the term “base load units” per say did not appear in the draft of the standard.  We inadvertently used the term “base load” in the question on the comment form, which appears to have caused some confusion. The term “base load” is never used in the standard. We apologize for the confusion this has caused.  We have modified Attachment 1 to attempt to clarify that for units that do not respond to frequency excursions, Requirement </w:t>
      </w:r>
      <w:r w:rsidR="00286D8B">
        <w:rPr>
          <w:rFonts w:asciiTheme="minorHAnsi" w:hAnsiTheme="minorHAnsi"/>
        </w:rPr>
        <w:t>R</w:t>
      </w:r>
      <w:r w:rsidRPr="003119EA">
        <w:rPr>
          <w:rFonts w:asciiTheme="minorHAnsi" w:hAnsiTheme="minorHAnsi"/>
        </w:rPr>
        <w:t xml:space="preserve">2 is met with a written statement to that effect transmitted to the Transmission Planner. Units which respond to over-frequency would need to have verification performed.  </w:t>
      </w:r>
    </w:p>
    <w:p w:rsidR="00286D8B" w:rsidRPr="003119EA" w:rsidRDefault="00286D8B" w:rsidP="003119EA">
      <w:pPr>
        <w:rPr>
          <w:rFonts w:asciiTheme="minorHAnsi" w:hAnsiTheme="minorHAnsi"/>
        </w:rPr>
      </w:pPr>
    </w:p>
    <w:p w:rsidR="003119EA" w:rsidRPr="003119EA" w:rsidRDefault="003119EA" w:rsidP="003119EA">
      <w:pPr>
        <w:rPr>
          <w:rFonts w:asciiTheme="minorHAnsi" w:hAnsiTheme="minorHAnsi"/>
        </w:rPr>
      </w:pPr>
      <w:r w:rsidRPr="003119EA">
        <w:rPr>
          <w:rFonts w:asciiTheme="minorHAnsi" w:hAnsiTheme="minorHAnsi"/>
        </w:rPr>
        <w:t xml:space="preserve">Stakeholders provide </w:t>
      </w:r>
      <w:r>
        <w:rPr>
          <w:rFonts w:asciiTheme="minorHAnsi" w:hAnsiTheme="minorHAnsi"/>
        </w:rPr>
        <w:t>additional</w:t>
      </w:r>
      <w:r w:rsidRPr="003119EA">
        <w:rPr>
          <w:rFonts w:asciiTheme="minorHAnsi" w:hAnsiTheme="minorHAnsi"/>
        </w:rPr>
        <w:t xml:space="preserve"> suggestions for revisions to the standard.  The following revisions were made by the GVSDT:</w:t>
      </w:r>
    </w:p>
    <w:p w:rsidR="003119EA" w:rsidRPr="003119EA" w:rsidRDefault="003119EA" w:rsidP="0082139F">
      <w:pPr>
        <w:spacing w:before="120"/>
        <w:ind w:left="1080" w:hanging="360"/>
        <w:rPr>
          <w:rFonts w:asciiTheme="minorHAnsi" w:hAnsiTheme="minorHAnsi"/>
        </w:rPr>
      </w:pPr>
      <w:r w:rsidRPr="003119EA">
        <w:rPr>
          <w:rFonts w:asciiTheme="minorHAnsi" w:hAnsiTheme="minorHAnsi"/>
        </w:rPr>
        <w:t>1</w:t>
      </w:r>
      <w:r w:rsidR="0082139F">
        <w:rPr>
          <w:rFonts w:asciiTheme="minorHAnsi" w:hAnsiTheme="minorHAnsi"/>
        </w:rPr>
        <w:t>.</w:t>
      </w:r>
      <w:r w:rsidRPr="003119EA">
        <w:rPr>
          <w:rFonts w:asciiTheme="minorHAnsi" w:hAnsiTheme="minorHAnsi"/>
        </w:rPr>
        <w:tab/>
        <w:t>A significant number of industry commenters opposed the use of the term “bulk power system” in the Applicability section.  The SDT did not mean to convey a modification in the breadth of units which would be covered by the standard as “bulk power system” is a term used in the Compliance Registry.  But based on the concerns expressed by industry, the SDT has replaced the term “bulk power system” with the NERC defined term “Bulk Electric System”.</w:t>
      </w:r>
    </w:p>
    <w:p w:rsidR="003119EA" w:rsidRPr="003119EA" w:rsidRDefault="003119EA" w:rsidP="0082139F">
      <w:pPr>
        <w:spacing w:before="120"/>
        <w:ind w:left="1080" w:hanging="360"/>
        <w:rPr>
          <w:rFonts w:asciiTheme="minorHAnsi" w:hAnsiTheme="minorHAnsi"/>
        </w:rPr>
      </w:pPr>
      <w:r w:rsidRPr="003119EA">
        <w:rPr>
          <w:rFonts w:asciiTheme="minorHAnsi" w:hAnsiTheme="minorHAnsi"/>
        </w:rPr>
        <w:t>2</w:t>
      </w:r>
      <w:r w:rsidR="0082139F">
        <w:rPr>
          <w:rFonts w:asciiTheme="minorHAnsi" w:hAnsiTheme="minorHAnsi"/>
        </w:rPr>
        <w:t>.</w:t>
      </w:r>
      <w:r w:rsidRPr="003119EA">
        <w:rPr>
          <w:rFonts w:asciiTheme="minorHAnsi" w:hAnsiTheme="minorHAnsi"/>
        </w:rPr>
        <w:tab/>
        <w:t xml:space="preserve">For clarity and ease of reading, a paragraph within </w:t>
      </w:r>
      <w:r w:rsidR="001E2BD0">
        <w:rPr>
          <w:rFonts w:asciiTheme="minorHAnsi" w:hAnsiTheme="minorHAnsi"/>
        </w:rPr>
        <w:t xml:space="preserve">Requirement </w:t>
      </w:r>
      <w:r w:rsidRPr="003119EA">
        <w:rPr>
          <w:rFonts w:asciiTheme="minorHAnsi" w:hAnsiTheme="minorHAnsi"/>
        </w:rPr>
        <w:t xml:space="preserve">R3 was moved to the end of the </w:t>
      </w:r>
      <w:r>
        <w:rPr>
          <w:rFonts w:asciiTheme="minorHAnsi" w:hAnsiTheme="minorHAnsi"/>
        </w:rPr>
        <w:t>requirement.</w:t>
      </w:r>
    </w:p>
    <w:p w:rsidR="003119EA" w:rsidRPr="003119EA" w:rsidRDefault="003119EA" w:rsidP="0082139F">
      <w:pPr>
        <w:spacing w:before="120"/>
        <w:ind w:left="1080" w:hanging="360"/>
        <w:rPr>
          <w:rFonts w:asciiTheme="minorHAnsi" w:hAnsiTheme="minorHAnsi"/>
        </w:rPr>
      </w:pPr>
      <w:r w:rsidRPr="003119EA">
        <w:rPr>
          <w:rFonts w:asciiTheme="minorHAnsi" w:hAnsiTheme="minorHAnsi"/>
        </w:rPr>
        <w:t>3</w:t>
      </w:r>
      <w:r w:rsidR="0082139F">
        <w:rPr>
          <w:rFonts w:asciiTheme="minorHAnsi" w:hAnsiTheme="minorHAnsi"/>
        </w:rPr>
        <w:t>.</w:t>
      </w:r>
      <w:r w:rsidRPr="003119EA">
        <w:rPr>
          <w:rFonts w:asciiTheme="minorHAnsi" w:hAnsiTheme="minorHAnsi"/>
        </w:rPr>
        <w:tab/>
        <w:t>Change “facility” to “unit” in Measures 2 and 4 to match the terminology in the requirements.  Also, other minor clarifications and edits made in the Measures.</w:t>
      </w:r>
    </w:p>
    <w:p w:rsidR="003119EA" w:rsidRPr="003119EA" w:rsidRDefault="003119EA" w:rsidP="0082139F">
      <w:pPr>
        <w:spacing w:before="120"/>
        <w:ind w:left="1080" w:hanging="360"/>
        <w:rPr>
          <w:rFonts w:asciiTheme="minorHAnsi" w:hAnsiTheme="minorHAnsi"/>
        </w:rPr>
      </w:pPr>
      <w:r w:rsidRPr="003119EA">
        <w:rPr>
          <w:rFonts w:asciiTheme="minorHAnsi" w:hAnsiTheme="minorHAnsi"/>
        </w:rPr>
        <w:t>4</w:t>
      </w:r>
      <w:r w:rsidR="0082139F">
        <w:rPr>
          <w:rFonts w:asciiTheme="minorHAnsi" w:hAnsiTheme="minorHAnsi"/>
        </w:rPr>
        <w:t>.</w:t>
      </w:r>
      <w:r w:rsidRPr="003119EA">
        <w:rPr>
          <w:rFonts w:asciiTheme="minorHAnsi" w:hAnsiTheme="minorHAnsi"/>
        </w:rPr>
        <w:tab/>
        <w:t>Change “and” to “or” everywhere the phrase “and active power/frequency control functions” appears.</w:t>
      </w:r>
    </w:p>
    <w:p w:rsidR="003119EA" w:rsidRPr="003119EA" w:rsidRDefault="003119EA" w:rsidP="0082139F">
      <w:pPr>
        <w:spacing w:before="120"/>
        <w:ind w:left="1080" w:hanging="360"/>
        <w:rPr>
          <w:rFonts w:asciiTheme="minorHAnsi" w:hAnsiTheme="minorHAnsi"/>
        </w:rPr>
      </w:pPr>
      <w:r w:rsidRPr="003119EA">
        <w:rPr>
          <w:rFonts w:asciiTheme="minorHAnsi" w:hAnsiTheme="minorHAnsi"/>
        </w:rPr>
        <w:t>5</w:t>
      </w:r>
      <w:r w:rsidR="0082139F">
        <w:rPr>
          <w:rFonts w:asciiTheme="minorHAnsi" w:hAnsiTheme="minorHAnsi"/>
        </w:rPr>
        <w:t>.</w:t>
      </w:r>
      <w:r w:rsidRPr="003119EA">
        <w:rPr>
          <w:rFonts w:asciiTheme="minorHAnsi" w:hAnsiTheme="minorHAnsi"/>
        </w:rPr>
        <w:tab/>
        <w:t xml:space="preserve">Revised </w:t>
      </w:r>
      <w:r w:rsidR="0064397A">
        <w:rPr>
          <w:rFonts w:asciiTheme="minorHAnsi" w:hAnsiTheme="minorHAnsi"/>
        </w:rPr>
        <w:t>Requirement</w:t>
      </w:r>
      <w:r w:rsidR="0064397A" w:rsidRPr="003119EA">
        <w:rPr>
          <w:rFonts w:asciiTheme="minorHAnsi" w:hAnsiTheme="minorHAnsi"/>
        </w:rPr>
        <w:t xml:space="preserve"> </w:t>
      </w:r>
      <w:r w:rsidRPr="003119EA">
        <w:rPr>
          <w:rFonts w:asciiTheme="minorHAnsi" w:hAnsiTheme="minorHAnsi"/>
        </w:rPr>
        <w:t>R2 to remove “within 365 calendar days ......”</w:t>
      </w:r>
    </w:p>
    <w:p w:rsidR="003119EA" w:rsidRPr="003119EA" w:rsidRDefault="003119EA" w:rsidP="0082139F">
      <w:pPr>
        <w:spacing w:before="120"/>
        <w:ind w:left="1080" w:hanging="360"/>
        <w:rPr>
          <w:rFonts w:asciiTheme="minorHAnsi" w:hAnsiTheme="minorHAnsi"/>
        </w:rPr>
      </w:pPr>
      <w:r w:rsidRPr="003119EA">
        <w:rPr>
          <w:rFonts w:asciiTheme="minorHAnsi" w:hAnsiTheme="minorHAnsi"/>
        </w:rPr>
        <w:t>6</w:t>
      </w:r>
      <w:r w:rsidR="0082139F">
        <w:rPr>
          <w:rFonts w:asciiTheme="minorHAnsi" w:hAnsiTheme="minorHAnsi"/>
        </w:rPr>
        <w:t>.</w:t>
      </w:r>
      <w:r w:rsidRPr="003119EA">
        <w:rPr>
          <w:rFonts w:asciiTheme="minorHAnsi" w:hAnsiTheme="minorHAnsi"/>
        </w:rPr>
        <w:tab/>
        <w:t xml:space="preserve">Revised </w:t>
      </w:r>
      <w:r w:rsidR="0064397A">
        <w:rPr>
          <w:rFonts w:asciiTheme="minorHAnsi" w:hAnsiTheme="minorHAnsi"/>
        </w:rPr>
        <w:t xml:space="preserve">Subpart </w:t>
      </w:r>
      <w:r w:rsidRPr="003119EA">
        <w:rPr>
          <w:rFonts w:asciiTheme="minorHAnsi" w:hAnsiTheme="minorHAnsi"/>
        </w:rPr>
        <w:t>2.1.1 to specify “unit’s MW model response”.</w:t>
      </w:r>
    </w:p>
    <w:p w:rsidR="003119EA" w:rsidRPr="003119EA" w:rsidRDefault="003119EA" w:rsidP="0082139F">
      <w:pPr>
        <w:spacing w:before="120"/>
        <w:ind w:left="1080" w:hanging="360"/>
        <w:rPr>
          <w:rFonts w:asciiTheme="minorHAnsi" w:hAnsiTheme="minorHAnsi"/>
        </w:rPr>
      </w:pPr>
      <w:r w:rsidRPr="003119EA">
        <w:rPr>
          <w:rFonts w:asciiTheme="minorHAnsi" w:hAnsiTheme="minorHAnsi"/>
        </w:rPr>
        <w:t>7</w:t>
      </w:r>
      <w:r w:rsidR="0082139F">
        <w:rPr>
          <w:rFonts w:asciiTheme="minorHAnsi" w:hAnsiTheme="minorHAnsi"/>
        </w:rPr>
        <w:t>.</w:t>
      </w:r>
      <w:r w:rsidRPr="003119EA">
        <w:rPr>
          <w:rFonts w:asciiTheme="minorHAnsi" w:hAnsiTheme="minorHAnsi"/>
        </w:rPr>
        <w:tab/>
        <w:t xml:space="preserve">Subpart 2.2 has been re-worded and merged into Subpart 2.1.  The new verbiage makes it clear that the expert performing the model verification has flexibility regarding if the model should be represented by individual unit or plant aggregate models or any combination </w:t>
      </w:r>
      <w:r w:rsidRPr="003119EA">
        <w:rPr>
          <w:rFonts w:asciiTheme="minorHAnsi" w:hAnsiTheme="minorHAnsi"/>
        </w:rPr>
        <w:lastRenderedPageBreak/>
        <w:t>therein as dictated by the specific situation.  This merger also results in appropriate mapping to the VSLs</w:t>
      </w:r>
      <w:r>
        <w:rPr>
          <w:rFonts w:asciiTheme="minorHAnsi" w:hAnsiTheme="minorHAnsi"/>
        </w:rPr>
        <w:t>.</w:t>
      </w:r>
    </w:p>
    <w:p w:rsidR="003119EA" w:rsidRPr="003119EA" w:rsidRDefault="003119EA" w:rsidP="0082139F">
      <w:pPr>
        <w:spacing w:before="120"/>
        <w:ind w:left="1080" w:hanging="360"/>
        <w:rPr>
          <w:rFonts w:asciiTheme="minorHAnsi" w:hAnsiTheme="minorHAnsi"/>
        </w:rPr>
      </w:pPr>
      <w:r w:rsidRPr="003119EA">
        <w:rPr>
          <w:rFonts w:asciiTheme="minorHAnsi" w:hAnsiTheme="minorHAnsi"/>
        </w:rPr>
        <w:t>8</w:t>
      </w:r>
      <w:r w:rsidR="0082139F">
        <w:rPr>
          <w:rFonts w:asciiTheme="minorHAnsi" w:hAnsiTheme="minorHAnsi"/>
        </w:rPr>
        <w:t>.</w:t>
      </w:r>
      <w:r w:rsidRPr="003119EA">
        <w:rPr>
          <w:rFonts w:asciiTheme="minorHAnsi" w:hAnsiTheme="minorHAnsi"/>
        </w:rPr>
        <w:tab/>
        <w:t>Revised Attachment 1 extensively for clarity, including removing specificity regarding when monitoring equipment must be installed.  A row was added to the table to account for the possibility that no frequency excursions meeting the criteria occur when the unit is on-line – however, in order for that row to be applicable, monitoring equipment must be in place by the effective date of the standard.</w:t>
      </w:r>
    </w:p>
    <w:p w:rsidR="003119EA" w:rsidRPr="003119EA" w:rsidRDefault="003119EA" w:rsidP="0082139F">
      <w:pPr>
        <w:spacing w:before="120"/>
        <w:ind w:left="1080" w:hanging="360"/>
        <w:rPr>
          <w:rFonts w:asciiTheme="minorHAnsi" w:hAnsiTheme="minorHAnsi"/>
        </w:rPr>
      </w:pPr>
      <w:r w:rsidRPr="003119EA">
        <w:rPr>
          <w:rFonts w:asciiTheme="minorHAnsi" w:hAnsiTheme="minorHAnsi"/>
        </w:rPr>
        <w:t>9</w:t>
      </w:r>
      <w:r w:rsidR="0082139F">
        <w:rPr>
          <w:rFonts w:asciiTheme="minorHAnsi" w:hAnsiTheme="minorHAnsi"/>
        </w:rPr>
        <w:t>.</w:t>
      </w:r>
      <w:r w:rsidRPr="003119EA">
        <w:rPr>
          <w:rFonts w:asciiTheme="minorHAnsi" w:hAnsiTheme="minorHAnsi"/>
        </w:rPr>
        <w:tab/>
        <w:t>Revised the Effective Dates, and subsequently the Implementation Plan, to mirror the Effective Dates in the current draft of MOD-026 (verification of Excitation Control Systems)</w:t>
      </w:r>
      <w:r>
        <w:rPr>
          <w:rFonts w:asciiTheme="minorHAnsi" w:hAnsiTheme="minorHAnsi"/>
        </w:rPr>
        <w:t>.</w:t>
      </w:r>
    </w:p>
    <w:p w:rsidR="003119EA" w:rsidRPr="003119EA" w:rsidRDefault="003119EA" w:rsidP="0082139F">
      <w:pPr>
        <w:spacing w:before="120"/>
        <w:ind w:left="1080" w:hanging="360"/>
        <w:rPr>
          <w:rFonts w:asciiTheme="minorHAnsi" w:hAnsiTheme="minorHAnsi"/>
        </w:rPr>
      </w:pPr>
      <w:r w:rsidRPr="003119EA">
        <w:rPr>
          <w:rFonts w:asciiTheme="minorHAnsi" w:hAnsiTheme="minorHAnsi"/>
        </w:rPr>
        <w:t>10</w:t>
      </w:r>
      <w:r w:rsidR="0082139F">
        <w:rPr>
          <w:rFonts w:asciiTheme="minorHAnsi" w:hAnsiTheme="minorHAnsi"/>
        </w:rPr>
        <w:t>.</w:t>
      </w:r>
      <w:r w:rsidRPr="003119EA">
        <w:rPr>
          <w:rFonts w:asciiTheme="minorHAnsi" w:hAnsiTheme="minorHAnsi"/>
        </w:rPr>
        <w:tab/>
        <w:t>Removed an extra word “that” (just before the word accurately) in the Purpose statement</w:t>
      </w:r>
      <w:r>
        <w:rPr>
          <w:rFonts w:asciiTheme="minorHAnsi" w:hAnsiTheme="minorHAnsi"/>
        </w:rPr>
        <w:t>.</w:t>
      </w:r>
    </w:p>
    <w:p w:rsidR="003119EA" w:rsidRPr="003119EA" w:rsidRDefault="003119EA" w:rsidP="0082139F">
      <w:pPr>
        <w:spacing w:before="120"/>
        <w:ind w:left="1080" w:hanging="360"/>
        <w:rPr>
          <w:rFonts w:asciiTheme="minorHAnsi" w:hAnsiTheme="minorHAnsi"/>
        </w:rPr>
      </w:pPr>
      <w:r w:rsidRPr="003119EA">
        <w:rPr>
          <w:rFonts w:asciiTheme="minorHAnsi" w:hAnsiTheme="minorHAnsi"/>
        </w:rPr>
        <w:t>11</w:t>
      </w:r>
      <w:r w:rsidR="0082139F">
        <w:rPr>
          <w:rFonts w:asciiTheme="minorHAnsi" w:hAnsiTheme="minorHAnsi"/>
        </w:rPr>
        <w:t>.</w:t>
      </w:r>
      <w:r w:rsidRPr="003119EA">
        <w:rPr>
          <w:rFonts w:asciiTheme="minorHAnsi" w:hAnsiTheme="minorHAnsi"/>
        </w:rPr>
        <w:tab/>
        <w:t xml:space="preserve">The qualifier “directly connected” was applied </w:t>
      </w:r>
      <w:r w:rsidR="00DB5DDC" w:rsidRPr="00DB5DDC">
        <w:rPr>
          <w:rFonts w:asciiTheme="minorHAnsi" w:hAnsiTheme="minorHAnsi"/>
        </w:rPr>
        <w:t>at the top level of the Facilities section (A4.2)</w:t>
      </w:r>
      <w:r w:rsidRPr="003119EA">
        <w:rPr>
          <w:rFonts w:asciiTheme="minorHAnsi" w:hAnsiTheme="minorHAnsi"/>
        </w:rPr>
        <w:t xml:space="preserve"> to emphasize direct connection to the BES</w:t>
      </w:r>
      <w:r>
        <w:rPr>
          <w:rFonts w:asciiTheme="minorHAnsi" w:hAnsiTheme="minorHAnsi"/>
        </w:rPr>
        <w:t>.</w:t>
      </w:r>
    </w:p>
    <w:p w:rsidR="00B90935" w:rsidRDefault="003119EA" w:rsidP="0082139F">
      <w:pPr>
        <w:spacing w:before="120"/>
        <w:ind w:left="1080" w:hanging="360"/>
        <w:rPr>
          <w:rFonts w:asciiTheme="minorHAnsi" w:hAnsiTheme="minorHAnsi"/>
        </w:rPr>
      </w:pPr>
      <w:r w:rsidRPr="003119EA">
        <w:rPr>
          <w:rFonts w:asciiTheme="minorHAnsi" w:hAnsiTheme="minorHAnsi"/>
        </w:rPr>
        <w:t>12</w:t>
      </w:r>
      <w:r w:rsidR="0082139F">
        <w:rPr>
          <w:rFonts w:asciiTheme="minorHAnsi" w:hAnsiTheme="minorHAnsi"/>
        </w:rPr>
        <w:t>.</w:t>
      </w:r>
      <w:r w:rsidRPr="003119EA">
        <w:rPr>
          <w:rFonts w:asciiTheme="minorHAnsi" w:hAnsiTheme="minorHAnsi"/>
        </w:rPr>
        <w:tab/>
        <w:t>The SDT removed the footnote regarding standby units as industry comments suggested that it did not provide additional clarity to the Applicability.</w:t>
      </w:r>
    </w:p>
    <w:p w:rsidR="00B90935" w:rsidRDefault="00B90935" w:rsidP="0082139F">
      <w:pPr>
        <w:spacing w:before="120"/>
        <w:ind w:left="1080" w:hanging="360"/>
        <w:rPr>
          <w:rFonts w:asciiTheme="minorHAnsi" w:hAnsiTheme="minorHAnsi"/>
        </w:rPr>
      </w:pPr>
      <w:r w:rsidRPr="00B90935">
        <w:rPr>
          <w:rFonts w:asciiTheme="minorHAnsi" w:hAnsiTheme="minorHAnsi"/>
        </w:rPr>
        <w:t>13</w:t>
      </w:r>
      <w:r w:rsidR="0082139F">
        <w:rPr>
          <w:rFonts w:asciiTheme="minorHAnsi" w:hAnsiTheme="minorHAnsi"/>
        </w:rPr>
        <w:t>.</w:t>
      </w:r>
      <w:r>
        <w:rPr>
          <w:rFonts w:ascii="Calibri" w:hAnsi="Calibri"/>
          <w:b/>
        </w:rPr>
        <w:t xml:space="preserve"> </w:t>
      </w:r>
      <w:r w:rsidRPr="00B90935">
        <w:rPr>
          <w:rFonts w:asciiTheme="minorHAnsi" w:hAnsiTheme="minorHAnsi"/>
        </w:rPr>
        <w:t>The SDT revised the draft standard to reference the net capacity factor calculation in Appendix F of the GADS Data Reporting Instructions.  Also, the SDT moved the details of the capacity factor exemption concept form a footnote in the Applicability section to a row (Row 8) in the Periodicity Table.  The team thought that would be appropriate as the Periodicity Table already included the “equivalent” unit concept (Row 5</w:t>
      </w:r>
      <w:r>
        <w:rPr>
          <w:rFonts w:asciiTheme="minorHAnsi" w:hAnsiTheme="minorHAnsi"/>
        </w:rPr>
        <w:t>).</w:t>
      </w:r>
    </w:p>
    <w:p w:rsidR="00B90935" w:rsidRDefault="00B90935" w:rsidP="003119EA">
      <w:pPr>
        <w:ind w:left="1440" w:hanging="720"/>
        <w:rPr>
          <w:rFonts w:asciiTheme="minorHAnsi" w:hAnsiTheme="minorHAnsi"/>
        </w:rPr>
      </w:pPr>
    </w:p>
    <w:p w:rsidR="00530DE2" w:rsidRDefault="00DB5DDC" w:rsidP="003119EA">
      <w:pPr>
        <w:rPr>
          <w:rFonts w:asciiTheme="minorHAnsi" w:hAnsiTheme="minorHAnsi"/>
        </w:rPr>
      </w:pPr>
      <w:r w:rsidRPr="003119EA">
        <w:rPr>
          <w:rFonts w:asciiTheme="minorHAnsi" w:hAnsiTheme="minorHAnsi"/>
        </w:rPr>
        <w:t xml:space="preserve"> </w:t>
      </w:r>
    </w:p>
    <w:p w:rsidR="003119EA" w:rsidRPr="003119EA" w:rsidRDefault="003119EA" w:rsidP="003119EA">
      <w:pPr>
        <w:rPr>
          <w:rFonts w:ascii="Tahoma" w:hAnsi="Tahoma" w:cs="Tahoma"/>
          <w:b/>
          <w:bCs/>
          <w:sz w:val="22"/>
          <w:szCs w:val="22"/>
        </w:rPr>
      </w:pPr>
      <w:r w:rsidRPr="003119EA">
        <w:rPr>
          <w:rFonts w:ascii="Tahoma" w:hAnsi="Tahoma" w:cs="Tahoma"/>
          <w:b/>
          <w:bCs/>
          <w:sz w:val="22"/>
          <w:szCs w:val="22"/>
        </w:rPr>
        <w:t>Periodicity Table (Attachment 1) for MOD-027-1:</w:t>
      </w:r>
    </w:p>
    <w:p w:rsidR="003119EA" w:rsidRPr="002C20D0" w:rsidRDefault="003119EA" w:rsidP="003119EA">
      <w:pPr>
        <w:rPr>
          <w:rFonts w:asciiTheme="minorHAnsi" w:hAnsiTheme="minorHAnsi"/>
        </w:rPr>
      </w:pPr>
    </w:p>
    <w:p w:rsidR="003119EA" w:rsidRPr="002C20D0" w:rsidRDefault="003119EA" w:rsidP="003119EA">
      <w:pPr>
        <w:rPr>
          <w:rFonts w:asciiTheme="minorHAnsi" w:hAnsiTheme="minorHAnsi"/>
        </w:rPr>
      </w:pPr>
      <w:r w:rsidRPr="002C20D0">
        <w:rPr>
          <w:rFonts w:asciiTheme="minorHAnsi" w:hAnsiTheme="minorHAnsi"/>
        </w:rPr>
        <w:t xml:space="preserve">Based on industry comments from the last posting, the GVSDT </w:t>
      </w:r>
      <w:r>
        <w:rPr>
          <w:rFonts w:asciiTheme="minorHAnsi" w:hAnsiTheme="minorHAnsi"/>
        </w:rPr>
        <w:t>modified the</w:t>
      </w:r>
      <w:r w:rsidRPr="002C20D0">
        <w:rPr>
          <w:rFonts w:asciiTheme="minorHAnsi" w:hAnsiTheme="minorHAnsi"/>
        </w:rPr>
        <w:t xml:space="preserve"> Periodicity Table (Attachment 1) </w:t>
      </w:r>
      <w:r>
        <w:rPr>
          <w:rFonts w:asciiTheme="minorHAnsi" w:hAnsiTheme="minorHAnsi"/>
        </w:rPr>
        <w:t>to make it to make it significantly simpler and concise</w:t>
      </w:r>
      <w:r w:rsidRPr="002C20D0">
        <w:rPr>
          <w:rFonts w:asciiTheme="minorHAnsi" w:hAnsiTheme="minorHAnsi"/>
        </w:rPr>
        <w:t xml:space="preserve">. </w:t>
      </w:r>
      <w:r>
        <w:rPr>
          <w:rFonts w:asciiTheme="minorHAnsi" w:hAnsiTheme="minorHAnsi"/>
        </w:rPr>
        <w:t xml:space="preserve"> In an effort to re-enforce the resulting modifications detailed in the current draft of the Periodicity Table, t</w:t>
      </w:r>
      <w:r w:rsidRPr="002C20D0">
        <w:rPr>
          <w:rFonts w:asciiTheme="minorHAnsi" w:hAnsiTheme="minorHAnsi"/>
        </w:rPr>
        <w:t>he following examples are offered by the GVSDT to aid industry in understanding the proposed model verification periodicity:</w:t>
      </w:r>
    </w:p>
    <w:p w:rsidR="003119EA" w:rsidRPr="002C20D0" w:rsidRDefault="003119EA" w:rsidP="003119EA">
      <w:pPr>
        <w:rPr>
          <w:rFonts w:asciiTheme="minorHAnsi" w:hAnsiTheme="minorHAnsi"/>
        </w:rPr>
      </w:pPr>
    </w:p>
    <w:p w:rsidR="003119EA" w:rsidRPr="002C20D0" w:rsidRDefault="003119EA" w:rsidP="003119EA">
      <w:pPr>
        <w:rPr>
          <w:rFonts w:asciiTheme="minorHAnsi" w:hAnsiTheme="minorHAnsi"/>
        </w:rPr>
      </w:pPr>
      <w:r w:rsidRPr="002C20D0">
        <w:rPr>
          <w:rFonts w:asciiTheme="minorHAnsi" w:hAnsiTheme="minorHAnsi"/>
        </w:rPr>
        <w:t>Periodicity Example 1:</w:t>
      </w:r>
    </w:p>
    <w:p w:rsidR="003119EA" w:rsidRPr="002C20D0" w:rsidRDefault="003119EA" w:rsidP="003119EA">
      <w:pPr>
        <w:rPr>
          <w:rFonts w:asciiTheme="minorHAnsi" w:hAnsiTheme="minorHAnsi"/>
        </w:rPr>
      </w:pPr>
    </w:p>
    <w:p w:rsidR="003119EA" w:rsidRDefault="003119EA" w:rsidP="003119EA">
      <w:pPr>
        <w:rPr>
          <w:rFonts w:asciiTheme="minorHAnsi" w:hAnsiTheme="minorHAnsi"/>
        </w:rPr>
      </w:pPr>
      <w:r w:rsidRPr="002C20D0">
        <w:rPr>
          <w:rFonts w:asciiTheme="minorHAnsi" w:hAnsiTheme="minorHAnsi"/>
        </w:rPr>
        <w:t xml:space="preserve">The following timeline depicts a scenario where the Generator Owner </w:t>
      </w:r>
      <w:r>
        <w:rPr>
          <w:rFonts w:asciiTheme="minorHAnsi" w:hAnsiTheme="minorHAnsi"/>
        </w:rPr>
        <w:t xml:space="preserve">has elected to utilize the ambient event methodology, as opposed to a staged test, to capture the unit’s response to a frequency excursion and subsequently use that captured MW response to verify the model.  In order to utilize the ambient event methodology, </w:t>
      </w:r>
      <w:r w:rsidRPr="002C20D0">
        <w:rPr>
          <w:rFonts w:asciiTheme="minorHAnsi" w:hAnsiTheme="minorHAnsi"/>
        </w:rPr>
        <w:t xml:space="preserve">recorders </w:t>
      </w:r>
      <w:r>
        <w:rPr>
          <w:rFonts w:asciiTheme="minorHAnsi" w:hAnsiTheme="minorHAnsi"/>
        </w:rPr>
        <w:t xml:space="preserve">need to be </w:t>
      </w:r>
      <w:r w:rsidRPr="002C20D0">
        <w:rPr>
          <w:rFonts w:asciiTheme="minorHAnsi" w:hAnsiTheme="minorHAnsi"/>
        </w:rPr>
        <w:t xml:space="preserve">installed </w:t>
      </w:r>
      <w:r>
        <w:rPr>
          <w:rFonts w:asciiTheme="minorHAnsi" w:hAnsiTheme="minorHAnsi"/>
        </w:rPr>
        <w:t xml:space="preserve">ready to capture the unit’s MW response to an ambient event (system frequency excursion) by the first day of the first calendar quarter following either applicable regulatory approval or, in jurisdictions where no regulatory approval is required, following Board of Trustees adoption.  As opposed to the last draft of the standard, the Periodicity Table (Attachment 1) no longer specifies when the Generator Owner has to capture </w:t>
      </w:r>
      <w:r w:rsidRPr="002C20D0">
        <w:rPr>
          <w:rFonts w:asciiTheme="minorHAnsi" w:hAnsiTheme="minorHAnsi"/>
        </w:rPr>
        <w:t xml:space="preserve">the unit’s </w:t>
      </w:r>
      <w:r>
        <w:rPr>
          <w:rFonts w:asciiTheme="minorHAnsi" w:hAnsiTheme="minorHAnsi"/>
        </w:rPr>
        <w:t>R</w:t>
      </w:r>
      <w:r w:rsidRPr="002C20D0">
        <w:rPr>
          <w:rFonts w:asciiTheme="minorHAnsi" w:hAnsiTheme="minorHAnsi"/>
        </w:rPr>
        <w:t xml:space="preserve">eal </w:t>
      </w:r>
      <w:r>
        <w:rPr>
          <w:rFonts w:asciiTheme="minorHAnsi" w:hAnsiTheme="minorHAnsi"/>
        </w:rPr>
        <w:t>P</w:t>
      </w:r>
      <w:r w:rsidRPr="002C20D0">
        <w:rPr>
          <w:rFonts w:asciiTheme="minorHAnsi" w:hAnsiTheme="minorHAnsi"/>
        </w:rPr>
        <w:t xml:space="preserve">ower response </w:t>
      </w:r>
      <w:r>
        <w:rPr>
          <w:rFonts w:asciiTheme="minorHAnsi" w:hAnsiTheme="minorHAnsi"/>
        </w:rPr>
        <w:t xml:space="preserve">to a frequency excursion subject to the specification in Note 1 at the end of the Periodicity Table (including per unit hertz deviation and specifying that the unit has to be operating in a frequency responsive mode).  The only requirement is that the verified model, documentation, and data must be transmitted to the Transmission Planner on or before the expected date.  </w:t>
      </w:r>
    </w:p>
    <w:p w:rsidR="003119EA" w:rsidRDefault="003119EA" w:rsidP="003119EA">
      <w:pPr>
        <w:rPr>
          <w:rFonts w:asciiTheme="minorHAnsi" w:hAnsiTheme="minorHAnsi"/>
        </w:rPr>
      </w:pPr>
    </w:p>
    <w:p w:rsidR="003119EA" w:rsidRDefault="003119EA" w:rsidP="003119EA">
      <w:pPr>
        <w:rPr>
          <w:rFonts w:asciiTheme="minorHAnsi" w:hAnsiTheme="minorHAnsi"/>
        </w:rPr>
      </w:pPr>
      <w:r>
        <w:rPr>
          <w:rFonts w:asciiTheme="minorHAnsi" w:hAnsiTheme="minorHAnsi"/>
        </w:rPr>
        <w:t xml:space="preserve">In the example below, it is assumed that a unit is part of the 30% of the Generator Owners applicable unit’s gross MVA per Interconnection four years after regulatory or NERC B.O.T. adoption used to meet the Effective Date requirements for </w:t>
      </w:r>
      <w:r w:rsidR="0004026A">
        <w:rPr>
          <w:rFonts w:asciiTheme="minorHAnsi" w:hAnsiTheme="minorHAnsi"/>
        </w:rPr>
        <w:t xml:space="preserve">Requirement </w:t>
      </w:r>
      <w:r>
        <w:rPr>
          <w:rFonts w:asciiTheme="minorHAnsi" w:hAnsiTheme="minorHAnsi"/>
        </w:rPr>
        <w:t xml:space="preserve">R2.  The example assumes that </w:t>
      </w:r>
      <w:r w:rsidRPr="002C20D0">
        <w:rPr>
          <w:rFonts w:asciiTheme="minorHAnsi" w:hAnsiTheme="minorHAnsi"/>
        </w:rPr>
        <w:t xml:space="preserve">the unit’s </w:t>
      </w:r>
      <w:r>
        <w:rPr>
          <w:rFonts w:asciiTheme="minorHAnsi" w:hAnsiTheme="minorHAnsi"/>
        </w:rPr>
        <w:t>R</w:t>
      </w:r>
      <w:r w:rsidRPr="002C20D0">
        <w:rPr>
          <w:rFonts w:asciiTheme="minorHAnsi" w:hAnsiTheme="minorHAnsi"/>
        </w:rPr>
        <w:t xml:space="preserve">eal </w:t>
      </w:r>
      <w:r>
        <w:rPr>
          <w:rFonts w:asciiTheme="minorHAnsi" w:hAnsiTheme="minorHAnsi"/>
        </w:rPr>
        <w:t>P</w:t>
      </w:r>
      <w:r w:rsidRPr="002C20D0">
        <w:rPr>
          <w:rFonts w:asciiTheme="minorHAnsi" w:hAnsiTheme="minorHAnsi"/>
        </w:rPr>
        <w:t xml:space="preserve">ower response </w:t>
      </w:r>
      <w:r>
        <w:rPr>
          <w:rFonts w:asciiTheme="minorHAnsi" w:hAnsiTheme="minorHAnsi"/>
        </w:rPr>
        <w:t>to a frequency excursion subject to the specification in Note 1 at the end of the Periodicity Table was captured and subsequently the model was verified and transmitted (along with verification documentation and data) to the Transmission Planner exactly on the effective date (Year 4).</w:t>
      </w:r>
    </w:p>
    <w:p w:rsidR="003119EA" w:rsidRDefault="003119EA" w:rsidP="003119EA">
      <w:pPr>
        <w:rPr>
          <w:rFonts w:asciiTheme="minorHAnsi" w:hAnsiTheme="minorHAnsi"/>
        </w:rPr>
      </w:pPr>
    </w:p>
    <w:p w:rsidR="003119EA" w:rsidRDefault="003119EA" w:rsidP="003119EA">
      <w:pPr>
        <w:rPr>
          <w:rFonts w:asciiTheme="minorHAnsi" w:hAnsiTheme="minorHAnsi"/>
        </w:rPr>
      </w:pPr>
      <w:r w:rsidRPr="002C20D0">
        <w:rPr>
          <w:rFonts w:asciiTheme="minorHAnsi" w:hAnsiTheme="minorHAnsi"/>
        </w:rPr>
        <w:t xml:space="preserve">Once the model is initially verified, the expectation is that it will be verified again after a </w:t>
      </w:r>
      <w:r>
        <w:rPr>
          <w:rFonts w:asciiTheme="minorHAnsi" w:hAnsiTheme="minorHAnsi"/>
        </w:rPr>
        <w:t>10-</w:t>
      </w:r>
      <w:r w:rsidRPr="002C20D0">
        <w:rPr>
          <w:rFonts w:asciiTheme="minorHAnsi" w:hAnsiTheme="minorHAnsi"/>
        </w:rPr>
        <w:t xml:space="preserve">year period.  For this scenario, the </w:t>
      </w:r>
      <w:r>
        <w:rPr>
          <w:rFonts w:asciiTheme="minorHAnsi" w:hAnsiTheme="minorHAnsi"/>
        </w:rPr>
        <w:t>r</w:t>
      </w:r>
      <w:r w:rsidRPr="002C20D0">
        <w:rPr>
          <w:rFonts w:asciiTheme="minorHAnsi" w:hAnsiTheme="minorHAnsi"/>
        </w:rPr>
        <w:t>equirements detailing activities by exception do not occur (</w:t>
      </w:r>
      <w:r w:rsidR="0004026A">
        <w:rPr>
          <w:rFonts w:asciiTheme="minorHAnsi" w:hAnsiTheme="minorHAnsi"/>
        </w:rPr>
        <w:t>Requirements</w:t>
      </w:r>
      <w:r w:rsidR="0004026A" w:rsidRPr="002C20D0">
        <w:rPr>
          <w:rFonts w:asciiTheme="minorHAnsi" w:hAnsiTheme="minorHAnsi"/>
        </w:rPr>
        <w:t xml:space="preserve"> </w:t>
      </w:r>
      <w:r w:rsidRPr="002C20D0">
        <w:rPr>
          <w:rFonts w:asciiTheme="minorHAnsi" w:hAnsiTheme="minorHAnsi"/>
        </w:rPr>
        <w:t>R3 – R4)</w:t>
      </w:r>
      <w:r>
        <w:rPr>
          <w:rFonts w:asciiTheme="minorHAnsi" w:hAnsiTheme="minorHAnsi"/>
        </w:rPr>
        <w:t>,</w:t>
      </w:r>
      <w:r w:rsidRPr="002C20D0">
        <w:rPr>
          <w:rFonts w:asciiTheme="minorHAnsi" w:hAnsiTheme="minorHAnsi"/>
        </w:rPr>
        <w:t xml:space="preserve"> which is expected to be the situation for the majority of the time. </w:t>
      </w:r>
      <w:r>
        <w:rPr>
          <w:rFonts w:asciiTheme="minorHAnsi" w:hAnsiTheme="minorHAnsi"/>
        </w:rPr>
        <w:t xml:space="preserve">  The example goes on to assume that </w:t>
      </w:r>
      <w:r w:rsidRPr="002C20D0">
        <w:rPr>
          <w:rFonts w:asciiTheme="minorHAnsi" w:hAnsiTheme="minorHAnsi"/>
        </w:rPr>
        <w:t xml:space="preserve">the unit’s </w:t>
      </w:r>
      <w:r>
        <w:rPr>
          <w:rFonts w:asciiTheme="minorHAnsi" w:hAnsiTheme="minorHAnsi"/>
        </w:rPr>
        <w:t>R</w:t>
      </w:r>
      <w:r w:rsidRPr="002C20D0">
        <w:rPr>
          <w:rFonts w:asciiTheme="minorHAnsi" w:hAnsiTheme="minorHAnsi"/>
        </w:rPr>
        <w:t xml:space="preserve">eal </w:t>
      </w:r>
      <w:r>
        <w:rPr>
          <w:rFonts w:asciiTheme="minorHAnsi" w:hAnsiTheme="minorHAnsi"/>
        </w:rPr>
        <w:t>P</w:t>
      </w:r>
      <w:r w:rsidRPr="002C20D0">
        <w:rPr>
          <w:rFonts w:asciiTheme="minorHAnsi" w:hAnsiTheme="minorHAnsi"/>
        </w:rPr>
        <w:t xml:space="preserve">ower response </w:t>
      </w:r>
      <w:r>
        <w:rPr>
          <w:rFonts w:asciiTheme="minorHAnsi" w:hAnsiTheme="minorHAnsi"/>
        </w:rPr>
        <w:t xml:space="preserve">to a frequency excursion subject to the specification in Note 1 at the end of the Periodicity Table was captured between Year </w:t>
      </w:r>
      <w:r w:rsidR="0004026A">
        <w:rPr>
          <w:rFonts w:asciiTheme="minorHAnsi" w:hAnsiTheme="minorHAnsi"/>
        </w:rPr>
        <w:t xml:space="preserve">four </w:t>
      </w:r>
      <w:r>
        <w:rPr>
          <w:rFonts w:asciiTheme="minorHAnsi" w:hAnsiTheme="minorHAnsi"/>
        </w:rPr>
        <w:t>and 14 and subsequently the model was verified and transmitted (along with verification documentation and data) to the Transmission Planner exactly 10 years after the submittal of the previous verification (i.e., 2</w:t>
      </w:r>
      <w:r w:rsidRPr="0058327A">
        <w:rPr>
          <w:rFonts w:asciiTheme="minorHAnsi" w:hAnsiTheme="minorHAnsi"/>
          <w:vertAlign w:val="superscript"/>
        </w:rPr>
        <w:t>nd</w:t>
      </w:r>
      <w:r>
        <w:rPr>
          <w:rFonts w:asciiTheme="minorHAnsi" w:hAnsiTheme="minorHAnsi"/>
        </w:rPr>
        <w:t xml:space="preserve"> verification and documentation submitted exactly at Year 14) – thus ending the 2</w:t>
      </w:r>
      <w:r w:rsidRPr="0058327A">
        <w:rPr>
          <w:rFonts w:asciiTheme="minorHAnsi" w:hAnsiTheme="minorHAnsi"/>
          <w:vertAlign w:val="superscript"/>
        </w:rPr>
        <w:t>nd</w:t>
      </w:r>
      <w:r>
        <w:rPr>
          <w:rFonts w:asciiTheme="minorHAnsi" w:hAnsiTheme="minorHAnsi"/>
        </w:rPr>
        <w:t xml:space="preserve"> model verification period and beginning the 3</w:t>
      </w:r>
      <w:r w:rsidRPr="0058327A">
        <w:rPr>
          <w:rFonts w:asciiTheme="minorHAnsi" w:hAnsiTheme="minorHAnsi"/>
          <w:vertAlign w:val="superscript"/>
        </w:rPr>
        <w:t>rd</w:t>
      </w:r>
      <w:r>
        <w:rPr>
          <w:rFonts w:asciiTheme="minorHAnsi" w:hAnsiTheme="minorHAnsi"/>
        </w:rPr>
        <w:t xml:space="preserve"> model verification period.</w:t>
      </w:r>
    </w:p>
    <w:p w:rsidR="003119EA" w:rsidRDefault="003119EA" w:rsidP="003119EA">
      <w:pPr>
        <w:rPr>
          <w:rFonts w:asciiTheme="minorHAnsi" w:hAnsiTheme="minorHAnsi"/>
        </w:rPr>
      </w:pPr>
    </w:p>
    <w:p w:rsidR="003119EA" w:rsidRDefault="003119EA" w:rsidP="003119EA"/>
    <w:p w:rsidR="003119EA" w:rsidRDefault="003119EA" w:rsidP="003119EA"/>
    <w:p w:rsidR="003119EA" w:rsidRPr="00555BA0" w:rsidRDefault="003119EA" w:rsidP="003119EA">
      <w:r w:rsidRPr="0058327A">
        <w:rPr>
          <w:noProof/>
        </w:rPr>
        <w:drawing>
          <wp:inline distT="0" distB="0" distL="0" distR="0">
            <wp:extent cx="5348893" cy="4023360"/>
            <wp:effectExtent l="19050" t="0" r="4157"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5348893" cy="4023360"/>
                    </a:xfrm>
                    <a:prstGeom prst="rect">
                      <a:avLst/>
                    </a:prstGeom>
                    <a:noFill/>
                    <a:ln w="9525">
                      <a:noFill/>
                      <a:miter lim="800000"/>
                      <a:headEnd/>
                      <a:tailEnd/>
                    </a:ln>
                  </pic:spPr>
                </pic:pic>
              </a:graphicData>
            </a:graphic>
          </wp:inline>
        </w:drawing>
      </w:r>
    </w:p>
    <w:p w:rsidR="003119EA" w:rsidRDefault="003119EA" w:rsidP="003119EA">
      <w:pPr>
        <w:rPr>
          <w:rFonts w:asciiTheme="minorHAnsi" w:hAnsiTheme="minorHAnsi"/>
        </w:rPr>
      </w:pPr>
    </w:p>
    <w:p w:rsidR="003119EA" w:rsidRDefault="003119EA" w:rsidP="003119EA">
      <w:pPr>
        <w:rPr>
          <w:rFonts w:asciiTheme="minorHAnsi" w:hAnsiTheme="minorHAnsi"/>
        </w:rPr>
      </w:pPr>
    </w:p>
    <w:p w:rsidR="003119EA" w:rsidRPr="00EB6B6E" w:rsidRDefault="003119EA" w:rsidP="003119EA">
      <w:pPr>
        <w:rPr>
          <w:rFonts w:asciiTheme="minorHAnsi" w:hAnsiTheme="minorHAnsi"/>
        </w:rPr>
      </w:pPr>
      <w:r w:rsidRPr="00EB6B6E">
        <w:rPr>
          <w:rFonts w:asciiTheme="minorHAnsi" w:hAnsiTheme="minorHAnsi"/>
        </w:rPr>
        <w:t>Periodicity Example 2:</w:t>
      </w:r>
    </w:p>
    <w:p w:rsidR="003119EA" w:rsidRPr="002C20D0" w:rsidRDefault="003119EA" w:rsidP="003119EA">
      <w:pPr>
        <w:rPr>
          <w:rFonts w:asciiTheme="minorHAnsi" w:hAnsiTheme="minorHAnsi"/>
        </w:rPr>
      </w:pPr>
    </w:p>
    <w:p w:rsidR="003119EA" w:rsidRPr="002C20D0" w:rsidRDefault="003119EA" w:rsidP="003119EA">
      <w:pPr>
        <w:rPr>
          <w:rFonts w:asciiTheme="minorHAnsi" w:hAnsiTheme="minorHAnsi"/>
        </w:rPr>
      </w:pPr>
      <w:r w:rsidRPr="002C20D0">
        <w:rPr>
          <w:rFonts w:asciiTheme="minorHAnsi" w:hAnsiTheme="minorHAnsi"/>
        </w:rPr>
        <w:t>The second example is much like Example 1</w:t>
      </w:r>
      <w:r>
        <w:rPr>
          <w:rFonts w:asciiTheme="minorHAnsi" w:hAnsiTheme="minorHAnsi"/>
        </w:rPr>
        <w:t xml:space="preserve"> but with two differences</w:t>
      </w:r>
      <w:r w:rsidRPr="002C20D0">
        <w:rPr>
          <w:rFonts w:asciiTheme="minorHAnsi" w:hAnsiTheme="minorHAnsi"/>
        </w:rPr>
        <w:t xml:space="preserve">.  </w:t>
      </w:r>
      <w:r>
        <w:rPr>
          <w:rFonts w:asciiTheme="minorHAnsi" w:hAnsiTheme="minorHAnsi"/>
        </w:rPr>
        <w:t xml:space="preserve">The first is that it is assumed that a unit is part of the 100% of the Generator Owners applicable unit’s gross MVA per Interconnection required to be verified ten years after regulatory or NERC B.O.T. adoption.  </w:t>
      </w:r>
      <w:r w:rsidRPr="002C20D0">
        <w:rPr>
          <w:rFonts w:asciiTheme="minorHAnsi" w:hAnsiTheme="minorHAnsi"/>
        </w:rPr>
        <w:t xml:space="preserve">The </w:t>
      </w:r>
      <w:r>
        <w:rPr>
          <w:rFonts w:asciiTheme="minorHAnsi" w:hAnsiTheme="minorHAnsi"/>
        </w:rPr>
        <w:t>second</w:t>
      </w:r>
      <w:r w:rsidRPr="002C20D0">
        <w:rPr>
          <w:rFonts w:asciiTheme="minorHAnsi" w:hAnsiTheme="minorHAnsi"/>
        </w:rPr>
        <w:t xml:space="preserve"> differen</w:t>
      </w:r>
      <w:r>
        <w:rPr>
          <w:rFonts w:asciiTheme="minorHAnsi" w:hAnsiTheme="minorHAnsi"/>
        </w:rPr>
        <w:t>ce</w:t>
      </w:r>
      <w:r w:rsidRPr="002C20D0">
        <w:rPr>
          <w:rFonts w:asciiTheme="minorHAnsi" w:hAnsiTheme="minorHAnsi"/>
        </w:rPr>
        <w:t xml:space="preserve"> is that for the </w:t>
      </w:r>
      <w:r>
        <w:rPr>
          <w:rFonts w:asciiTheme="minorHAnsi" w:hAnsiTheme="minorHAnsi"/>
        </w:rPr>
        <w:t>second verification, twelve</w:t>
      </w:r>
      <w:r w:rsidRPr="002C20D0">
        <w:rPr>
          <w:rFonts w:asciiTheme="minorHAnsi" w:hAnsiTheme="minorHAnsi"/>
        </w:rPr>
        <w:t xml:space="preserve"> years passed</w:t>
      </w:r>
      <w:r>
        <w:rPr>
          <w:rFonts w:asciiTheme="minorHAnsi" w:hAnsiTheme="minorHAnsi"/>
        </w:rPr>
        <w:t xml:space="preserve"> (Year 22)</w:t>
      </w:r>
      <w:r w:rsidRPr="002C20D0">
        <w:rPr>
          <w:rFonts w:asciiTheme="minorHAnsi" w:hAnsiTheme="minorHAnsi"/>
        </w:rPr>
        <w:t xml:space="preserve"> before the first time </w:t>
      </w:r>
      <w:r>
        <w:rPr>
          <w:rFonts w:asciiTheme="minorHAnsi" w:hAnsiTheme="minorHAnsi"/>
        </w:rPr>
        <w:t xml:space="preserve">since the first verification </w:t>
      </w:r>
      <w:r w:rsidRPr="002C20D0">
        <w:rPr>
          <w:rFonts w:asciiTheme="minorHAnsi" w:hAnsiTheme="minorHAnsi"/>
        </w:rPr>
        <w:t>the unit was operating in a frequency responsive mode and was subjected to a BES frequency excursion</w:t>
      </w:r>
      <w:r>
        <w:rPr>
          <w:rFonts w:asciiTheme="minorHAnsi" w:hAnsiTheme="minorHAnsi"/>
        </w:rPr>
        <w:t xml:space="preserve"> since the previous verification at Year 10.  Thus, the verified model and documentation and data w</w:t>
      </w:r>
      <w:r w:rsidR="00530DE2">
        <w:rPr>
          <w:rFonts w:asciiTheme="minorHAnsi" w:hAnsiTheme="minorHAnsi"/>
        </w:rPr>
        <w:t>ere</w:t>
      </w:r>
      <w:r>
        <w:rPr>
          <w:rFonts w:asciiTheme="minorHAnsi" w:hAnsiTheme="minorHAnsi"/>
        </w:rPr>
        <w:t xml:space="preserve"> not transmitted to the Transmission Planner until Year 23.  This delay is acceptable, because Row 3 of the Periodicity Table states that if a unit if not subjected to a frequency excursion per Note 1 in time to meet the expected periodicity, then Requirement </w:t>
      </w:r>
      <w:r w:rsidR="0004026A">
        <w:rPr>
          <w:rFonts w:asciiTheme="minorHAnsi" w:hAnsiTheme="minorHAnsi"/>
        </w:rPr>
        <w:t>R</w:t>
      </w:r>
      <w:r>
        <w:rPr>
          <w:rFonts w:asciiTheme="minorHAnsi" w:hAnsiTheme="minorHAnsi"/>
        </w:rPr>
        <w:t>2 of the standard is met with a written statement to the Transmission Planner.  However, the verification model and documentation and data is due to the Transmission Planner 365 days after a frequency excursion per Attachment 1 Note 1</w:t>
      </w:r>
      <w:r w:rsidRPr="002C20D0">
        <w:rPr>
          <w:rFonts w:asciiTheme="minorHAnsi" w:hAnsiTheme="minorHAnsi"/>
        </w:rPr>
        <w:t>:</w:t>
      </w:r>
    </w:p>
    <w:p w:rsidR="003119EA" w:rsidRDefault="003119EA" w:rsidP="003119EA"/>
    <w:p w:rsidR="003119EA" w:rsidRDefault="003119EA" w:rsidP="003119EA">
      <w:r w:rsidRPr="00C176C0">
        <w:rPr>
          <w:noProof/>
        </w:rPr>
        <w:drawing>
          <wp:inline distT="0" distB="0" distL="0" distR="0">
            <wp:extent cx="5736722" cy="429768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srcRect/>
                    <a:stretch>
                      <a:fillRect/>
                    </a:stretch>
                  </pic:blipFill>
                  <pic:spPr bwMode="auto">
                    <a:xfrm>
                      <a:off x="0" y="0"/>
                      <a:ext cx="5736722" cy="4297680"/>
                    </a:xfrm>
                    <a:prstGeom prst="rect">
                      <a:avLst/>
                    </a:prstGeom>
                    <a:noFill/>
                    <a:ln w="9525">
                      <a:noFill/>
                      <a:miter lim="800000"/>
                      <a:headEnd/>
                      <a:tailEnd/>
                    </a:ln>
                  </pic:spPr>
                </pic:pic>
              </a:graphicData>
            </a:graphic>
          </wp:inline>
        </w:drawing>
      </w:r>
    </w:p>
    <w:p w:rsidR="003119EA" w:rsidRDefault="003119EA" w:rsidP="003119EA"/>
    <w:p w:rsidR="003119EA" w:rsidRPr="002C20D0" w:rsidRDefault="003119EA" w:rsidP="003119EA">
      <w:pPr>
        <w:rPr>
          <w:rFonts w:asciiTheme="minorHAnsi" w:hAnsiTheme="minorHAnsi"/>
        </w:rPr>
      </w:pPr>
      <w:r w:rsidRPr="002C20D0">
        <w:rPr>
          <w:rFonts w:asciiTheme="minorHAnsi" w:hAnsiTheme="minorHAnsi"/>
        </w:rPr>
        <w:t>Periodicity Example 3:</w:t>
      </w:r>
    </w:p>
    <w:p w:rsidR="003119EA" w:rsidRPr="002C20D0" w:rsidRDefault="003119EA" w:rsidP="003119EA">
      <w:pPr>
        <w:rPr>
          <w:rFonts w:asciiTheme="minorHAnsi" w:hAnsiTheme="minorHAnsi"/>
        </w:rPr>
      </w:pPr>
    </w:p>
    <w:p w:rsidR="003119EA" w:rsidRDefault="003119EA" w:rsidP="003119EA">
      <w:pPr>
        <w:rPr>
          <w:rFonts w:asciiTheme="minorHAnsi" w:hAnsiTheme="minorHAnsi"/>
        </w:rPr>
      </w:pPr>
      <w:r w:rsidRPr="002C20D0">
        <w:rPr>
          <w:rFonts w:asciiTheme="minorHAnsi" w:hAnsiTheme="minorHAnsi"/>
        </w:rPr>
        <w:t xml:space="preserve">The third example assumes that the Generator Owner chooses to perform a staged test.  </w:t>
      </w:r>
      <w:r w:rsidR="00530DE2">
        <w:rPr>
          <w:rFonts w:asciiTheme="minorHAnsi" w:hAnsiTheme="minorHAnsi"/>
        </w:rPr>
        <w:t>I</w:t>
      </w:r>
      <w:r>
        <w:rPr>
          <w:rFonts w:asciiTheme="minorHAnsi" w:hAnsiTheme="minorHAnsi"/>
        </w:rPr>
        <w:t xml:space="preserve">t is assumed that a unit is part of the 50% of the Generator Owners applicable unit’s gross MVA per Interconnection six years after regulatory or NERC B.O.T. adoption used to meet the Effective Date requirements for </w:t>
      </w:r>
      <w:r w:rsidR="0004026A">
        <w:rPr>
          <w:rFonts w:asciiTheme="minorHAnsi" w:hAnsiTheme="minorHAnsi"/>
        </w:rPr>
        <w:t xml:space="preserve">Requirement </w:t>
      </w:r>
      <w:r>
        <w:rPr>
          <w:rFonts w:asciiTheme="minorHAnsi" w:hAnsiTheme="minorHAnsi"/>
        </w:rPr>
        <w:t xml:space="preserve">R2.  </w:t>
      </w:r>
      <w:r w:rsidRPr="002C20D0">
        <w:rPr>
          <w:rFonts w:asciiTheme="minorHAnsi" w:hAnsiTheme="minorHAnsi"/>
        </w:rPr>
        <w:t xml:space="preserve">The </w:t>
      </w:r>
      <w:r>
        <w:rPr>
          <w:rFonts w:asciiTheme="minorHAnsi" w:hAnsiTheme="minorHAnsi"/>
        </w:rPr>
        <w:t>r</w:t>
      </w:r>
      <w:r w:rsidRPr="002C20D0">
        <w:rPr>
          <w:rFonts w:asciiTheme="minorHAnsi" w:hAnsiTheme="minorHAnsi"/>
        </w:rPr>
        <w:t>equirements detailing activities by exception do not occur (</w:t>
      </w:r>
      <w:r w:rsidR="0004026A">
        <w:rPr>
          <w:rFonts w:asciiTheme="minorHAnsi" w:hAnsiTheme="minorHAnsi"/>
        </w:rPr>
        <w:t>Requirements</w:t>
      </w:r>
      <w:r w:rsidR="0004026A" w:rsidRPr="002C20D0">
        <w:rPr>
          <w:rFonts w:asciiTheme="minorHAnsi" w:hAnsiTheme="minorHAnsi"/>
        </w:rPr>
        <w:t xml:space="preserve"> </w:t>
      </w:r>
      <w:r w:rsidRPr="002C20D0">
        <w:rPr>
          <w:rFonts w:asciiTheme="minorHAnsi" w:hAnsiTheme="minorHAnsi"/>
        </w:rPr>
        <w:t>R3 – R4)</w:t>
      </w:r>
      <w:r>
        <w:rPr>
          <w:rFonts w:asciiTheme="minorHAnsi" w:hAnsiTheme="minorHAnsi"/>
        </w:rPr>
        <w:t>;</w:t>
      </w:r>
      <w:r w:rsidRPr="002C20D0">
        <w:rPr>
          <w:rFonts w:asciiTheme="minorHAnsi" w:hAnsiTheme="minorHAnsi"/>
        </w:rPr>
        <w:t xml:space="preserve"> which is expected to be the situation for the majority of the time.</w:t>
      </w:r>
      <w:r>
        <w:rPr>
          <w:rFonts w:asciiTheme="minorHAnsi" w:hAnsiTheme="minorHAnsi"/>
        </w:rPr>
        <w:t xml:space="preserve">  The first staged test has to be performed early enough for the subsequent model verification to be completed and transmitted to the Transmission Planner by Year </w:t>
      </w:r>
      <w:r w:rsidR="0004026A">
        <w:rPr>
          <w:rFonts w:asciiTheme="minorHAnsi" w:hAnsiTheme="minorHAnsi"/>
        </w:rPr>
        <w:t>six</w:t>
      </w:r>
      <w:r>
        <w:rPr>
          <w:rFonts w:asciiTheme="minorHAnsi" w:hAnsiTheme="minorHAnsi"/>
        </w:rPr>
        <w:t xml:space="preserve">.  </w:t>
      </w:r>
      <w:r w:rsidRPr="002C20D0">
        <w:rPr>
          <w:rFonts w:asciiTheme="minorHAnsi" w:hAnsiTheme="minorHAnsi"/>
        </w:rPr>
        <w:t xml:space="preserve">For the </w:t>
      </w:r>
      <w:r>
        <w:rPr>
          <w:rFonts w:asciiTheme="minorHAnsi" w:hAnsiTheme="minorHAnsi"/>
        </w:rPr>
        <w:t>second</w:t>
      </w:r>
      <w:r w:rsidRPr="002C20D0">
        <w:rPr>
          <w:rFonts w:asciiTheme="minorHAnsi" w:hAnsiTheme="minorHAnsi"/>
        </w:rPr>
        <w:t xml:space="preserve"> verification, another stage test is performed </w:t>
      </w:r>
      <w:r>
        <w:rPr>
          <w:rFonts w:asciiTheme="minorHAnsi" w:hAnsiTheme="minorHAnsi"/>
        </w:rPr>
        <w:t>before</w:t>
      </w:r>
      <w:r w:rsidRPr="002C20D0">
        <w:rPr>
          <w:rFonts w:asciiTheme="minorHAnsi" w:hAnsiTheme="minorHAnsi"/>
        </w:rPr>
        <w:t xml:space="preserve"> the Year 10 anniversary date of the </w:t>
      </w:r>
      <w:r>
        <w:rPr>
          <w:rFonts w:asciiTheme="minorHAnsi" w:hAnsiTheme="minorHAnsi"/>
        </w:rPr>
        <w:t>transmittal of the previous verification information – in for the subsequent model verification to be completed and transmitted to the Transmission Planner by Year 16</w:t>
      </w:r>
      <w:r w:rsidRPr="002C20D0">
        <w:rPr>
          <w:rFonts w:asciiTheme="minorHAnsi" w:hAnsiTheme="minorHAnsi"/>
        </w:rPr>
        <w:t xml:space="preserve">.  </w:t>
      </w:r>
    </w:p>
    <w:p w:rsidR="003119EA" w:rsidRDefault="003119EA" w:rsidP="003119EA">
      <w:pPr>
        <w:rPr>
          <w:rFonts w:asciiTheme="minorHAnsi" w:hAnsiTheme="minorHAnsi"/>
        </w:rPr>
      </w:pPr>
    </w:p>
    <w:p w:rsidR="003119EA" w:rsidRPr="002C20D0" w:rsidRDefault="003119EA" w:rsidP="003119EA">
      <w:pPr>
        <w:rPr>
          <w:rFonts w:asciiTheme="minorHAnsi" w:hAnsiTheme="minorHAnsi"/>
        </w:rPr>
      </w:pPr>
      <w:r w:rsidRPr="00C176C0">
        <w:rPr>
          <w:noProof/>
        </w:rPr>
        <w:drawing>
          <wp:inline distT="0" distB="0" distL="0" distR="0">
            <wp:extent cx="5487641" cy="411480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5487641" cy="4114800"/>
                    </a:xfrm>
                    <a:prstGeom prst="rect">
                      <a:avLst/>
                    </a:prstGeom>
                    <a:noFill/>
                    <a:ln w="9525">
                      <a:noFill/>
                      <a:miter lim="800000"/>
                      <a:headEnd/>
                      <a:tailEnd/>
                    </a:ln>
                  </pic:spPr>
                </pic:pic>
              </a:graphicData>
            </a:graphic>
          </wp:inline>
        </w:drawing>
      </w:r>
    </w:p>
    <w:p w:rsidR="003119EA" w:rsidRDefault="003119EA" w:rsidP="003119EA"/>
    <w:p w:rsidR="003119EA" w:rsidRDefault="003119EA" w:rsidP="003119EA"/>
    <w:p w:rsidR="003119EA" w:rsidRPr="002C20D0" w:rsidRDefault="003119EA" w:rsidP="003119EA">
      <w:pPr>
        <w:rPr>
          <w:rFonts w:asciiTheme="minorHAnsi" w:hAnsiTheme="minorHAnsi"/>
        </w:rPr>
      </w:pPr>
      <w:r w:rsidRPr="002C20D0">
        <w:rPr>
          <w:rFonts w:asciiTheme="minorHAnsi" w:hAnsiTheme="minorHAnsi"/>
        </w:rPr>
        <w:t>Periodicity Example 4:</w:t>
      </w:r>
    </w:p>
    <w:p w:rsidR="003119EA" w:rsidRPr="002C20D0" w:rsidRDefault="003119EA" w:rsidP="003119EA">
      <w:pPr>
        <w:rPr>
          <w:rFonts w:asciiTheme="minorHAnsi" w:hAnsiTheme="minorHAnsi"/>
        </w:rPr>
      </w:pPr>
    </w:p>
    <w:p w:rsidR="003119EA" w:rsidRDefault="003119EA" w:rsidP="003119EA">
      <w:pPr>
        <w:rPr>
          <w:rFonts w:asciiTheme="minorHAnsi" w:hAnsiTheme="minorHAnsi"/>
        </w:rPr>
      </w:pPr>
      <w:r w:rsidRPr="002C20D0">
        <w:rPr>
          <w:rFonts w:asciiTheme="minorHAnsi" w:hAnsiTheme="minorHAnsi"/>
        </w:rPr>
        <w:t xml:space="preserve">The fourth example details a scenario </w:t>
      </w:r>
      <w:r>
        <w:rPr>
          <w:rFonts w:asciiTheme="minorHAnsi" w:hAnsiTheme="minorHAnsi"/>
        </w:rPr>
        <w:t xml:space="preserve">in </w:t>
      </w:r>
      <w:r w:rsidRPr="002C20D0">
        <w:rPr>
          <w:rFonts w:asciiTheme="minorHAnsi" w:hAnsiTheme="minorHAnsi"/>
        </w:rPr>
        <w:t xml:space="preserve">which the GVSDT anticipates would rarely occur.  </w:t>
      </w:r>
      <w:r>
        <w:rPr>
          <w:rFonts w:asciiTheme="minorHAnsi" w:hAnsiTheme="minorHAnsi"/>
        </w:rPr>
        <w:t xml:space="preserve">The first six years is similar to Examples 1and 2 – it is assumed that a unit is part of the 50% of the Generator Owners applicable unit’s gross MVA per Interconnection six years after regulatory or NERC B.O.T. adoption.  The example assumes that </w:t>
      </w:r>
      <w:r w:rsidRPr="002C20D0">
        <w:rPr>
          <w:rFonts w:asciiTheme="minorHAnsi" w:hAnsiTheme="minorHAnsi"/>
        </w:rPr>
        <w:t xml:space="preserve">the unit’s </w:t>
      </w:r>
      <w:r>
        <w:rPr>
          <w:rFonts w:asciiTheme="minorHAnsi" w:hAnsiTheme="minorHAnsi"/>
        </w:rPr>
        <w:t>R</w:t>
      </w:r>
      <w:r w:rsidRPr="002C20D0">
        <w:rPr>
          <w:rFonts w:asciiTheme="minorHAnsi" w:hAnsiTheme="minorHAnsi"/>
        </w:rPr>
        <w:t xml:space="preserve">eal </w:t>
      </w:r>
      <w:r>
        <w:rPr>
          <w:rFonts w:asciiTheme="minorHAnsi" w:hAnsiTheme="minorHAnsi"/>
        </w:rPr>
        <w:t>P</w:t>
      </w:r>
      <w:r w:rsidRPr="002C20D0">
        <w:rPr>
          <w:rFonts w:asciiTheme="minorHAnsi" w:hAnsiTheme="minorHAnsi"/>
        </w:rPr>
        <w:t xml:space="preserve">ower response </w:t>
      </w:r>
      <w:r>
        <w:rPr>
          <w:rFonts w:asciiTheme="minorHAnsi" w:hAnsiTheme="minorHAnsi"/>
        </w:rPr>
        <w:t>to a frequency excursion subject to the specification in Note 1 at the end of the Periodicity Table was captured and subsequently the model was verified and transmitted (along with verification documentation and data) to the Transmission Planner exactly on the effective date (Year 6).</w:t>
      </w:r>
    </w:p>
    <w:p w:rsidR="003119EA" w:rsidRDefault="003119EA" w:rsidP="003119EA">
      <w:pPr>
        <w:rPr>
          <w:rFonts w:asciiTheme="minorHAnsi" w:hAnsiTheme="minorHAnsi"/>
        </w:rPr>
      </w:pPr>
    </w:p>
    <w:p w:rsidR="003119EA" w:rsidRDefault="003119EA" w:rsidP="003119EA">
      <w:pPr>
        <w:rPr>
          <w:rFonts w:asciiTheme="minorHAnsi" w:hAnsiTheme="minorHAnsi"/>
        </w:rPr>
      </w:pPr>
      <w:r w:rsidRPr="002C20D0">
        <w:rPr>
          <w:rFonts w:asciiTheme="minorHAnsi" w:hAnsiTheme="minorHAnsi"/>
        </w:rPr>
        <w:t xml:space="preserve">However, the scenario assumes that </w:t>
      </w:r>
      <w:r>
        <w:rPr>
          <w:rFonts w:asciiTheme="minorHAnsi" w:hAnsiTheme="minorHAnsi"/>
        </w:rPr>
        <w:t>four</w:t>
      </w:r>
      <w:r w:rsidRPr="002C20D0">
        <w:rPr>
          <w:rFonts w:asciiTheme="minorHAnsi" w:hAnsiTheme="minorHAnsi"/>
        </w:rPr>
        <w:t xml:space="preserve"> years after the </w:t>
      </w:r>
      <w:r>
        <w:rPr>
          <w:rFonts w:asciiTheme="minorHAnsi" w:hAnsiTheme="minorHAnsi"/>
        </w:rPr>
        <w:t>transmittal of the model verification documentation and data for the first verification</w:t>
      </w:r>
      <w:r w:rsidRPr="002C20D0">
        <w:rPr>
          <w:rFonts w:asciiTheme="minorHAnsi" w:hAnsiTheme="minorHAnsi"/>
        </w:rPr>
        <w:t>, the Generator Owner performs an activity which changes the equipment response</w:t>
      </w:r>
      <w:r>
        <w:rPr>
          <w:rFonts w:asciiTheme="minorHAnsi" w:hAnsiTheme="minorHAnsi"/>
        </w:rPr>
        <w:t xml:space="preserve"> (Year 10)</w:t>
      </w:r>
      <w:r w:rsidRPr="002C20D0">
        <w:rPr>
          <w:rFonts w:asciiTheme="minorHAnsi" w:hAnsiTheme="minorHAnsi"/>
        </w:rPr>
        <w:t xml:space="preserve">.  As detailed in Requirement </w:t>
      </w:r>
      <w:r w:rsidR="0004026A">
        <w:rPr>
          <w:rFonts w:asciiTheme="minorHAnsi" w:hAnsiTheme="minorHAnsi"/>
        </w:rPr>
        <w:t>R</w:t>
      </w:r>
      <w:r w:rsidRPr="002C20D0">
        <w:rPr>
          <w:rFonts w:asciiTheme="minorHAnsi" w:hAnsiTheme="minorHAnsi"/>
        </w:rPr>
        <w:t>4, the Generator Owner has 180 days to determine if updated model data can be provided, or if the model needs to be re-verified.  The example timeline below assumes that later</w:t>
      </w:r>
      <w:r>
        <w:rPr>
          <w:rFonts w:asciiTheme="minorHAnsi" w:hAnsiTheme="minorHAnsi"/>
        </w:rPr>
        <w:t>;</w:t>
      </w:r>
      <w:r w:rsidRPr="002C20D0">
        <w:rPr>
          <w:rFonts w:asciiTheme="minorHAnsi" w:hAnsiTheme="minorHAnsi"/>
        </w:rPr>
        <w:t xml:space="preserve"> i.e., the Generator Owner submits a plan in 180 days to re-verify the model.  From that point, per the Periodicity Table, the Generator Owner begins to monitor for an appropriate ambient event while the unit is in a mode that it is expected to govern.  Once the ambient event has occurred, then the Generator Owner has an additional year to transmit the model and documentation to the Transmission Planner.  In this example, the ambient event with the unit in the proper operating mode occurred in t</w:t>
      </w:r>
      <w:r>
        <w:rPr>
          <w:rFonts w:asciiTheme="minorHAnsi" w:hAnsiTheme="minorHAnsi"/>
        </w:rPr>
        <w:t>wo</w:t>
      </w:r>
      <w:r w:rsidRPr="002C20D0">
        <w:rPr>
          <w:rFonts w:asciiTheme="minorHAnsi" w:hAnsiTheme="minorHAnsi"/>
        </w:rPr>
        <w:t xml:space="preserve"> years after the Generator Owner decided to verify the model (i.e., </w:t>
      </w:r>
      <w:r>
        <w:rPr>
          <w:rFonts w:asciiTheme="minorHAnsi" w:hAnsiTheme="minorHAnsi"/>
        </w:rPr>
        <w:t>Year 12</w:t>
      </w:r>
      <w:r w:rsidRPr="002C20D0">
        <w:rPr>
          <w:rFonts w:asciiTheme="minorHAnsi" w:hAnsiTheme="minorHAnsi"/>
        </w:rPr>
        <w:t>.5)</w:t>
      </w:r>
      <w:r>
        <w:rPr>
          <w:rFonts w:asciiTheme="minorHAnsi" w:hAnsiTheme="minorHAnsi"/>
        </w:rPr>
        <w:t xml:space="preserve">, </w:t>
      </w:r>
      <w:r w:rsidRPr="002C20D0">
        <w:rPr>
          <w:rFonts w:asciiTheme="minorHAnsi" w:hAnsiTheme="minorHAnsi"/>
        </w:rPr>
        <w:t>and the Generator Owner completed model verification and transmitted the results to the</w:t>
      </w:r>
      <w:r>
        <w:rPr>
          <w:rFonts w:asciiTheme="minorHAnsi" w:hAnsiTheme="minorHAnsi"/>
        </w:rPr>
        <w:t xml:space="preserve"> Transmission Planner at Year 13</w:t>
      </w:r>
      <w:r w:rsidRPr="002C20D0">
        <w:rPr>
          <w:rFonts w:asciiTheme="minorHAnsi" w:hAnsiTheme="minorHAnsi"/>
        </w:rPr>
        <w:t xml:space="preserve">.5.  </w:t>
      </w:r>
    </w:p>
    <w:p w:rsidR="003119EA" w:rsidRDefault="003119EA" w:rsidP="003119EA"/>
    <w:p w:rsidR="003119EA" w:rsidRDefault="003119EA" w:rsidP="003119EA"/>
    <w:p w:rsidR="003119EA" w:rsidRDefault="003119EA" w:rsidP="003119EA">
      <w:r w:rsidRPr="00C176C0">
        <w:rPr>
          <w:noProof/>
        </w:rPr>
        <w:drawing>
          <wp:inline distT="0" distB="0" distL="0" distR="0">
            <wp:extent cx="5496801" cy="4114800"/>
            <wp:effectExtent l="19050" t="0" r="8649"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5496801" cy="4114800"/>
                    </a:xfrm>
                    <a:prstGeom prst="rect">
                      <a:avLst/>
                    </a:prstGeom>
                    <a:noFill/>
                    <a:ln w="9525">
                      <a:noFill/>
                      <a:miter lim="800000"/>
                      <a:headEnd/>
                      <a:tailEnd/>
                    </a:ln>
                  </pic:spPr>
                </pic:pic>
              </a:graphicData>
            </a:graphic>
          </wp:inline>
        </w:drawing>
      </w:r>
    </w:p>
    <w:p w:rsidR="003119EA" w:rsidRDefault="003119EA" w:rsidP="003119EA"/>
    <w:p w:rsidR="003119EA" w:rsidRPr="00F13C4D" w:rsidRDefault="003119EA" w:rsidP="003119EA">
      <w:pPr>
        <w:pStyle w:val="FootnoteText"/>
        <w:spacing w:before="240" w:after="120"/>
        <w:rPr>
          <w:rFonts w:asciiTheme="minorHAnsi" w:hAnsiTheme="minorHAnsi"/>
          <w:b/>
          <w:i/>
          <w:sz w:val="24"/>
          <w:szCs w:val="24"/>
        </w:rPr>
      </w:pPr>
    </w:p>
    <w:p w:rsidR="003119EA" w:rsidRDefault="003119EA">
      <w:pPr>
        <w:rPr>
          <w:rFonts w:asciiTheme="minorHAnsi" w:hAnsiTheme="minorHAnsi"/>
          <w:b/>
        </w:rPr>
      </w:pPr>
      <w:r>
        <w:rPr>
          <w:rFonts w:asciiTheme="minorHAnsi" w:hAnsiTheme="minorHAnsi"/>
          <w:b/>
        </w:rPr>
        <w:br w:type="page"/>
      </w:r>
    </w:p>
    <w:p w:rsidR="00642700" w:rsidRPr="00786AD7" w:rsidRDefault="00642700" w:rsidP="004C1D41">
      <w:pPr>
        <w:rPr>
          <w:rStyle w:val="BoxText"/>
          <w:rFonts w:asciiTheme="minorHAnsi" w:eastAsiaTheme="majorEastAsia" w:hAnsiTheme="minorHAnsi"/>
          <w:sz w:val="24"/>
        </w:rPr>
      </w:pPr>
      <w:r w:rsidRPr="00786AD7">
        <w:rPr>
          <w:rFonts w:asciiTheme="minorHAnsi" w:hAnsiTheme="minorHAnsi"/>
          <w:b/>
        </w:rPr>
        <w:t xml:space="preserve">You do not have to answer all questions.  Enter All Comments in Simple Text Format.  </w:t>
      </w:r>
    </w:p>
    <w:p w:rsidR="00642700" w:rsidRPr="00786AD7" w:rsidRDefault="00642700" w:rsidP="00642700">
      <w:pPr>
        <w:pStyle w:val="FootnoteText"/>
        <w:spacing w:before="240" w:after="120"/>
        <w:rPr>
          <w:rFonts w:asciiTheme="minorHAnsi" w:hAnsiTheme="minorHAnsi"/>
          <w:i/>
          <w:sz w:val="24"/>
          <w:szCs w:val="24"/>
        </w:rPr>
      </w:pPr>
      <w:r w:rsidRPr="00786AD7">
        <w:rPr>
          <w:rStyle w:val="BoxText"/>
          <w:rFonts w:asciiTheme="minorHAnsi" w:eastAsiaTheme="majorEastAsia" w:hAnsiTheme="minorHAnsi"/>
          <w:i/>
          <w:sz w:val="24"/>
          <w:szCs w:val="24"/>
        </w:rPr>
        <w:t>Insert a “check” mark in the appropriate boxes by double-clicking the gray areas.</w:t>
      </w:r>
    </w:p>
    <w:p w:rsidR="00642700" w:rsidRPr="00786AD7" w:rsidRDefault="00642700" w:rsidP="00642700">
      <w:pPr>
        <w:pStyle w:val="Bullet"/>
        <w:numPr>
          <w:ilvl w:val="0"/>
          <w:numId w:val="19"/>
        </w:numPr>
        <w:tabs>
          <w:tab w:val="clear" w:pos="720"/>
          <w:tab w:val="num" w:pos="360"/>
        </w:tabs>
        <w:spacing w:after="120"/>
        <w:ind w:left="360"/>
        <w:rPr>
          <w:rFonts w:asciiTheme="minorHAnsi" w:hAnsiTheme="minorHAnsi"/>
          <w:b/>
          <w:sz w:val="24"/>
          <w:szCs w:val="24"/>
        </w:rPr>
      </w:pPr>
      <w:r w:rsidRPr="00786AD7">
        <w:rPr>
          <w:rFonts w:asciiTheme="minorHAnsi" w:hAnsiTheme="minorHAnsi" w:cs="Verdana"/>
          <w:b/>
          <w:sz w:val="24"/>
          <w:szCs w:val="24"/>
        </w:rPr>
        <w:t xml:space="preserve">The </w:t>
      </w:r>
      <w:r w:rsidR="00402B8E">
        <w:rPr>
          <w:rFonts w:asciiTheme="minorHAnsi" w:hAnsiTheme="minorHAnsi" w:cs="Verdana"/>
          <w:b/>
          <w:sz w:val="24"/>
          <w:szCs w:val="24"/>
        </w:rPr>
        <w:t>GV</w:t>
      </w:r>
      <w:r w:rsidRPr="00786AD7">
        <w:rPr>
          <w:rFonts w:asciiTheme="minorHAnsi" w:hAnsiTheme="minorHAnsi" w:cs="Verdana"/>
          <w:b/>
          <w:sz w:val="24"/>
          <w:szCs w:val="24"/>
        </w:rPr>
        <w:t xml:space="preserve">SDT has revised </w:t>
      </w:r>
      <w:r w:rsidR="001F49C8">
        <w:rPr>
          <w:rFonts w:asciiTheme="minorHAnsi" w:hAnsiTheme="minorHAnsi" w:cs="Verdana"/>
          <w:b/>
          <w:sz w:val="24"/>
          <w:szCs w:val="24"/>
        </w:rPr>
        <w:t>A</w:t>
      </w:r>
      <w:r w:rsidR="00FC381F">
        <w:rPr>
          <w:rFonts w:asciiTheme="minorHAnsi" w:hAnsiTheme="minorHAnsi" w:cs="Verdana"/>
          <w:b/>
          <w:sz w:val="24"/>
          <w:szCs w:val="24"/>
        </w:rPr>
        <w:t xml:space="preserve">ttachment 1 </w:t>
      </w:r>
      <w:r w:rsidR="001F49C8" w:rsidRPr="001F49C8">
        <w:rPr>
          <w:rFonts w:asciiTheme="minorHAnsi" w:hAnsiTheme="minorHAnsi" w:cs="Verdana"/>
          <w:b/>
          <w:sz w:val="24"/>
          <w:szCs w:val="24"/>
        </w:rPr>
        <w:t>to attempt to clarify that</w:t>
      </w:r>
      <w:r w:rsidR="001F49C8">
        <w:rPr>
          <w:rFonts w:asciiTheme="minorHAnsi" w:hAnsiTheme="minorHAnsi" w:cs="Verdana"/>
          <w:b/>
          <w:sz w:val="24"/>
          <w:szCs w:val="24"/>
        </w:rPr>
        <w:t>,</w:t>
      </w:r>
      <w:r w:rsidR="001F49C8" w:rsidRPr="001F49C8">
        <w:rPr>
          <w:rFonts w:asciiTheme="minorHAnsi" w:hAnsiTheme="minorHAnsi" w:cs="Verdana"/>
          <w:b/>
          <w:sz w:val="24"/>
          <w:szCs w:val="24"/>
        </w:rPr>
        <w:t xml:space="preserve"> for units that do not respond to frequency excursions, Requirement 2 is met with a written statement to that effect transmitted to the Transmission Planner. Units which respond to over-frequency would need to have verification performed.</w:t>
      </w:r>
      <w:r w:rsidR="001F49C8">
        <w:rPr>
          <w:rFonts w:asciiTheme="minorHAnsi" w:hAnsiTheme="minorHAnsi" w:cs="Verdana"/>
          <w:b/>
          <w:sz w:val="24"/>
          <w:szCs w:val="24"/>
        </w:rPr>
        <w:t xml:space="preserve">  </w:t>
      </w:r>
      <w:r w:rsidRPr="00786AD7">
        <w:rPr>
          <w:rFonts w:asciiTheme="minorHAnsi" w:hAnsiTheme="minorHAnsi" w:cs="Verdana"/>
          <w:b/>
          <w:sz w:val="24"/>
          <w:szCs w:val="24"/>
        </w:rPr>
        <w:t xml:space="preserve">Do you agree </w:t>
      </w:r>
      <w:r w:rsidR="00402B8E">
        <w:rPr>
          <w:rFonts w:asciiTheme="minorHAnsi" w:hAnsiTheme="minorHAnsi" w:cs="Verdana"/>
          <w:b/>
          <w:sz w:val="24"/>
          <w:szCs w:val="24"/>
        </w:rPr>
        <w:t>with this revision</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642700" w:rsidRPr="00786AD7" w:rsidRDefault="00E02174" w:rsidP="00642700">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642700"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642700" w:rsidRPr="00786AD7">
        <w:rPr>
          <w:rStyle w:val="BoxText"/>
          <w:rFonts w:asciiTheme="minorHAnsi" w:eastAsiaTheme="majorEastAsia" w:hAnsiTheme="minorHAnsi"/>
          <w:sz w:val="24"/>
        </w:rPr>
        <w:t xml:space="preserve"> Yes </w:t>
      </w:r>
    </w:p>
    <w:p w:rsidR="00642700" w:rsidRPr="00786AD7" w:rsidRDefault="00E02174" w:rsidP="00642700">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642700"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642700" w:rsidRPr="00786AD7">
        <w:rPr>
          <w:rStyle w:val="BoxText"/>
          <w:rFonts w:asciiTheme="minorHAnsi" w:eastAsiaTheme="majorEastAsia" w:hAnsiTheme="minorHAnsi"/>
          <w:sz w:val="24"/>
        </w:rPr>
        <w:t xml:space="preserve"> No </w:t>
      </w:r>
    </w:p>
    <w:p w:rsidR="00642700" w:rsidRPr="00786AD7" w:rsidRDefault="00642700" w:rsidP="00642700">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C7364B" w:rsidRPr="00C7364B" w:rsidRDefault="00C7364B" w:rsidP="001F49C8">
      <w:pPr>
        <w:pStyle w:val="ListBullet"/>
        <w:numPr>
          <w:ilvl w:val="0"/>
          <w:numId w:val="0"/>
        </w:numPr>
        <w:spacing w:after="120"/>
        <w:rPr>
          <w:rFonts w:asciiTheme="minorHAnsi" w:eastAsiaTheme="majorEastAsia" w:hAnsiTheme="minorHAnsi"/>
          <w:b/>
          <w:sz w:val="24"/>
          <w:szCs w:val="24"/>
        </w:rPr>
      </w:pPr>
    </w:p>
    <w:p w:rsidR="005A3A04" w:rsidRPr="00786AD7" w:rsidRDefault="005A3A04" w:rsidP="005A3A04">
      <w:pPr>
        <w:pStyle w:val="Bullet"/>
        <w:numPr>
          <w:ilvl w:val="0"/>
          <w:numId w:val="19"/>
        </w:numPr>
        <w:tabs>
          <w:tab w:val="clear" w:pos="720"/>
          <w:tab w:val="num" w:pos="360"/>
        </w:tabs>
        <w:spacing w:after="120"/>
        <w:ind w:left="360"/>
        <w:rPr>
          <w:rFonts w:asciiTheme="minorHAnsi" w:hAnsiTheme="minorHAnsi"/>
          <w:b/>
          <w:sz w:val="24"/>
          <w:szCs w:val="24"/>
        </w:rPr>
      </w:pPr>
      <w:r w:rsidRPr="00786AD7">
        <w:rPr>
          <w:rFonts w:asciiTheme="minorHAnsi" w:hAnsiTheme="minorHAnsi" w:cs="Verdana"/>
          <w:b/>
          <w:sz w:val="24"/>
          <w:szCs w:val="24"/>
        </w:rPr>
        <w:t xml:space="preserve">The </w:t>
      </w:r>
      <w:r>
        <w:rPr>
          <w:rFonts w:asciiTheme="minorHAnsi" w:hAnsiTheme="minorHAnsi" w:cs="Verdana"/>
          <w:b/>
          <w:sz w:val="24"/>
          <w:szCs w:val="24"/>
        </w:rPr>
        <w:t>GV</w:t>
      </w:r>
      <w:r w:rsidRPr="00786AD7">
        <w:rPr>
          <w:rFonts w:asciiTheme="minorHAnsi" w:hAnsiTheme="minorHAnsi" w:cs="Verdana"/>
          <w:b/>
          <w:sz w:val="24"/>
          <w:szCs w:val="24"/>
        </w:rPr>
        <w:t xml:space="preserve">SDT has revised </w:t>
      </w:r>
      <w:r>
        <w:rPr>
          <w:rFonts w:asciiTheme="minorHAnsi" w:hAnsiTheme="minorHAnsi" w:cs="Verdana"/>
          <w:b/>
          <w:sz w:val="24"/>
          <w:szCs w:val="24"/>
        </w:rPr>
        <w:t xml:space="preserve">Attachment 1 </w:t>
      </w:r>
      <w:r w:rsidRPr="001F49C8">
        <w:rPr>
          <w:rFonts w:asciiTheme="minorHAnsi" w:hAnsiTheme="minorHAnsi" w:cs="Verdana"/>
          <w:b/>
          <w:sz w:val="24"/>
          <w:szCs w:val="24"/>
        </w:rPr>
        <w:t xml:space="preserve">to </w:t>
      </w:r>
      <w:r>
        <w:rPr>
          <w:rFonts w:asciiTheme="minorHAnsi" w:hAnsiTheme="minorHAnsi" w:cs="Verdana"/>
          <w:b/>
          <w:sz w:val="24"/>
          <w:szCs w:val="24"/>
        </w:rPr>
        <w:t xml:space="preserve">make the periodicity requirements more clear.  </w:t>
      </w:r>
      <w:r w:rsidRPr="00786AD7">
        <w:rPr>
          <w:rFonts w:asciiTheme="minorHAnsi" w:hAnsiTheme="minorHAnsi" w:cs="Verdana"/>
          <w:b/>
          <w:sz w:val="24"/>
          <w:szCs w:val="24"/>
        </w:rPr>
        <w:t xml:space="preserve">Do you agree </w:t>
      </w:r>
      <w:r>
        <w:rPr>
          <w:rFonts w:asciiTheme="minorHAnsi" w:hAnsiTheme="minorHAnsi" w:cs="Verdana"/>
          <w:b/>
          <w:sz w:val="24"/>
          <w:szCs w:val="24"/>
        </w:rPr>
        <w:t>with these revisions</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5A3A04" w:rsidRPr="00786AD7" w:rsidRDefault="00E02174" w:rsidP="005A3A04">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5A3A04"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5A3A04" w:rsidRPr="00786AD7">
        <w:rPr>
          <w:rStyle w:val="BoxText"/>
          <w:rFonts w:asciiTheme="minorHAnsi" w:eastAsiaTheme="majorEastAsia" w:hAnsiTheme="minorHAnsi"/>
          <w:sz w:val="24"/>
        </w:rPr>
        <w:t xml:space="preserve"> Yes </w:t>
      </w:r>
    </w:p>
    <w:p w:rsidR="005A3A04" w:rsidRPr="00786AD7" w:rsidRDefault="00E02174" w:rsidP="005A3A04">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5A3A04"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5A3A04" w:rsidRPr="00786AD7">
        <w:rPr>
          <w:rStyle w:val="BoxText"/>
          <w:rFonts w:asciiTheme="minorHAnsi" w:eastAsiaTheme="majorEastAsia" w:hAnsiTheme="minorHAnsi"/>
          <w:sz w:val="24"/>
        </w:rPr>
        <w:t xml:space="preserve"> No </w:t>
      </w:r>
    </w:p>
    <w:p w:rsidR="005A3A04" w:rsidRPr="00786AD7" w:rsidRDefault="005A3A04" w:rsidP="005A3A04">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5A3A04" w:rsidRPr="00C7364B" w:rsidRDefault="005A3A04" w:rsidP="005A3A04">
      <w:pPr>
        <w:pStyle w:val="ListBullet"/>
        <w:numPr>
          <w:ilvl w:val="0"/>
          <w:numId w:val="0"/>
        </w:numPr>
        <w:spacing w:after="120"/>
        <w:rPr>
          <w:rFonts w:asciiTheme="minorHAnsi" w:eastAsiaTheme="majorEastAsia" w:hAnsiTheme="minorHAnsi"/>
          <w:b/>
          <w:sz w:val="24"/>
          <w:szCs w:val="24"/>
        </w:rPr>
      </w:pPr>
    </w:p>
    <w:p w:rsidR="00642700" w:rsidRPr="00786AD7" w:rsidRDefault="00642700" w:rsidP="00642700">
      <w:pPr>
        <w:pStyle w:val="ListBullet"/>
        <w:numPr>
          <w:ilvl w:val="0"/>
          <w:numId w:val="19"/>
        </w:numPr>
        <w:tabs>
          <w:tab w:val="clear" w:pos="720"/>
        </w:tabs>
        <w:spacing w:after="120"/>
        <w:ind w:left="360"/>
        <w:rPr>
          <w:rStyle w:val="BoxText"/>
          <w:rFonts w:asciiTheme="minorHAnsi" w:eastAsiaTheme="majorEastAsia" w:hAnsiTheme="minorHAnsi"/>
          <w:b/>
          <w:sz w:val="24"/>
          <w:szCs w:val="24"/>
        </w:rPr>
      </w:pPr>
      <w:r w:rsidRPr="00786AD7">
        <w:rPr>
          <w:rFonts w:asciiTheme="minorHAnsi" w:hAnsiTheme="minorHAnsi"/>
          <w:b/>
          <w:sz w:val="24"/>
          <w:szCs w:val="24"/>
        </w:rPr>
        <w:t xml:space="preserve">Do you have any other comment, not expressed in questions above, for the </w:t>
      </w:r>
      <w:r w:rsidR="00402B8E">
        <w:rPr>
          <w:rFonts w:asciiTheme="minorHAnsi" w:hAnsiTheme="minorHAnsi"/>
          <w:b/>
          <w:sz w:val="24"/>
          <w:szCs w:val="24"/>
        </w:rPr>
        <w:t>GV</w:t>
      </w:r>
      <w:r w:rsidRPr="00786AD7">
        <w:rPr>
          <w:rFonts w:asciiTheme="minorHAnsi" w:hAnsiTheme="minorHAnsi"/>
          <w:b/>
          <w:sz w:val="24"/>
          <w:szCs w:val="24"/>
        </w:rPr>
        <w:t xml:space="preserve">SDT? </w:t>
      </w:r>
    </w:p>
    <w:p w:rsidR="00642700" w:rsidRPr="00786AD7" w:rsidRDefault="00642700" w:rsidP="00642700">
      <w:pPr>
        <w:pStyle w:val="Header"/>
        <w:spacing w:before="60" w:after="60"/>
        <w:ind w:left="360"/>
        <w:rPr>
          <w:rStyle w:val="BoxText"/>
          <w:rFonts w:asciiTheme="minorHAnsi" w:eastAsiaTheme="majorEastAsia" w:hAnsiTheme="minorHAnsi"/>
          <w:sz w:val="24"/>
        </w:rPr>
      </w:pPr>
    </w:p>
    <w:p w:rsidR="00642700" w:rsidRPr="00786AD7" w:rsidRDefault="00642700" w:rsidP="00642700">
      <w:pPr>
        <w:ind w:left="360"/>
        <w:rPr>
          <w:rFonts w:asciiTheme="minorHAnsi" w:hAnsiTheme="minorHAnsi"/>
        </w:rPr>
      </w:pPr>
      <w:r w:rsidRPr="00786AD7">
        <w:rPr>
          <w:rStyle w:val="BoxText"/>
          <w:rFonts w:asciiTheme="minorHAnsi" w:eastAsiaTheme="majorEastAsia" w:hAnsiTheme="minorHAnsi"/>
          <w:sz w:val="24"/>
        </w:rPr>
        <w:t xml:space="preserve">Comments: </w:t>
      </w:r>
    </w:p>
    <w:p w:rsidR="00642700" w:rsidRDefault="00642700" w:rsidP="00642700">
      <w:pPr>
        <w:ind w:left="-90"/>
        <w:rPr>
          <w:rStyle w:val="BodyCopy"/>
        </w:rPr>
      </w:pPr>
    </w:p>
    <w:sectPr w:rsidR="00642700" w:rsidSect="00FF6BE1">
      <w:headerReference w:type="default" r:id="rId14"/>
      <w:footerReference w:type="default" r:id="rId15"/>
      <w:headerReference w:type="first" r:id="rId16"/>
      <w:footerReference w:type="first" r:id="rId17"/>
      <w:pgSz w:w="12240" w:h="15840" w:code="1"/>
      <w:pgMar w:top="2520" w:right="1080" w:bottom="144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115" w:rsidRDefault="00A44115">
      <w:r>
        <w:separator/>
      </w:r>
    </w:p>
  </w:endnote>
  <w:endnote w:type="continuationSeparator" w:id="0">
    <w:p w:rsidR="00A44115" w:rsidRDefault="00A441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115" w:rsidRPr="00AE1C18" w:rsidRDefault="00E02174" w:rsidP="00D228D6">
    <w:pPr>
      <w:rPr>
        <w:rFonts w:asciiTheme="minorHAnsi" w:hAnsiTheme="minorHAnsi"/>
        <w:b/>
        <w:color w:val="1B4C80"/>
        <w:sz w:val="18"/>
        <w:szCs w:val="18"/>
      </w:rPr>
    </w:pPr>
    <w:r w:rsidRPr="00E02174">
      <w:rPr>
        <w:rFonts w:asciiTheme="minorHAnsi" w:hAnsiTheme="minorHAnsi"/>
        <w:noProof/>
        <w:sz w:val="18"/>
        <w:szCs w:val="18"/>
      </w:rPr>
      <w:pict>
        <v:shapetype id="_x0000_t202" coordsize="21600,21600" o:spt="202" path="m,l,21600r21600,l21600,xe">
          <v:stroke joinstyle="miter"/>
          <v:path gradientshapeok="t" o:connecttype="rect"/>
        </v:shapetype>
        <v:shape id="Text Box 2" o:spid="_x0000_s14338" type="#_x0000_t202" style="position:absolute;margin-left:485.9pt;margin-top:-3.9pt;width:27pt;height:22.2pt;z-index:2516710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" filled="f" stroked="f">
          <v:textbox>
            <w:txbxContent>
              <w:p w:rsidR="00A44115" w:rsidRPr="00642700" w:rsidRDefault="00E02174" w:rsidP="00510652">
                <w:pPr>
                  <w:jc w:val="right"/>
                  <w:rPr>
                    <w:rFonts w:asciiTheme="minorHAnsi" w:hAnsiTheme="minorHAnsi"/>
                    <w:color w:val="1B4C80"/>
                    <w:sz w:val="18"/>
                    <w:szCs w:val="18"/>
                  </w:rPr>
                </w:pPr>
                <w:r w:rsidRPr="00642700">
                  <w:rPr>
                    <w:rStyle w:val="PageNumber"/>
                    <w:rFonts w:asciiTheme="minorHAnsi" w:hAnsiTheme="minorHAnsi"/>
                    <w:b/>
                    <w:color w:val="1B4C80"/>
                    <w:sz w:val="18"/>
                    <w:szCs w:val="18"/>
                  </w:rPr>
                  <w:fldChar w:fldCharType="begin"/>
                </w:r>
                <w:r w:rsidR="00A44115" w:rsidRPr="00642700">
                  <w:rPr>
                    <w:rStyle w:val="PageNumber"/>
                    <w:rFonts w:asciiTheme="minorHAnsi" w:hAnsiTheme="minorHAnsi"/>
                    <w:b/>
                    <w:color w:val="1B4C80"/>
                    <w:sz w:val="18"/>
                    <w:szCs w:val="18"/>
                  </w:rPr>
                  <w:instrText xml:space="preserve"> PAGE </w:instrText>
                </w:r>
                <w:r w:rsidRPr="00642700">
                  <w:rPr>
                    <w:rStyle w:val="PageNumber"/>
                    <w:rFonts w:asciiTheme="minorHAnsi" w:hAnsiTheme="minorHAnsi"/>
                    <w:b/>
                    <w:color w:val="1B4C80"/>
                    <w:sz w:val="18"/>
                    <w:szCs w:val="18"/>
                  </w:rPr>
                  <w:fldChar w:fldCharType="separate"/>
                </w:r>
                <w:r w:rsidR="003443D8">
                  <w:rPr>
                    <w:rStyle w:val="PageNumber"/>
                    <w:rFonts w:asciiTheme="minorHAnsi" w:hAnsiTheme="minorHAnsi"/>
                    <w:b/>
                    <w:noProof/>
                    <w:color w:val="1B4C80"/>
                    <w:sz w:val="18"/>
                    <w:szCs w:val="18"/>
                  </w:rPr>
                  <w:t>9</w:t>
                </w:r>
                <w:r w:rsidRPr="00642700">
                  <w:rPr>
                    <w:rStyle w:val="PageNumber"/>
                    <w:rFonts w:asciiTheme="minorHAnsi" w:hAnsiTheme="minorHAnsi"/>
                    <w:b/>
                    <w:color w:val="1B4C80"/>
                    <w:sz w:val="18"/>
                    <w:szCs w:val="18"/>
                  </w:rPr>
                  <w:fldChar w:fldCharType="end"/>
                </w:r>
              </w:p>
            </w:txbxContent>
          </v:textbox>
        </v:shape>
      </w:pict>
    </w:r>
    <w:r w:rsidR="00A44115" w:rsidRPr="00642700">
      <w:rPr>
        <w:rFonts w:asciiTheme="minorHAnsi" w:hAnsiTheme="minorHAnsi"/>
        <w:noProof/>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00A44115" w:rsidRPr="00642700">
      <w:rPr>
        <w:rFonts w:asciiTheme="minorHAnsi" w:hAnsiTheme="minorHAnsi"/>
        <w:b/>
        <w:color w:val="1B4C80"/>
        <w:sz w:val="18"/>
        <w:szCs w:val="18"/>
      </w:rPr>
      <w:t>Project 200</w:t>
    </w:r>
    <w:r w:rsidR="00A44115">
      <w:rPr>
        <w:rFonts w:asciiTheme="minorHAnsi" w:hAnsiTheme="minorHAnsi"/>
        <w:b/>
        <w:color w:val="1B4C80"/>
        <w:sz w:val="18"/>
        <w:szCs w:val="18"/>
      </w:rPr>
      <w:t>7</w:t>
    </w:r>
    <w:r w:rsidR="00A44115" w:rsidRPr="00642700">
      <w:rPr>
        <w:rFonts w:asciiTheme="minorHAnsi" w:hAnsiTheme="minorHAnsi"/>
        <w:b/>
        <w:color w:val="1B4C80"/>
        <w:sz w:val="18"/>
        <w:szCs w:val="18"/>
      </w:rPr>
      <w:t>-0</w:t>
    </w:r>
    <w:r w:rsidR="00A44115">
      <w:rPr>
        <w:rFonts w:asciiTheme="minorHAnsi" w:hAnsiTheme="minorHAnsi"/>
        <w:b/>
        <w:color w:val="1B4C80"/>
        <w:sz w:val="18"/>
        <w:szCs w:val="18"/>
      </w:rPr>
      <w:t>9</w:t>
    </w:r>
    <w:r w:rsidR="00A44115" w:rsidRPr="00642700">
      <w:rPr>
        <w:rFonts w:asciiTheme="minorHAnsi" w:hAnsiTheme="minorHAnsi"/>
        <w:b/>
        <w:color w:val="1B4C80"/>
        <w:sz w:val="18"/>
        <w:szCs w:val="18"/>
      </w:rPr>
      <w:t xml:space="preserve"> </w:t>
    </w:r>
    <w:r w:rsidR="00A44115">
      <w:rPr>
        <w:rFonts w:asciiTheme="minorHAnsi" w:hAnsiTheme="minorHAnsi"/>
        <w:b/>
        <w:color w:val="1B4C80"/>
        <w:sz w:val="18"/>
        <w:szCs w:val="18"/>
      </w:rPr>
      <w:t>Generator Verification</w:t>
    </w:r>
    <w:r w:rsidR="00A44115" w:rsidRPr="00642700">
      <w:rPr>
        <w:rFonts w:asciiTheme="minorHAnsi" w:hAnsiTheme="minorHAnsi"/>
        <w:b/>
        <w:color w:val="1B4C80"/>
        <w:sz w:val="18"/>
        <w:szCs w:val="18"/>
      </w:rPr>
      <w:br/>
    </w:r>
    <w:r w:rsidR="00A44115">
      <w:rPr>
        <w:rFonts w:asciiTheme="minorHAnsi" w:hAnsiTheme="minorHAnsi"/>
        <w:b/>
        <w:color w:val="1B4C80"/>
        <w:sz w:val="18"/>
        <w:szCs w:val="18"/>
      </w:rPr>
      <w:t>Comment Form – October 4, 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115" w:rsidRDefault="00A44115">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115" w:rsidRDefault="00A44115">
      <w:r>
        <w:separator/>
      </w:r>
    </w:p>
  </w:footnote>
  <w:footnote w:type="continuationSeparator" w:id="0">
    <w:p w:rsidR="00A44115" w:rsidRDefault="00A441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115" w:rsidRDefault="00A44115">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115" w:rsidRDefault="00A44115">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AC59F2"/>
    <w:lvl w:ilvl="0">
      <w:start w:val="1"/>
      <w:numFmt w:val="decimal"/>
      <w:lvlText w:val="%1."/>
      <w:lvlJc w:val="left"/>
      <w:pPr>
        <w:tabs>
          <w:tab w:val="num" w:pos="1800"/>
        </w:tabs>
        <w:ind w:left="1800" w:hanging="360"/>
      </w:pPr>
    </w:lvl>
  </w:abstractNum>
  <w:abstractNum w:abstractNumId="1">
    <w:nsid w:val="FFFFFF7D"/>
    <w:multiLevelType w:val="singleLevel"/>
    <w:tmpl w:val="4790ABE4"/>
    <w:lvl w:ilvl="0">
      <w:start w:val="1"/>
      <w:numFmt w:val="decimal"/>
      <w:lvlText w:val="%1."/>
      <w:lvlJc w:val="left"/>
      <w:pPr>
        <w:tabs>
          <w:tab w:val="num" w:pos="1440"/>
        </w:tabs>
        <w:ind w:left="1440" w:hanging="360"/>
      </w:pPr>
    </w:lvl>
  </w:abstractNum>
  <w:abstractNum w:abstractNumId="2">
    <w:nsid w:val="FFFFFF7E"/>
    <w:multiLevelType w:val="singleLevel"/>
    <w:tmpl w:val="FD427174"/>
    <w:lvl w:ilvl="0">
      <w:start w:val="1"/>
      <w:numFmt w:val="decimal"/>
      <w:lvlText w:val="%1."/>
      <w:lvlJc w:val="left"/>
      <w:pPr>
        <w:tabs>
          <w:tab w:val="num" w:pos="1080"/>
        </w:tabs>
        <w:ind w:left="1080" w:hanging="360"/>
      </w:pPr>
    </w:lvl>
  </w:abstractNum>
  <w:abstractNum w:abstractNumId="3">
    <w:nsid w:val="FFFFFF7F"/>
    <w:multiLevelType w:val="singleLevel"/>
    <w:tmpl w:val="91F4B930"/>
    <w:lvl w:ilvl="0">
      <w:start w:val="1"/>
      <w:numFmt w:val="decimal"/>
      <w:lvlText w:val="%1."/>
      <w:lvlJc w:val="left"/>
      <w:pPr>
        <w:tabs>
          <w:tab w:val="num" w:pos="720"/>
        </w:tabs>
        <w:ind w:left="720" w:hanging="360"/>
      </w:pPr>
    </w:lvl>
  </w:abstractNum>
  <w:abstractNum w:abstractNumId="4">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02E1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C8FC24"/>
    <w:lvl w:ilvl="0">
      <w:start w:val="1"/>
      <w:numFmt w:val="decimal"/>
      <w:lvlText w:val="%1."/>
      <w:lvlJc w:val="left"/>
      <w:pPr>
        <w:tabs>
          <w:tab w:val="num" w:pos="360"/>
        </w:tabs>
        <w:ind w:left="360" w:hanging="360"/>
      </w:pPr>
    </w:lvl>
  </w:abstractNum>
  <w:abstractNum w:abstractNumId="9">
    <w:nsid w:val="FFFFFF89"/>
    <w:multiLevelType w:val="singleLevel"/>
    <w:tmpl w:val="98F43CF6"/>
    <w:lvl w:ilvl="0">
      <w:start w:val="1"/>
      <w:numFmt w:val="bullet"/>
      <w:lvlText w:val=""/>
      <w:lvlJc w:val="left"/>
      <w:pPr>
        <w:tabs>
          <w:tab w:val="num" w:pos="360"/>
        </w:tabs>
        <w:ind w:left="360" w:hanging="360"/>
      </w:pPr>
      <w:rPr>
        <w:rFonts w:ascii="Symbol" w:hAnsi="Symbol" w:hint="default"/>
      </w:rPr>
    </w:lvl>
  </w:abstractNum>
  <w:abstractNum w:abstractNumId="10">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11">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B41249C"/>
    <w:multiLevelType w:val="hybridMultilevel"/>
    <w:tmpl w:val="182A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4">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7DC2619"/>
    <w:multiLevelType w:val="hybridMultilevel"/>
    <w:tmpl w:val="7C1A5892"/>
    <w:lvl w:ilvl="0" w:tplc="6012193E">
      <w:start w:val="1"/>
      <w:numFmt w:val="bullet"/>
      <w:lvlText w:val=""/>
      <w:lvlJc w:val="left"/>
      <w:pPr>
        <w:ind w:left="720" w:hanging="360"/>
      </w:pPr>
      <w:rPr>
        <w:rFonts w:ascii="Symbol" w:hAnsi="Symbol" w:hint="default"/>
      </w:rPr>
    </w:lvl>
    <w:lvl w:ilvl="1" w:tplc="BFA21F2E" w:tentative="1">
      <w:start w:val="1"/>
      <w:numFmt w:val="bullet"/>
      <w:lvlText w:val="o"/>
      <w:lvlJc w:val="left"/>
      <w:pPr>
        <w:ind w:left="1440" w:hanging="360"/>
      </w:pPr>
      <w:rPr>
        <w:rFonts w:ascii="Courier New" w:hAnsi="Courier New" w:cs="Courier New" w:hint="default"/>
      </w:rPr>
    </w:lvl>
    <w:lvl w:ilvl="2" w:tplc="7BA04F64" w:tentative="1">
      <w:start w:val="1"/>
      <w:numFmt w:val="bullet"/>
      <w:lvlText w:val=""/>
      <w:lvlJc w:val="left"/>
      <w:pPr>
        <w:ind w:left="2160" w:hanging="360"/>
      </w:pPr>
      <w:rPr>
        <w:rFonts w:ascii="Wingdings" w:hAnsi="Wingdings" w:hint="default"/>
      </w:rPr>
    </w:lvl>
    <w:lvl w:ilvl="3" w:tplc="FDB49B0E" w:tentative="1">
      <w:start w:val="1"/>
      <w:numFmt w:val="bullet"/>
      <w:lvlText w:val=""/>
      <w:lvlJc w:val="left"/>
      <w:pPr>
        <w:ind w:left="2880" w:hanging="360"/>
      </w:pPr>
      <w:rPr>
        <w:rFonts w:ascii="Symbol" w:hAnsi="Symbol" w:hint="default"/>
      </w:rPr>
    </w:lvl>
    <w:lvl w:ilvl="4" w:tplc="084E12E2" w:tentative="1">
      <w:start w:val="1"/>
      <w:numFmt w:val="bullet"/>
      <w:lvlText w:val="o"/>
      <w:lvlJc w:val="left"/>
      <w:pPr>
        <w:ind w:left="3600" w:hanging="360"/>
      </w:pPr>
      <w:rPr>
        <w:rFonts w:ascii="Courier New" w:hAnsi="Courier New" w:cs="Courier New" w:hint="default"/>
      </w:rPr>
    </w:lvl>
    <w:lvl w:ilvl="5" w:tplc="E19CB5B2" w:tentative="1">
      <w:start w:val="1"/>
      <w:numFmt w:val="bullet"/>
      <w:lvlText w:val=""/>
      <w:lvlJc w:val="left"/>
      <w:pPr>
        <w:ind w:left="4320" w:hanging="360"/>
      </w:pPr>
      <w:rPr>
        <w:rFonts w:ascii="Wingdings" w:hAnsi="Wingdings" w:hint="default"/>
      </w:rPr>
    </w:lvl>
    <w:lvl w:ilvl="6" w:tplc="0562C37A" w:tentative="1">
      <w:start w:val="1"/>
      <w:numFmt w:val="bullet"/>
      <w:lvlText w:val=""/>
      <w:lvlJc w:val="left"/>
      <w:pPr>
        <w:ind w:left="5040" w:hanging="360"/>
      </w:pPr>
      <w:rPr>
        <w:rFonts w:ascii="Symbol" w:hAnsi="Symbol" w:hint="default"/>
      </w:rPr>
    </w:lvl>
    <w:lvl w:ilvl="7" w:tplc="C990258E" w:tentative="1">
      <w:start w:val="1"/>
      <w:numFmt w:val="bullet"/>
      <w:lvlText w:val="o"/>
      <w:lvlJc w:val="left"/>
      <w:pPr>
        <w:ind w:left="5760" w:hanging="360"/>
      </w:pPr>
      <w:rPr>
        <w:rFonts w:ascii="Courier New" w:hAnsi="Courier New" w:cs="Courier New" w:hint="default"/>
      </w:rPr>
    </w:lvl>
    <w:lvl w:ilvl="8" w:tplc="0AF6E784" w:tentative="1">
      <w:start w:val="1"/>
      <w:numFmt w:val="bullet"/>
      <w:lvlText w:val=""/>
      <w:lvlJc w:val="left"/>
      <w:pPr>
        <w:ind w:left="6480" w:hanging="360"/>
      </w:pPr>
      <w:rPr>
        <w:rFonts w:ascii="Wingdings" w:hAnsi="Wingdings" w:hint="default"/>
      </w:rPr>
    </w:lvl>
  </w:abstractNum>
  <w:abstractNum w:abstractNumId="18">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0">
    <w:nsid w:val="783F4B0A"/>
    <w:multiLevelType w:val="singleLevel"/>
    <w:tmpl w:val="0409000F"/>
    <w:lvl w:ilvl="0">
      <w:start w:val="1"/>
      <w:numFmt w:val="decimal"/>
      <w:lvlText w:val="%1."/>
      <w:lvlJc w:val="left"/>
      <w:pPr>
        <w:tabs>
          <w:tab w:val="num" w:pos="720"/>
        </w:tabs>
        <w:ind w:left="720" w:hanging="360"/>
      </w:pPr>
    </w:lvl>
  </w:abstractNum>
  <w:num w:numId="1">
    <w:abstractNumId w:val="16"/>
  </w:num>
  <w:num w:numId="2">
    <w:abstractNumId w:val="11"/>
  </w:num>
  <w:num w:numId="3">
    <w:abstractNumId w:val="18"/>
  </w:num>
  <w:num w:numId="4">
    <w:abstractNumId w:val="14"/>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 w:numId="18">
    <w:abstractNumId w:val="13"/>
  </w:num>
  <w:num w:numId="19">
    <w:abstractNumId w:val="20"/>
  </w:num>
  <w:num w:numId="20">
    <w:abstractNumId w:val="12"/>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rsids>
    <w:rsidRoot w:val="001574EA"/>
    <w:rsid w:val="00011D42"/>
    <w:rsid w:val="000334DF"/>
    <w:rsid w:val="0004026A"/>
    <w:rsid w:val="000A70BC"/>
    <w:rsid w:val="000B0C54"/>
    <w:rsid w:val="000B36CB"/>
    <w:rsid w:val="000B6DF6"/>
    <w:rsid w:val="000C02D3"/>
    <w:rsid w:val="000D7162"/>
    <w:rsid w:val="000E3AB0"/>
    <w:rsid w:val="00106A45"/>
    <w:rsid w:val="00136931"/>
    <w:rsid w:val="001574EA"/>
    <w:rsid w:val="00163236"/>
    <w:rsid w:val="00174EE1"/>
    <w:rsid w:val="001C54EB"/>
    <w:rsid w:val="001E2BD0"/>
    <w:rsid w:val="001F49C8"/>
    <w:rsid w:val="00230A96"/>
    <w:rsid w:val="002322D4"/>
    <w:rsid w:val="00232578"/>
    <w:rsid w:val="00244BFB"/>
    <w:rsid w:val="002572A2"/>
    <w:rsid w:val="00270D94"/>
    <w:rsid w:val="00281A11"/>
    <w:rsid w:val="00283FB4"/>
    <w:rsid w:val="00286D8B"/>
    <w:rsid w:val="002B7217"/>
    <w:rsid w:val="003119EA"/>
    <w:rsid w:val="003233F4"/>
    <w:rsid w:val="003443D8"/>
    <w:rsid w:val="00345640"/>
    <w:rsid w:val="00366A96"/>
    <w:rsid w:val="00383ABC"/>
    <w:rsid w:val="0039275D"/>
    <w:rsid w:val="003E1C41"/>
    <w:rsid w:val="003E4346"/>
    <w:rsid w:val="00402B8E"/>
    <w:rsid w:val="00405347"/>
    <w:rsid w:val="004336BF"/>
    <w:rsid w:val="00444282"/>
    <w:rsid w:val="0044791E"/>
    <w:rsid w:val="004631BF"/>
    <w:rsid w:val="00467189"/>
    <w:rsid w:val="004800C7"/>
    <w:rsid w:val="00495E31"/>
    <w:rsid w:val="004B06FB"/>
    <w:rsid w:val="004B7DE3"/>
    <w:rsid w:val="004C1D41"/>
    <w:rsid w:val="004E7B5C"/>
    <w:rsid w:val="00510652"/>
    <w:rsid w:val="00530DE2"/>
    <w:rsid w:val="005316C6"/>
    <w:rsid w:val="005316F3"/>
    <w:rsid w:val="005366DE"/>
    <w:rsid w:val="0056292C"/>
    <w:rsid w:val="00573832"/>
    <w:rsid w:val="005A3A04"/>
    <w:rsid w:val="005A721A"/>
    <w:rsid w:val="00642700"/>
    <w:rsid w:val="0064397A"/>
    <w:rsid w:val="00652754"/>
    <w:rsid w:val="0069230E"/>
    <w:rsid w:val="00693477"/>
    <w:rsid w:val="00694CD1"/>
    <w:rsid w:val="006B3EC7"/>
    <w:rsid w:val="006C051A"/>
    <w:rsid w:val="006C1F78"/>
    <w:rsid w:val="0074626C"/>
    <w:rsid w:val="007748CE"/>
    <w:rsid w:val="00791651"/>
    <w:rsid w:val="007E1761"/>
    <w:rsid w:val="00804215"/>
    <w:rsid w:val="0082139F"/>
    <w:rsid w:val="008247C1"/>
    <w:rsid w:val="00863C4E"/>
    <w:rsid w:val="008A5FAD"/>
    <w:rsid w:val="008E444A"/>
    <w:rsid w:val="009E7DE2"/>
    <w:rsid w:val="00A26FA8"/>
    <w:rsid w:val="00A35DA7"/>
    <w:rsid w:val="00A44115"/>
    <w:rsid w:val="00A5234B"/>
    <w:rsid w:val="00AB767D"/>
    <w:rsid w:val="00AE1C18"/>
    <w:rsid w:val="00B375B5"/>
    <w:rsid w:val="00B6209F"/>
    <w:rsid w:val="00B653C7"/>
    <w:rsid w:val="00B90935"/>
    <w:rsid w:val="00BA34E0"/>
    <w:rsid w:val="00BA4995"/>
    <w:rsid w:val="00BE5580"/>
    <w:rsid w:val="00C3193C"/>
    <w:rsid w:val="00C7364B"/>
    <w:rsid w:val="00C84227"/>
    <w:rsid w:val="00C928AA"/>
    <w:rsid w:val="00CC7BE7"/>
    <w:rsid w:val="00D228D6"/>
    <w:rsid w:val="00D709D0"/>
    <w:rsid w:val="00D93CE9"/>
    <w:rsid w:val="00DA634C"/>
    <w:rsid w:val="00DB2982"/>
    <w:rsid w:val="00DB5DDC"/>
    <w:rsid w:val="00DB62EC"/>
    <w:rsid w:val="00E02174"/>
    <w:rsid w:val="00E23143"/>
    <w:rsid w:val="00E34036"/>
    <w:rsid w:val="00E64797"/>
    <w:rsid w:val="00EE4871"/>
    <w:rsid w:val="00EF2574"/>
    <w:rsid w:val="00F02E3D"/>
    <w:rsid w:val="00F228CB"/>
    <w:rsid w:val="00F86BB7"/>
    <w:rsid w:val="00FC1B1C"/>
    <w:rsid w:val="00FC381F"/>
    <w:rsid w:val="00FC7B36"/>
    <w:rsid w:val="00FF626B"/>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paragraph" w:styleId="ListParagraph">
    <w:name w:val="List Paragraph"/>
    <w:basedOn w:val="Normal"/>
    <w:uiPriority w:val="34"/>
    <w:qFormat/>
    <w:rsid w:val="00230A96"/>
    <w:pPr>
      <w:ind w:left="720"/>
      <w:contextualSpacing/>
    </w:pPr>
  </w:style>
  <w:style w:type="character" w:customStyle="1" w:styleId="BoxText">
    <w:name w:val="Box Text"/>
    <w:basedOn w:val="DefaultParagraphFont"/>
    <w:rsid w:val="00642700"/>
    <w:rPr>
      <w:rFonts w:ascii="Arial" w:hAnsi="Arial"/>
      <w:sz w:val="20"/>
    </w:rPr>
  </w:style>
  <w:style w:type="paragraph" w:customStyle="1" w:styleId="NormalTimes">
    <w:name w:val="Normal Times"/>
    <w:basedOn w:val="Normal"/>
    <w:rsid w:val="00642700"/>
    <w:pPr>
      <w:spacing w:after="240"/>
    </w:pPr>
    <w:rPr>
      <w:sz w:val="22"/>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uiPriority w:val="99"/>
    <w:semiHidden/>
    <w:rsid w:val="00642700"/>
    <w:pPr>
      <w:spacing w:after="240"/>
    </w:pPr>
    <w:rPr>
      <w:sz w:val="20"/>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
    <w:basedOn w:val="DefaultParagraphFont"/>
    <w:link w:val="FootnoteText"/>
    <w:semiHidden/>
    <w:rsid w:val="00642700"/>
  </w:style>
  <w:style w:type="paragraph" w:styleId="ListBullet">
    <w:name w:val="List Bullet"/>
    <w:basedOn w:val="Normal"/>
    <w:rsid w:val="00642700"/>
    <w:pPr>
      <w:numPr>
        <w:numId w:val="17"/>
      </w:numPr>
    </w:pPr>
    <w:rPr>
      <w:sz w:val="22"/>
      <w:szCs w:val="20"/>
    </w:rPr>
  </w:style>
  <w:style w:type="paragraph" w:customStyle="1" w:styleId="Bullet">
    <w:name w:val="Bullet"/>
    <w:basedOn w:val="Normal"/>
    <w:rsid w:val="00642700"/>
    <w:pPr>
      <w:numPr>
        <w:numId w:val="18"/>
      </w:numPr>
      <w:spacing w:before="120"/>
      <w:ind w:left="1080"/>
    </w:pPr>
    <w:rPr>
      <w:sz w:val="22"/>
      <w:szCs w:val="20"/>
    </w:rPr>
  </w:style>
  <w:style w:type="character" w:styleId="Hyperlink">
    <w:name w:val="Hyperlink"/>
    <w:basedOn w:val="DefaultParagraphFont"/>
    <w:uiPriority w:val="99"/>
    <w:unhideWhenUsed/>
    <w:rsid w:val="00DB2982"/>
    <w:rPr>
      <w:color w:val="0000FF" w:themeColor="hyperlink"/>
      <w:u w:val="single"/>
    </w:rPr>
  </w:style>
  <w:style w:type="character" w:styleId="FootnoteReference">
    <w:name w:val="footnote reference"/>
    <w:basedOn w:val="DefaultParagraphFont"/>
    <w:uiPriority w:val="99"/>
    <w:semiHidden/>
    <w:unhideWhenUsed/>
    <w:rsid w:val="00F228CB"/>
    <w:rPr>
      <w:vertAlign w:val="superscript"/>
    </w:rPr>
  </w:style>
  <w:style w:type="character" w:styleId="FollowedHyperlink">
    <w:name w:val="FollowedHyperlink"/>
    <w:basedOn w:val="DefaultParagraphFont"/>
    <w:uiPriority w:val="99"/>
    <w:semiHidden/>
    <w:unhideWhenUsed/>
    <w:rsid w:val="008247C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rc.net/nercsurvey/Survey.aspx?s=0a9a439eb5fe4b53a6416874be6ff18f" TargetMode="Externa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ephen.crutchfield@nerc.ne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7482E8DC013764898854487516D9DB4" ma:contentTypeVersion="32" ma:contentTypeDescription="Create a new document." ma:contentTypeScope="" ma:versionID="1c8cca7af8f5f8eb28ede38326db0d1e">
  <xsd:schema xmlns:xsd="http://www.w3.org/2001/XMLSchema" xmlns:xs="http://www.w3.org/2001/XMLSchema" xmlns:p="http://schemas.microsoft.com/office/2006/metadata/properties" xmlns:ns2="d255dc3e-053e-4b62-8283-68abfc61cdbb" targetNamespace="http://schemas.microsoft.com/office/2006/metadata/properties" ma:root="true" ma:fieldsID="bb3c16718e8e7ad80bf6664ab02920cd"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A7655F-5BFE-4E8D-BB31-D7E65C8C1CD7}"/>
</file>

<file path=customXml/itemProps2.xml><?xml version="1.0" encoding="utf-8"?>
<ds:datastoreItem xmlns:ds="http://schemas.openxmlformats.org/officeDocument/2006/customXml" ds:itemID="{0D036711-DEC1-4F15-BA8B-10530F1C4164}"/>
</file>

<file path=customXml/itemProps3.xml><?xml version="1.0" encoding="utf-8"?>
<ds:datastoreItem xmlns:ds="http://schemas.openxmlformats.org/officeDocument/2006/customXml" ds:itemID="{8B62B74B-A56F-4218-BA9A-90DFE1FF1314}"/>
</file>

<file path=customXml/itemProps4.xml><?xml version="1.0" encoding="utf-8"?>
<ds:datastoreItem xmlns:ds="http://schemas.openxmlformats.org/officeDocument/2006/customXml" ds:itemID="{F04AF27D-B87D-489F-B6EF-E3BECE6CE444}"/>
</file>

<file path=customXml/itemProps5.xml><?xml version="1.0" encoding="utf-8"?>
<ds:datastoreItem xmlns:ds="http://schemas.openxmlformats.org/officeDocument/2006/customXml" ds:itemID="{4F767928-2605-4295-AD8D-E01217A60146}"/>
</file>

<file path=docProps/app.xml><?xml version="1.0" encoding="utf-8"?>
<Properties xmlns="http://schemas.openxmlformats.org/officeDocument/2006/extended-properties" xmlns:vt="http://schemas.openxmlformats.org/officeDocument/2006/docPropsVTypes">
  <Template>Normal.dotm</Template>
  <TotalTime>1</TotalTime>
  <Pages>9</Pages>
  <Words>2292</Words>
  <Characters>12351</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14614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Spolar</dc:creator>
  <cp:lastModifiedBy>sandbergw</cp:lastModifiedBy>
  <cp:revision>5</cp:revision>
  <cp:lastPrinted>2011-03-01T17:03:00Z</cp:lastPrinted>
  <dcterms:created xsi:type="dcterms:W3CDTF">2012-09-27T23:58:00Z</dcterms:created>
  <dcterms:modified xsi:type="dcterms:W3CDTF">2012-09-28T08:51:00Z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_ReviewingToolsShownOnce">
    <vt:lpwstr/>
  </property>
  <property fmtid="{D5CDD505-2E9C-101B-9397-08002B2CF9AE}" pid="7" name="ContentTypeId">
    <vt:lpwstr>0x01010007482E8DC013764898854487516D9DB4</vt:lpwstr>
  </property>
  <property fmtid="{D5CDD505-2E9C-101B-9397-08002B2CF9AE}" pid="8" name="_dlc_DocIdItemGuid">
    <vt:lpwstr>556c679c-dec8-48fd-9232-b499808a1069</vt:lpwstr>
  </property>
</Properties>
</file>