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9C4" w:rsidRDefault="003C79C4" w:rsidP="00FF52F5">
      <w:pPr>
        <w:pStyle w:val="DocumentTitle"/>
        <w:spacing w:before="0"/>
        <w:rPr>
          <w:sz w:val="44"/>
          <w:szCs w:val="44"/>
        </w:rPr>
      </w:pPr>
      <w:bookmarkStart w:id="0" w:name="_Toc195946478"/>
    </w:p>
    <w:p w:rsidR="00AC5C4A" w:rsidRPr="00955EED" w:rsidRDefault="00FF4905" w:rsidP="00954A19">
      <w:pPr>
        <w:pStyle w:val="DocumentTitle"/>
        <w:spacing w:before="0"/>
        <w:ind w:left="-90"/>
        <w:rPr>
          <w:sz w:val="44"/>
          <w:szCs w:val="44"/>
        </w:rPr>
      </w:pPr>
      <w:r>
        <w:rPr>
          <w:sz w:val="44"/>
          <w:szCs w:val="44"/>
        </w:rPr>
        <w:t xml:space="preserve">Unofficial </w:t>
      </w:r>
      <w:r w:rsidR="00AC5C4A" w:rsidRPr="00955EED">
        <w:rPr>
          <w:sz w:val="44"/>
          <w:szCs w:val="44"/>
        </w:rPr>
        <w:t>Comment Form</w:t>
      </w:r>
      <w:bookmarkEnd w:id="0"/>
      <w:r w:rsidR="00AC5C4A" w:rsidRPr="00955EED">
        <w:rPr>
          <w:sz w:val="44"/>
          <w:szCs w:val="44"/>
        </w:rPr>
        <w:t xml:space="preserve"> </w:t>
      </w:r>
    </w:p>
    <w:p w:rsidR="00AC5C4A" w:rsidRPr="008B0BF6" w:rsidRDefault="00A404B3" w:rsidP="00954A19">
      <w:pPr>
        <w:pStyle w:val="DocumentSubtitle"/>
        <w:spacing w:after="0"/>
        <w:ind w:left="-90"/>
        <w:rPr>
          <w:szCs w:val="36"/>
        </w:rPr>
      </w:pPr>
      <w:r w:rsidRPr="008B0BF6">
        <w:rPr>
          <w:szCs w:val="36"/>
        </w:rPr>
        <w:t>Project 2007-17.2 Protection System Maintenance and</w:t>
      </w:r>
      <w:r w:rsidR="008B0BF6">
        <w:rPr>
          <w:szCs w:val="36"/>
        </w:rPr>
        <w:br/>
      </w:r>
      <w:r w:rsidRPr="008B0BF6">
        <w:rPr>
          <w:szCs w:val="36"/>
        </w:rPr>
        <w:t>Testing - Phase 2 (Reclosing Relays</w:t>
      </w:r>
      <w:proofErr w:type="gramStart"/>
      <w:r w:rsidRPr="008B0BF6">
        <w:rPr>
          <w:szCs w:val="36"/>
        </w:rPr>
        <w:t>)</w:t>
      </w:r>
      <w:proofErr w:type="gramEnd"/>
      <w:r w:rsidR="008B0BF6">
        <w:rPr>
          <w:szCs w:val="36"/>
        </w:rPr>
        <w:br/>
        <w:t>2</w:t>
      </w:r>
      <w:r w:rsidR="008B0BF6" w:rsidRPr="008B0BF6">
        <w:rPr>
          <w:szCs w:val="36"/>
          <w:vertAlign w:val="superscript"/>
        </w:rPr>
        <w:t>nd</w:t>
      </w:r>
      <w:r w:rsidR="008B0BF6">
        <w:rPr>
          <w:szCs w:val="36"/>
        </w:rPr>
        <w:t xml:space="preserve"> Draft of PRC-005-3</w:t>
      </w:r>
    </w:p>
    <w:p w:rsidR="00AC5C4A" w:rsidRPr="00687867" w:rsidRDefault="00AC5C4A" w:rsidP="00954A19">
      <w:pPr>
        <w:pStyle w:val="Heading"/>
        <w:spacing w:before="0" w:after="0"/>
        <w:ind w:left="-90"/>
        <w:rPr>
          <w:sz w:val="24"/>
          <w:szCs w:val="24"/>
        </w:rPr>
      </w:pPr>
      <w:bookmarkStart w:id="1" w:name="_Toc195946480"/>
    </w:p>
    <w:bookmarkEnd w:id="1"/>
    <w:p w:rsidR="00AC5C4A" w:rsidRDefault="00AC5C4A" w:rsidP="00954A19">
      <w:pPr>
        <w:ind w:left="-90"/>
        <w:rPr>
          <w:rFonts w:asciiTheme="minorHAnsi" w:hAnsiTheme="minorHAnsi"/>
        </w:rPr>
      </w:pPr>
      <w:r w:rsidRPr="004B1AE0">
        <w:rPr>
          <w:rFonts w:asciiTheme="minorHAnsi" w:hAnsiTheme="minorHAnsi"/>
        </w:rPr>
        <w:t xml:space="preserve">Please </w:t>
      </w:r>
      <w:r w:rsidRPr="004B1AE0">
        <w:rPr>
          <w:rFonts w:asciiTheme="minorHAnsi" w:hAnsiTheme="minorHAnsi"/>
          <w:b/>
          <w:color w:val="FF0000"/>
        </w:rPr>
        <w:t>DO NOT</w:t>
      </w:r>
      <w:r w:rsidRPr="004B1AE0">
        <w:rPr>
          <w:rFonts w:asciiTheme="minorHAnsi" w:hAnsiTheme="minorHAnsi"/>
        </w:rPr>
        <w:t xml:space="preserve"> </w:t>
      </w:r>
      <w:proofErr w:type="gramStart"/>
      <w:r w:rsidRPr="004B1AE0">
        <w:rPr>
          <w:rFonts w:asciiTheme="minorHAnsi" w:hAnsiTheme="minorHAnsi"/>
        </w:rPr>
        <w:t>use</w:t>
      </w:r>
      <w:proofErr w:type="gramEnd"/>
      <w:r w:rsidRPr="004B1AE0">
        <w:rPr>
          <w:rFonts w:asciiTheme="minorHAnsi" w:hAnsiTheme="minorHAnsi"/>
        </w:rPr>
        <w:t xml:space="preserve"> this form to submit comments</w:t>
      </w:r>
      <w:r w:rsidR="008B5101">
        <w:rPr>
          <w:rFonts w:asciiTheme="minorHAnsi" w:hAnsiTheme="minorHAnsi"/>
        </w:rPr>
        <w:t xml:space="preserve">. Please use the </w:t>
      </w:r>
      <w:hyperlink r:id="rId8" w:history="1">
        <w:r w:rsidR="008B5101" w:rsidRPr="008B5101">
          <w:rPr>
            <w:rStyle w:val="Hyperlink"/>
            <w:rFonts w:asciiTheme="minorHAnsi" w:hAnsiTheme="minorHAnsi"/>
          </w:rPr>
          <w:t>electronic form</w:t>
        </w:r>
      </w:hyperlink>
      <w:r w:rsidR="008B5101">
        <w:rPr>
          <w:rFonts w:asciiTheme="minorHAnsi" w:hAnsiTheme="minorHAnsi"/>
        </w:rPr>
        <w:t xml:space="preserve"> to submit comments</w:t>
      </w:r>
      <w:r w:rsidRPr="004B1AE0">
        <w:rPr>
          <w:rFonts w:asciiTheme="minorHAnsi" w:hAnsiTheme="minorHAnsi"/>
        </w:rPr>
        <w:t xml:space="preserve"> on the </w:t>
      </w:r>
      <w:r w:rsidR="005006B9">
        <w:rPr>
          <w:rFonts w:asciiTheme="minorHAnsi" w:hAnsiTheme="minorHAnsi"/>
        </w:rPr>
        <w:t>2nd</w:t>
      </w:r>
      <w:r w:rsidR="005006B9" w:rsidRPr="004B1AE0">
        <w:rPr>
          <w:rFonts w:asciiTheme="minorHAnsi" w:hAnsiTheme="minorHAnsi"/>
        </w:rPr>
        <w:t xml:space="preserve"> </w:t>
      </w:r>
      <w:r w:rsidRPr="004B1AE0">
        <w:rPr>
          <w:rFonts w:asciiTheme="minorHAnsi" w:hAnsiTheme="minorHAnsi"/>
        </w:rPr>
        <w:t xml:space="preserve">draft of </w:t>
      </w:r>
      <w:r w:rsidR="000F083E">
        <w:rPr>
          <w:rFonts w:asciiTheme="minorHAnsi" w:hAnsiTheme="minorHAnsi"/>
        </w:rPr>
        <w:t xml:space="preserve">reliability </w:t>
      </w:r>
      <w:r w:rsidRPr="004B1AE0">
        <w:rPr>
          <w:rFonts w:asciiTheme="minorHAnsi" w:hAnsiTheme="minorHAnsi"/>
        </w:rPr>
        <w:t xml:space="preserve">standard </w:t>
      </w:r>
      <w:r w:rsidR="000F083E" w:rsidRPr="000F083E">
        <w:rPr>
          <w:rFonts w:asciiTheme="minorHAnsi" w:hAnsiTheme="minorHAnsi"/>
        </w:rPr>
        <w:t>PRC-005-3 — Protection System and Automatic Reclosing Maintenance</w:t>
      </w:r>
      <w:r w:rsidRPr="004B1AE0">
        <w:rPr>
          <w:rFonts w:asciiTheme="minorHAnsi" w:hAnsiTheme="minorHAnsi"/>
        </w:rPr>
        <w:t>.  Comments must be submitted by</w:t>
      </w:r>
      <w:r w:rsidR="003F1A24">
        <w:rPr>
          <w:rFonts w:asciiTheme="minorHAnsi" w:hAnsiTheme="minorHAnsi"/>
        </w:rPr>
        <w:t xml:space="preserve"> 8:00 p.m. Eastern</w:t>
      </w:r>
      <w:r w:rsidRPr="004B1AE0">
        <w:rPr>
          <w:rFonts w:asciiTheme="minorHAnsi" w:hAnsiTheme="minorHAnsi"/>
          <w:color w:val="FF0000"/>
        </w:rPr>
        <w:t xml:space="preserve"> </w:t>
      </w:r>
      <w:r w:rsidR="00F0550C">
        <w:rPr>
          <w:rFonts w:asciiTheme="minorHAnsi" w:hAnsiTheme="minorHAnsi"/>
          <w:b/>
          <w:color w:val="FF0000"/>
        </w:rPr>
        <w:t>Friday</w:t>
      </w:r>
      <w:r w:rsidR="000648C1">
        <w:rPr>
          <w:rFonts w:asciiTheme="minorHAnsi" w:hAnsiTheme="minorHAnsi"/>
          <w:b/>
          <w:color w:val="FF0000"/>
        </w:rPr>
        <w:t>, August 2</w:t>
      </w:r>
      <w:r w:rsidR="00F0550C">
        <w:rPr>
          <w:rFonts w:asciiTheme="minorHAnsi" w:hAnsiTheme="minorHAnsi"/>
          <w:b/>
          <w:color w:val="FF0000"/>
        </w:rPr>
        <w:t>3</w:t>
      </w:r>
      <w:r w:rsidR="000648C1">
        <w:rPr>
          <w:rFonts w:asciiTheme="minorHAnsi" w:hAnsiTheme="minorHAnsi"/>
          <w:b/>
          <w:color w:val="FF0000"/>
        </w:rPr>
        <w:t>, 2013</w:t>
      </w:r>
      <w:r w:rsidRPr="004B1AE0">
        <w:rPr>
          <w:rFonts w:asciiTheme="minorHAnsi" w:hAnsiTheme="minorHAnsi"/>
        </w:rPr>
        <w:t xml:space="preserve">.  If you have questions please contact </w:t>
      </w:r>
      <w:hyperlink r:id="rId9" w:history="1">
        <w:r w:rsidRPr="000C53AC">
          <w:rPr>
            <w:rStyle w:val="Hyperlink"/>
            <w:rFonts w:asciiTheme="minorHAnsi" w:hAnsiTheme="minorHAnsi"/>
          </w:rPr>
          <w:t>Al McMeekin</w:t>
        </w:r>
      </w:hyperlink>
      <w:r w:rsidRPr="004B1AE0">
        <w:rPr>
          <w:rFonts w:asciiTheme="minorHAnsi" w:hAnsiTheme="minorHAnsi"/>
        </w:rPr>
        <w:t xml:space="preserve"> or by telephone at 803-530-1963.</w:t>
      </w:r>
    </w:p>
    <w:p w:rsidR="008B5101" w:rsidRDefault="008B5101" w:rsidP="00954A19">
      <w:pPr>
        <w:ind w:left="-90"/>
        <w:rPr>
          <w:rFonts w:asciiTheme="minorHAnsi" w:hAnsiTheme="minorHAnsi"/>
        </w:rPr>
      </w:pPr>
    </w:p>
    <w:p w:rsidR="008B0BF6" w:rsidRPr="008B0BF6" w:rsidRDefault="008B0BF6" w:rsidP="00954A19">
      <w:pPr>
        <w:ind w:left="-90"/>
        <w:rPr>
          <w:rFonts w:asciiTheme="minorHAnsi" w:hAnsiTheme="minorHAnsi"/>
        </w:rPr>
      </w:pPr>
      <w:r w:rsidRPr="008B0BF6">
        <w:rPr>
          <w:rFonts w:asciiTheme="minorHAnsi" w:hAnsiTheme="minorHAnsi"/>
        </w:rPr>
        <w:t xml:space="preserve">The project page may be accessed by </w:t>
      </w:r>
      <w:hyperlink r:id="rId10" w:history="1">
        <w:r w:rsidRPr="008B0BF6">
          <w:rPr>
            <w:rStyle w:val="Hyperlink"/>
            <w:rFonts w:asciiTheme="minorHAnsi" w:hAnsiTheme="minorHAnsi"/>
          </w:rPr>
          <w:t>clicking here</w:t>
        </w:r>
      </w:hyperlink>
      <w:r w:rsidRPr="008B0BF6">
        <w:rPr>
          <w:rFonts w:asciiTheme="minorHAnsi" w:hAnsiTheme="minorHAnsi"/>
        </w:rPr>
        <w:t>.</w:t>
      </w:r>
    </w:p>
    <w:p w:rsidR="009F5B4C" w:rsidRDefault="009F5B4C" w:rsidP="00954A19">
      <w:pPr>
        <w:ind w:left="-90"/>
        <w:rPr>
          <w:rFonts w:asciiTheme="minorHAnsi" w:hAnsiTheme="minorHAnsi"/>
          <w:sz w:val="16"/>
          <w:szCs w:val="16"/>
        </w:rPr>
      </w:pPr>
    </w:p>
    <w:p w:rsidR="00317C66" w:rsidRPr="009F5B4C" w:rsidRDefault="00317C66" w:rsidP="00954A19">
      <w:pPr>
        <w:ind w:left="-90"/>
        <w:rPr>
          <w:rFonts w:asciiTheme="minorHAnsi" w:hAnsiTheme="minorHAnsi"/>
          <w:sz w:val="16"/>
          <w:szCs w:val="16"/>
        </w:rPr>
      </w:pPr>
    </w:p>
    <w:p w:rsidR="00AC5C4A" w:rsidRPr="000366B2" w:rsidRDefault="00AC5C4A" w:rsidP="00954A19">
      <w:pPr>
        <w:ind w:left="-90"/>
        <w:rPr>
          <w:rFonts w:ascii="Tahoma" w:hAnsi="Tahoma" w:cs="Tahoma"/>
          <w:sz w:val="22"/>
          <w:szCs w:val="22"/>
        </w:rPr>
      </w:pPr>
      <w:r w:rsidRPr="000366B2">
        <w:rPr>
          <w:rFonts w:ascii="Tahoma" w:hAnsi="Tahoma" w:cs="Tahoma"/>
          <w:b/>
          <w:sz w:val="22"/>
          <w:szCs w:val="22"/>
        </w:rPr>
        <w:t>Background Information:</w:t>
      </w:r>
    </w:p>
    <w:p w:rsidR="009F5B4C" w:rsidRPr="009F5B4C" w:rsidRDefault="009F5B4C" w:rsidP="00954A19">
      <w:pPr>
        <w:pStyle w:val="FootnoteText"/>
        <w:tabs>
          <w:tab w:val="left" w:pos="90"/>
          <w:tab w:val="left" w:pos="10170"/>
        </w:tabs>
        <w:ind w:left="-90"/>
        <w:rPr>
          <w:rFonts w:asciiTheme="minorHAnsi" w:hAnsiTheme="minorHAnsi"/>
          <w:sz w:val="24"/>
          <w:szCs w:val="24"/>
        </w:rPr>
      </w:pPr>
      <w:r w:rsidRPr="009F5B4C">
        <w:rPr>
          <w:rFonts w:asciiTheme="minorHAnsi" w:hAnsiTheme="minorHAnsi"/>
          <w:sz w:val="24"/>
          <w:szCs w:val="24"/>
        </w:rPr>
        <w:t>On February 3, 2012, the Federal Energy Regulatory Commission (FERC) issued Order No. 758 approving an interpretation of NERC Reliability Standard PRC</w:t>
      </w:r>
      <w:r w:rsidRPr="009F5B4C">
        <w:rPr>
          <w:rFonts w:asciiTheme="minorHAnsi" w:hAnsiTheme="minorHAnsi" w:cs="Cambria Math"/>
          <w:sz w:val="24"/>
          <w:szCs w:val="24"/>
        </w:rPr>
        <w:t>‐</w:t>
      </w:r>
      <w:r w:rsidRPr="009F5B4C">
        <w:rPr>
          <w:rFonts w:asciiTheme="minorHAnsi" w:hAnsiTheme="minorHAnsi"/>
          <w:sz w:val="24"/>
          <w:szCs w:val="24"/>
        </w:rPr>
        <w:t>005</w:t>
      </w:r>
      <w:r w:rsidRPr="009F5B4C">
        <w:rPr>
          <w:rFonts w:asciiTheme="minorHAnsi" w:hAnsiTheme="minorHAnsi" w:cs="Cambria Math"/>
          <w:sz w:val="24"/>
          <w:szCs w:val="24"/>
        </w:rPr>
        <w:t>‐</w:t>
      </w:r>
      <w:r w:rsidRPr="009F5B4C">
        <w:rPr>
          <w:rFonts w:asciiTheme="minorHAnsi" w:hAnsiTheme="minorHAnsi"/>
          <w:sz w:val="24"/>
          <w:szCs w:val="24"/>
        </w:rPr>
        <w:t>1, Transmission and Generation Protection System Maintenance and Testing. In addition to approving the interpretation, the Commission directed that concerns identified in the preceding Notice of Proposed Rulemaking (NOPR) be addressed within the reinitiated PRC</w:t>
      </w:r>
      <w:r w:rsidRPr="009F5B4C">
        <w:rPr>
          <w:rFonts w:asciiTheme="minorHAnsi" w:hAnsiTheme="minorHAnsi" w:cs="Cambria Math"/>
          <w:sz w:val="24"/>
          <w:szCs w:val="24"/>
        </w:rPr>
        <w:t>‐</w:t>
      </w:r>
      <w:r w:rsidRPr="009F5B4C">
        <w:rPr>
          <w:rFonts w:asciiTheme="minorHAnsi" w:hAnsiTheme="minorHAnsi"/>
          <w:sz w:val="24"/>
          <w:szCs w:val="24"/>
        </w:rPr>
        <w:t>005 revisions. The concerns raised in the NOPR pertain to automatic reclosing (autoreclosing) relays that are either “used in coordination with a Protection System to achieve or meet system performance requirements established in other Commission</w:t>
      </w:r>
      <w:r w:rsidRPr="009F5B4C">
        <w:rPr>
          <w:rFonts w:asciiTheme="minorHAnsi" w:hAnsiTheme="minorHAnsi" w:cs="Cambria Math"/>
          <w:sz w:val="24"/>
          <w:szCs w:val="24"/>
        </w:rPr>
        <w:t>‐</w:t>
      </w:r>
      <w:r w:rsidRPr="009F5B4C">
        <w:rPr>
          <w:rFonts w:asciiTheme="minorHAnsi" w:hAnsiTheme="minorHAnsi"/>
          <w:sz w:val="24"/>
          <w:szCs w:val="24"/>
        </w:rPr>
        <w:t>approved Reliability Standards, or can exacerbate fault conditions when not properly maintained and coordinated,” in which case “excluding the maintenance and testing of these reclosing relays will result in a gap in the maintenance and testing of relays affecting the reliability of the Bulk</w:t>
      </w:r>
      <w:r w:rsidRPr="009F5B4C">
        <w:rPr>
          <w:rFonts w:asciiTheme="minorHAnsi" w:hAnsiTheme="minorHAnsi" w:cs="Cambria Math"/>
          <w:sz w:val="24"/>
          <w:szCs w:val="24"/>
        </w:rPr>
        <w:t>‐</w:t>
      </w:r>
      <w:r w:rsidRPr="009F5B4C">
        <w:rPr>
          <w:rFonts w:asciiTheme="minorHAnsi" w:hAnsiTheme="minorHAnsi"/>
          <w:sz w:val="24"/>
          <w:szCs w:val="24"/>
        </w:rPr>
        <w:t>Power System.”  To address these concerns, the Commission concludes that “specific requirements or selection criteria should be used to identify reclosing relays that affect the reliability of the Bulk</w:t>
      </w:r>
      <w:r w:rsidRPr="009F5B4C">
        <w:rPr>
          <w:rFonts w:asciiTheme="minorHAnsi" w:hAnsiTheme="minorHAnsi" w:cs="Cambria Math"/>
          <w:sz w:val="24"/>
          <w:szCs w:val="24"/>
        </w:rPr>
        <w:t>‐</w:t>
      </w:r>
      <w:r w:rsidRPr="009F5B4C">
        <w:rPr>
          <w:rFonts w:asciiTheme="minorHAnsi" w:hAnsiTheme="minorHAnsi"/>
          <w:sz w:val="24"/>
          <w:szCs w:val="24"/>
        </w:rPr>
        <w:t>Power System.”</w:t>
      </w:r>
    </w:p>
    <w:p w:rsidR="003C79C4" w:rsidRDefault="009F5B4C" w:rsidP="00954A19">
      <w:pPr>
        <w:pStyle w:val="FootnoteText"/>
        <w:tabs>
          <w:tab w:val="left" w:pos="90"/>
          <w:tab w:val="left" w:pos="10170"/>
        </w:tabs>
        <w:spacing w:before="120"/>
        <w:ind w:left="-90"/>
        <w:rPr>
          <w:rFonts w:asciiTheme="minorHAnsi" w:hAnsiTheme="minorHAnsi"/>
          <w:sz w:val="24"/>
          <w:szCs w:val="24"/>
        </w:rPr>
        <w:sectPr w:rsidR="003C79C4" w:rsidSect="00A81D53">
          <w:headerReference w:type="default" r:id="rId11"/>
          <w:footerReference w:type="default" r:id="rId12"/>
          <w:headerReference w:type="first" r:id="rId13"/>
          <w:footerReference w:type="first" r:id="rId14"/>
          <w:pgSz w:w="12240" w:h="15840" w:code="1"/>
          <w:pgMar w:top="2160" w:right="1080" w:bottom="1440" w:left="1080" w:header="720" w:footer="432" w:gutter="0"/>
          <w:cols w:space="720"/>
          <w:docGrid w:linePitch="360"/>
        </w:sectPr>
      </w:pPr>
      <w:r w:rsidRPr="009F5B4C">
        <w:rPr>
          <w:rFonts w:asciiTheme="minorHAnsi" w:hAnsiTheme="minorHAnsi"/>
          <w:sz w:val="24"/>
          <w:szCs w:val="24"/>
        </w:rPr>
        <w:t>In response to Order No. 758, the Protection System Maintenance and Testing Standard Drafting Team (SDT) drafted a Standard Authorization Request (SAR) to modify PRC-005 to include the maintenance and testing of reclosing relays that can affect the reliable operation of the Bulk-Power System. On May 10, 2012, the NERC Standards Committee (SC) accepted the SAR and authorized that it be posted for information only along with the 3rd draft of PRC-005-2. The NERC SC noted that PRC-005-2 was in the final stages of the development process, having passed a successive ballot with 79 percent approval on June 27, 2012 and was scheduled to be presented for approval at the November NERC Board of Trustees meeting. Consequently, in recognition of the consensus achieved, the NERC SC determined that the drafting team should complete the development of PRC-005-2 and immediately thereafter begin work on PRC-005-3 which would reflect the necessary revisions to address reclosing relays.</w:t>
      </w:r>
    </w:p>
    <w:p w:rsidR="009F5B4C" w:rsidRPr="009F5B4C" w:rsidRDefault="009F5B4C" w:rsidP="00954A19">
      <w:pPr>
        <w:pStyle w:val="FootnoteText"/>
        <w:tabs>
          <w:tab w:val="left" w:pos="90"/>
          <w:tab w:val="left" w:pos="10170"/>
        </w:tabs>
        <w:spacing w:before="120"/>
        <w:ind w:left="-90"/>
        <w:rPr>
          <w:rFonts w:asciiTheme="minorHAnsi" w:hAnsiTheme="minorHAnsi"/>
          <w:sz w:val="24"/>
          <w:szCs w:val="24"/>
        </w:rPr>
      </w:pPr>
      <w:r w:rsidRPr="009F5B4C">
        <w:rPr>
          <w:rFonts w:asciiTheme="minorHAnsi" w:hAnsiTheme="minorHAnsi"/>
          <w:sz w:val="24"/>
          <w:szCs w:val="24"/>
        </w:rPr>
        <w:lastRenderedPageBreak/>
        <w:t>The SDT also requested the NERC Planning Committee (PC) provide the technical input necessary to develop the appropriate revisions to PRC-005. The NERC PC instructed the NERC System Analysis and Modeling Subcommittee (SAMS) and System Protection and Control Subcommittee (SPCS) to jointly perform a technical study to determine which reclosing relays should be addressed within PRC-005 and provide advice regarding the appropriate maintenance intervals and activities for those relays.  The final report was approved by the NERC Planning Committee on November 14, 2012 and provided to the SDT for guidance in developing PRC-005-3.</w:t>
      </w:r>
    </w:p>
    <w:p w:rsidR="009F5B4C" w:rsidRPr="009F5B4C" w:rsidRDefault="009F5B4C" w:rsidP="00954A19">
      <w:pPr>
        <w:pStyle w:val="FootnoteText"/>
        <w:tabs>
          <w:tab w:val="left" w:pos="90"/>
          <w:tab w:val="left" w:pos="10170"/>
        </w:tabs>
        <w:spacing w:before="120"/>
        <w:ind w:left="-90"/>
        <w:rPr>
          <w:rFonts w:asciiTheme="minorHAnsi" w:hAnsiTheme="minorHAnsi"/>
          <w:sz w:val="24"/>
          <w:szCs w:val="24"/>
        </w:rPr>
      </w:pPr>
      <w:r w:rsidRPr="009F5B4C">
        <w:rPr>
          <w:rFonts w:asciiTheme="minorHAnsi" w:hAnsiTheme="minorHAnsi"/>
          <w:sz w:val="24"/>
          <w:szCs w:val="24"/>
        </w:rPr>
        <w:t>In Order No. 758, the Commission also directed NERC to file, by July 30, 2012, either a completed project, or an informational filing providing “a schedule for how NERC will address such issues in the Project 2007-17 reinitiated efforts.” On July 30, 2012, NERC submitted an informational filing in compliance with Order No. 758 with a proposed schedule for addressing reclosing relays. The project number and name is as follows: Project 2007-17.2 Protection System Maintenance and Testing - Phase 2 (Reclosing Relays)</w:t>
      </w:r>
    </w:p>
    <w:p w:rsidR="008375F6" w:rsidRPr="008375F6" w:rsidRDefault="009F5B4C" w:rsidP="00954A19">
      <w:pPr>
        <w:pStyle w:val="FootnoteText"/>
        <w:tabs>
          <w:tab w:val="left" w:pos="90"/>
          <w:tab w:val="left" w:pos="10170"/>
        </w:tabs>
        <w:spacing w:before="120"/>
        <w:ind w:left="-90"/>
        <w:rPr>
          <w:rFonts w:asciiTheme="minorHAnsi" w:hAnsiTheme="minorHAnsi"/>
          <w:sz w:val="24"/>
          <w:szCs w:val="24"/>
        </w:rPr>
      </w:pPr>
      <w:r w:rsidRPr="009F5B4C">
        <w:rPr>
          <w:rFonts w:asciiTheme="minorHAnsi" w:hAnsiTheme="minorHAnsi"/>
          <w:sz w:val="24"/>
          <w:szCs w:val="24"/>
        </w:rPr>
        <w:t>On January 17, 2013, the NERC SC authorized the draft SAR be posted for formal industry comment concurrent with project development</w:t>
      </w:r>
      <w:r w:rsidR="008375F6" w:rsidRPr="008375F6">
        <w:rPr>
          <w:rFonts w:asciiTheme="minorHAnsi" w:hAnsiTheme="minorHAnsi"/>
          <w:sz w:val="24"/>
          <w:szCs w:val="24"/>
        </w:rPr>
        <w:t>.</w:t>
      </w:r>
      <w:r w:rsidR="00AF010B" w:rsidRPr="00012731">
        <w:rPr>
          <w:rFonts w:asciiTheme="minorHAnsi" w:hAnsiTheme="minorHAnsi"/>
          <w:sz w:val="24"/>
          <w:szCs w:val="24"/>
        </w:rPr>
        <w:t xml:space="preserve"> </w:t>
      </w:r>
      <w:r w:rsidR="00012731" w:rsidRPr="00012731">
        <w:rPr>
          <w:rFonts w:asciiTheme="minorHAnsi" w:hAnsiTheme="minorHAnsi"/>
          <w:sz w:val="24"/>
          <w:szCs w:val="24"/>
        </w:rPr>
        <w:t>The</w:t>
      </w:r>
      <w:r w:rsidR="00012731">
        <w:rPr>
          <w:rFonts w:asciiTheme="minorHAnsi" w:hAnsiTheme="minorHAnsi"/>
          <w:sz w:val="24"/>
          <w:szCs w:val="24"/>
        </w:rPr>
        <w:t xml:space="preserve"> SAR as well as the first draft of </w:t>
      </w:r>
      <w:r w:rsidR="00AF010B" w:rsidRPr="00AF010B">
        <w:rPr>
          <w:rFonts w:asciiTheme="minorHAnsi" w:hAnsiTheme="minorHAnsi"/>
          <w:sz w:val="24"/>
          <w:szCs w:val="24"/>
        </w:rPr>
        <w:t>PRC-0</w:t>
      </w:r>
      <w:r w:rsidR="00012731">
        <w:rPr>
          <w:rFonts w:asciiTheme="minorHAnsi" w:hAnsiTheme="minorHAnsi"/>
          <w:sz w:val="24"/>
          <w:szCs w:val="24"/>
        </w:rPr>
        <w:t>05-3</w:t>
      </w:r>
      <w:r w:rsidR="00AF010B" w:rsidRPr="00AF010B">
        <w:rPr>
          <w:rFonts w:asciiTheme="minorHAnsi" w:hAnsiTheme="minorHAnsi"/>
          <w:sz w:val="24"/>
          <w:szCs w:val="24"/>
        </w:rPr>
        <w:t xml:space="preserve"> </w:t>
      </w:r>
      <w:r w:rsidR="00012731" w:rsidRPr="00AF010B">
        <w:rPr>
          <w:rFonts w:asciiTheme="minorHAnsi" w:hAnsiTheme="minorHAnsi"/>
          <w:sz w:val="24"/>
          <w:szCs w:val="24"/>
        </w:rPr>
        <w:t>w</w:t>
      </w:r>
      <w:r w:rsidR="00012731">
        <w:rPr>
          <w:rFonts w:asciiTheme="minorHAnsi" w:hAnsiTheme="minorHAnsi"/>
          <w:sz w:val="24"/>
          <w:szCs w:val="24"/>
        </w:rPr>
        <w:t>as</w:t>
      </w:r>
      <w:r w:rsidR="00AF010B" w:rsidRPr="00AF010B">
        <w:rPr>
          <w:rFonts w:asciiTheme="minorHAnsi" w:hAnsiTheme="minorHAnsi"/>
          <w:sz w:val="24"/>
          <w:szCs w:val="24"/>
        </w:rPr>
        <w:t xml:space="preserve"> posted for a 30-day comment </w:t>
      </w:r>
      <w:r w:rsidR="00012731">
        <w:rPr>
          <w:rFonts w:asciiTheme="minorHAnsi" w:hAnsiTheme="minorHAnsi"/>
          <w:sz w:val="24"/>
          <w:szCs w:val="24"/>
        </w:rPr>
        <w:t>period</w:t>
      </w:r>
      <w:r w:rsidR="00AF010B" w:rsidRPr="00AF010B">
        <w:rPr>
          <w:rFonts w:asciiTheme="minorHAnsi" w:hAnsiTheme="minorHAnsi"/>
          <w:sz w:val="24"/>
          <w:szCs w:val="24"/>
        </w:rPr>
        <w:t xml:space="preserve"> from </w:t>
      </w:r>
      <w:r w:rsidR="00012731">
        <w:rPr>
          <w:rFonts w:asciiTheme="minorHAnsi" w:hAnsiTheme="minorHAnsi"/>
          <w:sz w:val="24"/>
          <w:szCs w:val="24"/>
        </w:rPr>
        <w:t>April 5</w:t>
      </w:r>
      <w:r w:rsidR="000F474C">
        <w:rPr>
          <w:rFonts w:asciiTheme="minorHAnsi" w:hAnsiTheme="minorHAnsi"/>
          <w:sz w:val="24"/>
          <w:szCs w:val="24"/>
        </w:rPr>
        <w:t>, 2013</w:t>
      </w:r>
      <w:r w:rsidR="00AF010B" w:rsidRPr="00AF010B">
        <w:rPr>
          <w:rFonts w:asciiTheme="minorHAnsi" w:hAnsiTheme="minorHAnsi"/>
          <w:sz w:val="24"/>
          <w:szCs w:val="24"/>
        </w:rPr>
        <w:t xml:space="preserve"> </w:t>
      </w:r>
      <w:r w:rsidR="000F474C">
        <w:rPr>
          <w:rFonts w:asciiTheme="minorHAnsi" w:hAnsiTheme="minorHAnsi"/>
          <w:sz w:val="24"/>
          <w:szCs w:val="24"/>
        </w:rPr>
        <w:t>through</w:t>
      </w:r>
      <w:r w:rsidR="00AF010B" w:rsidRPr="00AF010B">
        <w:rPr>
          <w:rFonts w:asciiTheme="minorHAnsi" w:hAnsiTheme="minorHAnsi"/>
          <w:sz w:val="24"/>
          <w:szCs w:val="24"/>
        </w:rPr>
        <w:t xml:space="preserve"> </w:t>
      </w:r>
      <w:r w:rsidR="00012731">
        <w:rPr>
          <w:rFonts w:asciiTheme="minorHAnsi" w:hAnsiTheme="minorHAnsi"/>
          <w:sz w:val="24"/>
          <w:szCs w:val="24"/>
        </w:rPr>
        <w:t>May 6</w:t>
      </w:r>
      <w:r w:rsidR="00AF010B" w:rsidRPr="00AF010B">
        <w:rPr>
          <w:rFonts w:asciiTheme="minorHAnsi" w:hAnsiTheme="minorHAnsi"/>
          <w:sz w:val="24"/>
          <w:szCs w:val="24"/>
        </w:rPr>
        <w:t>, 201</w:t>
      </w:r>
      <w:r w:rsidR="00012731">
        <w:rPr>
          <w:rFonts w:asciiTheme="minorHAnsi" w:hAnsiTheme="minorHAnsi"/>
          <w:sz w:val="24"/>
          <w:szCs w:val="24"/>
        </w:rPr>
        <w:t>3</w:t>
      </w:r>
      <w:r w:rsidR="00AF010B" w:rsidRPr="00AF010B">
        <w:rPr>
          <w:rFonts w:asciiTheme="minorHAnsi" w:hAnsiTheme="minorHAnsi"/>
          <w:sz w:val="24"/>
          <w:szCs w:val="24"/>
        </w:rPr>
        <w:t>.</w:t>
      </w:r>
      <w:r w:rsidR="00AF010B" w:rsidRPr="00AF010B">
        <w:t xml:space="preserve"> </w:t>
      </w:r>
      <w:r w:rsidR="00AF010B" w:rsidRPr="00AF010B">
        <w:rPr>
          <w:rFonts w:asciiTheme="minorHAnsi" w:hAnsiTheme="minorHAnsi"/>
          <w:sz w:val="24"/>
          <w:szCs w:val="24"/>
        </w:rPr>
        <w:t>The P</w:t>
      </w:r>
      <w:r w:rsidR="00012731">
        <w:rPr>
          <w:rFonts w:asciiTheme="minorHAnsi" w:hAnsiTheme="minorHAnsi"/>
          <w:sz w:val="24"/>
          <w:szCs w:val="24"/>
        </w:rPr>
        <w:t>SMT</w:t>
      </w:r>
      <w:r w:rsidR="00AF010B" w:rsidRPr="00AF010B">
        <w:rPr>
          <w:rFonts w:asciiTheme="minorHAnsi" w:hAnsiTheme="minorHAnsi"/>
          <w:sz w:val="24"/>
          <w:szCs w:val="24"/>
        </w:rPr>
        <w:t xml:space="preserve"> SDT </w:t>
      </w:r>
      <w:r w:rsidR="00012731">
        <w:rPr>
          <w:rFonts w:asciiTheme="minorHAnsi" w:hAnsiTheme="minorHAnsi"/>
          <w:sz w:val="24"/>
          <w:szCs w:val="24"/>
        </w:rPr>
        <w:t xml:space="preserve">has </w:t>
      </w:r>
      <w:r w:rsidR="00AF010B" w:rsidRPr="00AF010B">
        <w:rPr>
          <w:rFonts w:asciiTheme="minorHAnsi" w:hAnsiTheme="minorHAnsi"/>
          <w:sz w:val="24"/>
          <w:szCs w:val="24"/>
        </w:rPr>
        <w:t>responded to the comments from the initial posting and incorporated pertinent suggestions into the second draft of the standard.</w:t>
      </w:r>
    </w:p>
    <w:p w:rsidR="00AC5C4A" w:rsidRDefault="00D64F03" w:rsidP="00954A19">
      <w:pPr>
        <w:pStyle w:val="FootnoteText"/>
        <w:tabs>
          <w:tab w:val="left" w:pos="90"/>
          <w:tab w:val="left" w:pos="10170"/>
        </w:tabs>
        <w:spacing w:before="120" w:after="0"/>
        <w:ind w:left="-90"/>
        <w:rPr>
          <w:rFonts w:asciiTheme="minorHAnsi" w:hAnsiTheme="minorHAnsi"/>
          <w:sz w:val="24"/>
          <w:szCs w:val="24"/>
        </w:rPr>
      </w:pPr>
      <w:r w:rsidRPr="000648C1">
        <w:rPr>
          <w:rFonts w:asciiTheme="minorHAnsi" w:hAnsiTheme="minorHAnsi"/>
          <w:sz w:val="24"/>
          <w:szCs w:val="24"/>
        </w:rPr>
        <w:t xml:space="preserve">Draft </w:t>
      </w:r>
      <w:r w:rsidR="00AF010B" w:rsidRPr="000648C1">
        <w:rPr>
          <w:rFonts w:asciiTheme="minorHAnsi" w:hAnsiTheme="minorHAnsi"/>
          <w:sz w:val="24"/>
          <w:szCs w:val="24"/>
        </w:rPr>
        <w:t xml:space="preserve">2 </w:t>
      </w:r>
      <w:r w:rsidRPr="000648C1">
        <w:rPr>
          <w:rFonts w:asciiTheme="minorHAnsi" w:hAnsiTheme="minorHAnsi"/>
          <w:sz w:val="24"/>
          <w:szCs w:val="24"/>
        </w:rPr>
        <w:t>of PRC-</w:t>
      </w:r>
      <w:r w:rsidR="009F5B4C" w:rsidRPr="000648C1">
        <w:rPr>
          <w:rFonts w:asciiTheme="minorHAnsi" w:hAnsiTheme="minorHAnsi"/>
          <w:sz w:val="24"/>
          <w:szCs w:val="24"/>
        </w:rPr>
        <w:t>005</w:t>
      </w:r>
      <w:r w:rsidRPr="000648C1">
        <w:rPr>
          <w:rFonts w:asciiTheme="minorHAnsi" w:hAnsiTheme="minorHAnsi"/>
          <w:sz w:val="24"/>
          <w:szCs w:val="24"/>
        </w:rPr>
        <w:t>-</w:t>
      </w:r>
      <w:r w:rsidR="009F5B4C" w:rsidRPr="000648C1">
        <w:rPr>
          <w:rFonts w:asciiTheme="minorHAnsi" w:hAnsiTheme="minorHAnsi"/>
          <w:sz w:val="24"/>
          <w:szCs w:val="24"/>
        </w:rPr>
        <w:t>3</w:t>
      </w:r>
      <w:r w:rsidRPr="000648C1">
        <w:rPr>
          <w:rFonts w:asciiTheme="minorHAnsi" w:hAnsiTheme="minorHAnsi"/>
          <w:sz w:val="24"/>
          <w:szCs w:val="24"/>
        </w:rPr>
        <w:t xml:space="preserve"> </w:t>
      </w:r>
      <w:r w:rsidR="009F5B4C" w:rsidRPr="000648C1">
        <w:rPr>
          <w:rFonts w:asciiTheme="minorHAnsi" w:hAnsiTheme="minorHAnsi"/>
          <w:sz w:val="24"/>
          <w:szCs w:val="24"/>
        </w:rPr>
        <w:t xml:space="preserve">is </w:t>
      </w:r>
      <w:r w:rsidRPr="000648C1">
        <w:rPr>
          <w:rFonts w:asciiTheme="minorHAnsi" w:hAnsiTheme="minorHAnsi"/>
          <w:sz w:val="24"/>
          <w:szCs w:val="24"/>
        </w:rPr>
        <w:t>posted for a 45-day formal comment</w:t>
      </w:r>
      <w:r w:rsidR="00F7270C">
        <w:rPr>
          <w:rFonts w:asciiTheme="minorHAnsi" w:hAnsiTheme="minorHAnsi"/>
          <w:sz w:val="24"/>
          <w:szCs w:val="24"/>
        </w:rPr>
        <w:t xml:space="preserve"> period </w:t>
      </w:r>
      <w:r w:rsidRPr="000648C1">
        <w:rPr>
          <w:rFonts w:asciiTheme="minorHAnsi" w:hAnsiTheme="minorHAnsi"/>
          <w:sz w:val="24"/>
          <w:szCs w:val="24"/>
        </w:rPr>
        <w:t xml:space="preserve">from </w:t>
      </w:r>
      <w:r w:rsidR="00012731" w:rsidRPr="000648C1">
        <w:rPr>
          <w:rFonts w:asciiTheme="minorHAnsi" w:hAnsiTheme="minorHAnsi"/>
          <w:sz w:val="24"/>
          <w:szCs w:val="24"/>
        </w:rPr>
        <w:t>Ju</w:t>
      </w:r>
      <w:r w:rsidR="000648C1" w:rsidRPr="000648C1">
        <w:rPr>
          <w:rFonts w:asciiTheme="minorHAnsi" w:hAnsiTheme="minorHAnsi"/>
          <w:sz w:val="24"/>
          <w:szCs w:val="24"/>
        </w:rPr>
        <w:t>ly</w:t>
      </w:r>
      <w:r w:rsidR="00012731" w:rsidRPr="000648C1">
        <w:rPr>
          <w:rFonts w:asciiTheme="minorHAnsi" w:hAnsiTheme="minorHAnsi"/>
          <w:sz w:val="24"/>
          <w:szCs w:val="24"/>
        </w:rPr>
        <w:t xml:space="preserve"> </w:t>
      </w:r>
      <w:r w:rsidR="00005E9E">
        <w:rPr>
          <w:rFonts w:asciiTheme="minorHAnsi" w:hAnsiTheme="minorHAnsi"/>
          <w:sz w:val="24"/>
          <w:szCs w:val="24"/>
        </w:rPr>
        <w:t>10</w:t>
      </w:r>
      <w:r w:rsidR="000648C1" w:rsidRPr="000648C1">
        <w:rPr>
          <w:rFonts w:asciiTheme="minorHAnsi" w:hAnsiTheme="minorHAnsi"/>
          <w:sz w:val="24"/>
          <w:szCs w:val="24"/>
        </w:rPr>
        <w:t xml:space="preserve">, 2013 through </w:t>
      </w:r>
      <w:r w:rsidR="009F5B4C" w:rsidRPr="000648C1">
        <w:rPr>
          <w:rFonts w:asciiTheme="minorHAnsi" w:hAnsiTheme="minorHAnsi"/>
          <w:sz w:val="24"/>
          <w:szCs w:val="24"/>
        </w:rPr>
        <w:t>A</w:t>
      </w:r>
      <w:r w:rsidR="00012731" w:rsidRPr="000648C1">
        <w:rPr>
          <w:rFonts w:asciiTheme="minorHAnsi" w:hAnsiTheme="minorHAnsi"/>
          <w:sz w:val="24"/>
          <w:szCs w:val="24"/>
        </w:rPr>
        <w:t>ugust</w:t>
      </w:r>
      <w:r w:rsidR="005006B9" w:rsidRPr="000648C1">
        <w:rPr>
          <w:rFonts w:asciiTheme="minorHAnsi" w:hAnsiTheme="minorHAnsi"/>
          <w:sz w:val="24"/>
          <w:szCs w:val="24"/>
        </w:rPr>
        <w:t xml:space="preserve"> </w:t>
      </w:r>
      <w:r w:rsidR="000648C1" w:rsidRPr="000648C1">
        <w:rPr>
          <w:rFonts w:asciiTheme="minorHAnsi" w:hAnsiTheme="minorHAnsi"/>
          <w:sz w:val="24"/>
          <w:szCs w:val="24"/>
        </w:rPr>
        <w:t>2</w:t>
      </w:r>
      <w:r w:rsidR="00005E9E">
        <w:rPr>
          <w:rFonts w:asciiTheme="minorHAnsi" w:hAnsiTheme="minorHAnsi"/>
          <w:sz w:val="24"/>
          <w:szCs w:val="24"/>
        </w:rPr>
        <w:t>3</w:t>
      </w:r>
      <w:r w:rsidRPr="000648C1">
        <w:rPr>
          <w:rFonts w:asciiTheme="minorHAnsi" w:hAnsiTheme="minorHAnsi"/>
          <w:sz w:val="24"/>
          <w:szCs w:val="24"/>
        </w:rPr>
        <w:t xml:space="preserve">, </w:t>
      </w:r>
      <w:r w:rsidR="009F5B4C" w:rsidRPr="000648C1">
        <w:rPr>
          <w:rFonts w:asciiTheme="minorHAnsi" w:hAnsiTheme="minorHAnsi"/>
          <w:sz w:val="24"/>
          <w:szCs w:val="24"/>
        </w:rPr>
        <w:t>2013</w:t>
      </w:r>
      <w:r w:rsidRPr="000648C1">
        <w:rPr>
          <w:rFonts w:asciiTheme="minorHAnsi" w:hAnsiTheme="minorHAnsi"/>
          <w:sz w:val="24"/>
          <w:szCs w:val="24"/>
        </w:rPr>
        <w:t>.</w:t>
      </w:r>
      <w:r w:rsidR="00487102">
        <w:rPr>
          <w:rFonts w:asciiTheme="minorHAnsi" w:hAnsiTheme="minorHAnsi"/>
          <w:sz w:val="24"/>
          <w:szCs w:val="24"/>
        </w:rPr>
        <w:t xml:space="preserve"> </w:t>
      </w:r>
      <w:r w:rsidR="008965C6">
        <w:rPr>
          <w:rFonts w:asciiTheme="minorHAnsi" w:hAnsiTheme="minorHAnsi"/>
          <w:sz w:val="24"/>
          <w:szCs w:val="24"/>
        </w:rPr>
        <w:t xml:space="preserve">Ballot pools are forming now through August 8, 2013. </w:t>
      </w:r>
      <w:r w:rsidR="00487102">
        <w:rPr>
          <w:rFonts w:asciiTheme="minorHAnsi" w:hAnsiTheme="minorHAnsi"/>
          <w:sz w:val="24"/>
          <w:szCs w:val="24"/>
        </w:rPr>
        <w:t>A ballot and non-binding poll of the associated Violation Risk Factors (VRFs) and Violation Severity Levels (VSLs) will be conducted August 14-23, 2013.</w:t>
      </w:r>
    </w:p>
    <w:p w:rsidR="009736C0" w:rsidRDefault="009736C0" w:rsidP="00954A19">
      <w:pPr>
        <w:ind w:left="-90"/>
        <w:rPr>
          <w:rFonts w:asciiTheme="minorHAnsi" w:hAnsiTheme="minorHAnsi"/>
        </w:rPr>
      </w:pPr>
      <w:r>
        <w:rPr>
          <w:rFonts w:asciiTheme="minorHAnsi" w:hAnsiTheme="minorHAnsi"/>
        </w:rPr>
        <w:br w:type="page"/>
      </w:r>
    </w:p>
    <w:p w:rsidR="00A72A0B" w:rsidRPr="004B1AE0" w:rsidRDefault="003F1A24" w:rsidP="00954A19">
      <w:pPr>
        <w:ind w:left="-90"/>
        <w:rPr>
          <w:rStyle w:val="BoxText"/>
          <w:rFonts w:asciiTheme="minorHAnsi" w:eastAsiaTheme="majorEastAsia" w:hAnsiTheme="minorHAnsi"/>
          <w:i/>
          <w:sz w:val="24"/>
        </w:rPr>
      </w:pPr>
      <w:r w:rsidRPr="003F1A24">
        <w:rPr>
          <w:rFonts w:asciiTheme="minorHAnsi" w:hAnsiTheme="minorHAnsi"/>
        </w:rPr>
        <w:lastRenderedPageBreak/>
        <w:t>You do not have to answer all questions.  Enter comments in simple text format.  Bullets, numbers, and special formatting will not be retained.</w:t>
      </w:r>
      <w:r>
        <w:rPr>
          <w:rFonts w:asciiTheme="minorHAnsi" w:hAnsiTheme="minorHAnsi"/>
        </w:rPr>
        <w:t xml:space="preserve"> </w:t>
      </w:r>
      <w:r w:rsidR="00A72A0B" w:rsidRPr="003F1A24">
        <w:rPr>
          <w:rStyle w:val="BoxText"/>
          <w:rFonts w:asciiTheme="minorHAnsi" w:eastAsiaTheme="majorEastAsia" w:hAnsiTheme="minorHAnsi"/>
          <w:sz w:val="24"/>
        </w:rPr>
        <w:t>Insert a “check” mark in the appropriate boxes by double-clicking the gray areas.</w:t>
      </w:r>
    </w:p>
    <w:p w:rsidR="00A72A0B" w:rsidRDefault="00A72A0B" w:rsidP="00954A19">
      <w:pPr>
        <w:ind w:left="-90"/>
        <w:rPr>
          <w:rFonts w:asciiTheme="minorHAnsi" w:hAnsiTheme="minorHAnsi"/>
          <w:b/>
          <w:u w:val="single"/>
        </w:rPr>
      </w:pPr>
    </w:p>
    <w:p w:rsidR="00963440" w:rsidRPr="003F1A24" w:rsidRDefault="00A72A0B" w:rsidP="00954A19">
      <w:pPr>
        <w:pStyle w:val="FootnoteText"/>
        <w:tabs>
          <w:tab w:val="left" w:pos="90"/>
          <w:tab w:val="left" w:pos="10170"/>
        </w:tabs>
        <w:spacing w:before="120" w:after="0"/>
        <w:ind w:left="-90"/>
        <w:rPr>
          <w:rFonts w:asciiTheme="minorHAnsi" w:hAnsiTheme="minorHAnsi"/>
          <w:sz w:val="24"/>
          <w:szCs w:val="24"/>
        </w:rPr>
      </w:pPr>
      <w:r w:rsidRPr="003F1A24">
        <w:rPr>
          <w:rFonts w:asciiTheme="minorHAnsi" w:hAnsiTheme="minorHAnsi"/>
          <w:b/>
          <w:sz w:val="24"/>
          <w:szCs w:val="24"/>
        </w:rPr>
        <w:t>NOTE: The Standards Authorization Request specifically limits this project to modifying PRC-005-2 to address the addition of reclosing relays which can affect the reliability of the BES, and specifically precludes general improvements to PRC-005-2.</w:t>
      </w:r>
    </w:p>
    <w:p w:rsidR="00AC5C4A" w:rsidRPr="004B1AE0" w:rsidRDefault="00AC5C4A" w:rsidP="009736C0">
      <w:pPr>
        <w:rPr>
          <w:rFonts w:asciiTheme="minorHAnsi" w:hAnsiTheme="minorHAnsi"/>
        </w:rPr>
      </w:pPr>
    </w:p>
    <w:p w:rsidR="00AC5C4A" w:rsidRPr="00AC5C4A" w:rsidRDefault="000F23CD" w:rsidP="00AC5C4A">
      <w:pPr>
        <w:pStyle w:val="Bullet"/>
        <w:numPr>
          <w:ilvl w:val="0"/>
          <w:numId w:val="19"/>
        </w:numPr>
        <w:tabs>
          <w:tab w:val="clear" w:pos="720"/>
          <w:tab w:val="num" w:pos="360"/>
        </w:tabs>
        <w:spacing w:before="0" w:after="120"/>
        <w:ind w:left="360"/>
        <w:rPr>
          <w:rFonts w:asciiTheme="minorHAnsi" w:hAnsiTheme="minorHAnsi"/>
          <w:sz w:val="24"/>
          <w:szCs w:val="24"/>
        </w:rPr>
      </w:pPr>
      <w:r>
        <w:rPr>
          <w:rFonts w:asciiTheme="minorHAnsi" w:hAnsiTheme="minorHAnsi"/>
          <w:sz w:val="24"/>
          <w:szCs w:val="24"/>
        </w:rPr>
        <w:t xml:space="preserve">In response to comments, the drafting team </w:t>
      </w:r>
      <w:r w:rsidR="00531740">
        <w:rPr>
          <w:rFonts w:asciiTheme="minorHAnsi" w:hAnsiTheme="minorHAnsi"/>
          <w:sz w:val="24"/>
          <w:szCs w:val="24"/>
        </w:rPr>
        <w:t xml:space="preserve">revised </w:t>
      </w:r>
      <w:r>
        <w:rPr>
          <w:rFonts w:asciiTheme="minorHAnsi" w:hAnsiTheme="minorHAnsi"/>
          <w:sz w:val="24"/>
          <w:szCs w:val="24"/>
        </w:rPr>
        <w:t>the previously-posted draft of PRC-005-3 and the Supplementary Reference and FAQ document</w:t>
      </w:r>
      <w:r w:rsidR="00561025">
        <w:rPr>
          <w:rFonts w:asciiTheme="minorHAnsi" w:hAnsiTheme="minorHAnsi"/>
          <w:sz w:val="24"/>
          <w:szCs w:val="24"/>
        </w:rPr>
        <w:t xml:space="preserve">. </w:t>
      </w:r>
      <w:r w:rsidR="00BE7ADB" w:rsidRPr="00BE7ADB">
        <w:rPr>
          <w:rFonts w:asciiTheme="minorHAnsi" w:hAnsiTheme="minorHAnsi"/>
          <w:sz w:val="24"/>
          <w:szCs w:val="24"/>
        </w:rPr>
        <w:t>Do you agree with these changes?  If not, please provide specific suggestions for improvement</w:t>
      </w:r>
      <w:r w:rsidR="00AC5C4A" w:rsidRPr="00AC5C4A">
        <w:rPr>
          <w:rFonts w:asciiTheme="minorHAnsi" w:hAnsiTheme="minorHAnsi"/>
          <w:sz w:val="24"/>
          <w:szCs w:val="24"/>
        </w:rPr>
        <w:t>.</w:t>
      </w:r>
    </w:p>
    <w:p w:rsidR="00AC5C4A" w:rsidRPr="00AC5C4A" w:rsidRDefault="00F7307B" w:rsidP="00AC5C4A">
      <w:pPr>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fldChar w:fldCharType="begin">
          <w:ffData>
            <w:name w:val="Check4"/>
            <w:enabled/>
            <w:calcOnExit w:val="0"/>
            <w:checkBox>
              <w:sizeAuto/>
              <w:default w:val="0"/>
            </w:checkBox>
          </w:ffData>
        </w:fldChar>
      </w:r>
      <w:r w:rsidR="00AC5C4A" w:rsidRPr="00AC5C4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AC5C4A">
        <w:rPr>
          <w:rStyle w:val="BoxText"/>
          <w:rFonts w:asciiTheme="minorHAnsi" w:eastAsiaTheme="majorEastAsia" w:hAnsiTheme="minorHAnsi"/>
          <w:sz w:val="24"/>
        </w:rPr>
        <w:fldChar w:fldCharType="end"/>
      </w:r>
      <w:r w:rsidR="00AC5C4A" w:rsidRPr="00AC5C4A">
        <w:rPr>
          <w:rStyle w:val="BoxText"/>
          <w:rFonts w:asciiTheme="minorHAnsi" w:eastAsiaTheme="majorEastAsia" w:hAnsiTheme="minorHAnsi"/>
          <w:sz w:val="24"/>
        </w:rPr>
        <w:t xml:space="preserve"> Yes </w:t>
      </w:r>
    </w:p>
    <w:p w:rsidR="00AC5C4A" w:rsidRPr="00AC5C4A" w:rsidRDefault="00F7307B" w:rsidP="00AC5C4A">
      <w:pPr>
        <w:pStyle w:val="Header"/>
        <w:spacing w:before="60" w:after="60"/>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fldChar w:fldCharType="begin">
          <w:ffData>
            <w:name w:val="Check4"/>
            <w:enabled/>
            <w:calcOnExit w:val="0"/>
            <w:checkBox>
              <w:sizeAuto/>
              <w:default w:val="0"/>
            </w:checkBox>
          </w:ffData>
        </w:fldChar>
      </w:r>
      <w:r w:rsidR="00AC5C4A" w:rsidRPr="00AC5C4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AC5C4A">
        <w:rPr>
          <w:rStyle w:val="BoxText"/>
          <w:rFonts w:asciiTheme="minorHAnsi" w:eastAsiaTheme="majorEastAsia" w:hAnsiTheme="minorHAnsi"/>
          <w:sz w:val="24"/>
        </w:rPr>
        <w:fldChar w:fldCharType="end"/>
      </w:r>
      <w:r w:rsidR="00AC5C4A" w:rsidRPr="00AC5C4A">
        <w:rPr>
          <w:rStyle w:val="BoxText"/>
          <w:rFonts w:asciiTheme="minorHAnsi" w:eastAsiaTheme="majorEastAsia" w:hAnsiTheme="minorHAnsi"/>
          <w:sz w:val="24"/>
        </w:rPr>
        <w:t xml:space="preserve"> No </w:t>
      </w:r>
    </w:p>
    <w:p w:rsidR="00AC5C4A" w:rsidRPr="00AC5C4A" w:rsidRDefault="00AC5C4A" w:rsidP="00AC5C4A">
      <w:pPr>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t xml:space="preserve">Comments: </w:t>
      </w:r>
      <w:r w:rsidR="00F7307B" w:rsidRPr="00AC5C4A">
        <w:rPr>
          <w:rStyle w:val="BoxText"/>
          <w:rFonts w:asciiTheme="minorHAnsi" w:eastAsiaTheme="majorEastAsia" w:hAnsiTheme="minorHAnsi"/>
          <w:sz w:val="24"/>
        </w:rPr>
        <w:fldChar w:fldCharType="begin">
          <w:ffData>
            <w:name w:val="Text12"/>
            <w:enabled/>
            <w:calcOnExit w:val="0"/>
            <w:textInput/>
          </w:ffData>
        </w:fldChar>
      </w:r>
      <w:r w:rsidRPr="00AC5C4A">
        <w:rPr>
          <w:rStyle w:val="BoxText"/>
          <w:rFonts w:asciiTheme="minorHAnsi" w:eastAsiaTheme="majorEastAsia" w:hAnsiTheme="minorHAnsi"/>
          <w:sz w:val="24"/>
        </w:rPr>
        <w:instrText xml:space="preserve"> FORMTEXT </w:instrText>
      </w:r>
      <w:r w:rsidR="00F7307B" w:rsidRPr="00AC5C4A">
        <w:rPr>
          <w:rStyle w:val="BoxText"/>
          <w:rFonts w:asciiTheme="minorHAnsi" w:eastAsiaTheme="majorEastAsia" w:hAnsiTheme="minorHAnsi"/>
          <w:sz w:val="24"/>
        </w:rPr>
      </w:r>
      <w:r w:rsidR="00F7307B" w:rsidRPr="00AC5C4A">
        <w:rPr>
          <w:rStyle w:val="BoxText"/>
          <w:rFonts w:asciiTheme="minorHAnsi" w:eastAsiaTheme="majorEastAsia" w:hAnsiTheme="minorHAnsi"/>
          <w:sz w:val="24"/>
        </w:rPr>
        <w:fldChar w:fldCharType="separate"/>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00F7307B" w:rsidRPr="00AC5C4A">
        <w:rPr>
          <w:rStyle w:val="BoxText"/>
          <w:rFonts w:asciiTheme="minorHAnsi" w:eastAsiaTheme="majorEastAsia" w:hAnsiTheme="minorHAnsi"/>
          <w:sz w:val="24"/>
        </w:rPr>
        <w:fldChar w:fldCharType="end"/>
      </w:r>
    </w:p>
    <w:p w:rsidR="00AC5C4A" w:rsidRPr="00EA67BE" w:rsidRDefault="00AC5C4A" w:rsidP="00EA67BE">
      <w:pPr>
        <w:ind w:left="360"/>
        <w:rPr>
          <w:rStyle w:val="BoxText"/>
          <w:rFonts w:asciiTheme="minorHAnsi" w:eastAsiaTheme="majorEastAsia" w:hAnsiTheme="minorHAnsi"/>
          <w:sz w:val="24"/>
        </w:rPr>
      </w:pPr>
    </w:p>
    <w:p w:rsidR="00BB054E" w:rsidRPr="00AC5C4A" w:rsidRDefault="000F23CD" w:rsidP="00BB054E">
      <w:pPr>
        <w:pStyle w:val="Bullet"/>
        <w:numPr>
          <w:ilvl w:val="0"/>
          <w:numId w:val="19"/>
        </w:numPr>
        <w:tabs>
          <w:tab w:val="clear" w:pos="720"/>
          <w:tab w:val="num" w:pos="360"/>
        </w:tabs>
        <w:spacing w:after="120"/>
        <w:ind w:left="360"/>
        <w:rPr>
          <w:rFonts w:asciiTheme="minorHAnsi" w:hAnsiTheme="minorHAnsi"/>
          <w:sz w:val="24"/>
          <w:szCs w:val="24"/>
        </w:rPr>
      </w:pPr>
      <w:r>
        <w:rPr>
          <w:rFonts w:asciiTheme="minorHAnsi" w:hAnsiTheme="minorHAnsi"/>
          <w:sz w:val="24"/>
          <w:szCs w:val="24"/>
        </w:rPr>
        <w:t>In response to comments, the drafting team developed an “</w:t>
      </w:r>
      <w:r w:rsidRPr="000F23CD">
        <w:rPr>
          <w:rFonts w:asciiTheme="minorHAnsi" w:hAnsiTheme="minorHAnsi"/>
          <w:sz w:val="24"/>
          <w:szCs w:val="24"/>
        </w:rPr>
        <w:t xml:space="preserve">Implementation Plan for Newly identified Automatic Reclosing Components due to </w:t>
      </w:r>
      <w:r>
        <w:rPr>
          <w:rFonts w:asciiTheme="minorHAnsi" w:hAnsiTheme="minorHAnsi"/>
          <w:sz w:val="24"/>
          <w:szCs w:val="24"/>
        </w:rPr>
        <w:t xml:space="preserve">generation </w:t>
      </w:r>
      <w:r w:rsidRPr="000F23CD">
        <w:rPr>
          <w:rFonts w:asciiTheme="minorHAnsi" w:hAnsiTheme="minorHAnsi"/>
          <w:sz w:val="24"/>
          <w:szCs w:val="24"/>
        </w:rPr>
        <w:t>changes in the B</w:t>
      </w:r>
      <w:r w:rsidR="005006B9">
        <w:rPr>
          <w:rFonts w:asciiTheme="minorHAnsi" w:hAnsiTheme="minorHAnsi"/>
          <w:sz w:val="24"/>
          <w:szCs w:val="24"/>
        </w:rPr>
        <w:t xml:space="preserve">alancing </w:t>
      </w:r>
      <w:r w:rsidRPr="000F23CD">
        <w:rPr>
          <w:rFonts w:asciiTheme="minorHAnsi" w:hAnsiTheme="minorHAnsi"/>
          <w:sz w:val="24"/>
          <w:szCs w:val="24"/>
        </w:rPr>
        <w:t>A</w:t>
      </w:r>
      <w:r w:rsidR="005006B9">
        <w:rPr>
          <w:rFonts w:asciiTheme="minorHAnsi" w:hAnsiTheme="minorHAnsi"/>
          <w:sz w:val="24"/>
          <w:szCs w:val="24"/>
        </w:rPr>
        <w:t>uthority</w:t>
      </w:r>
      <w:r w:rsidRPr="000F23CD">
        <w:rPr>
          <w:rFonts w:asciiTheme="minorHAnsi" w:hAnsiTheme="minorHAnsi"/>
          <w:sz w:val="24"/>
          <w:szCs w:val="24"/>
        </w:rPr>
        <w:t xml:space="preserve"> Area</w:t>
      </w:r>
      <w:r>
        <w:rPr>
          <w:rFonts w:asciiTheme="minorHAnsi" w:hAnsiTheme="minorHAnsi"/>
          <w:sz w:val="24"/>
          <w:szCs w:val="24"/>
        </w:rPr>
        <w:t>”</w:t>
      </w:r>
      <w:r w:rsidRPr="000F23CD">
        <w:rPr>
          <w:rFonts w:asciiTheme="minorHAnsi" w:hAnsiTheme="minorHAnsi"/>
          <w:sz w:val="24"/>
          <w:szCs w:val="24"/>
        </w:rPr>
        <w:t xml:space="preserve"> </w:t>
      </w:r>
      <w:r w:rsidR="0031395D" w:rsidRPr="00AD07B3">
        <w:rPr>
          <w:rFonts w:asciiTheme="minorHAnsi" w:hAnsiTheme="minorHAnsi"/>
          <w:sz w:val="24"/>
          <w:szCs w:val="24"/>
        </w:rPr>
        <w:t xml:space="preserve">Do you agree with </w:t>
      </w:r>
      <w:r>
        <w:rPr>
          <w:rFonts w:asciiTheme="minorHAnsi" w:hAnsiTheme="minorHAnsi"/>
          <w:sz w:val="24"/>
          <w:szCs w:val="24"/>
        </w:rPr>
        <w:t>this additional Implementation Plan</w:t>
      </w:r>
      <w:r w:rsidR="0031395D" w:rsidRPr="00AD07B3">
        <w:rPr>
          <w:rFonts w:asciiTheme="minorHAnsi" w:hAnsiTheme="minorHAnsi"/>
          <w:sz w:val="24"/>
          <w:szCs w:val="24"/>
        </w:rPr>
        <w:t xml:space="preserve">? </w:t>
      </w:r>
      <w:r w:rsidR="00BB054E" w:rsidRPr="00BB054E">
        <w:rPr>
          <w:rFonts w:asciiTheme="minorHAnsi" w:hAnsiTheme="minorHAnsi"/>
          <w:sz w:val="24"/>
          <w:szCs w:val="24"/>
        </w:rPr>
        <w:t>If not, please provide specific suggestions for improvement</w:t>
      </w:r>
      <w:r w:rsidR="00BB054E" w:rsidRPr="00FB1248">
        <w:rPr>
          <w:rFonts w:asciiTheme="minorHAnsi" w:hAnsiTheme="minorHAnsi"/>
          <w:sz w:val="24"/>
          <w:szCs w:val="24"/>
        </w:rPr>
        <w:t>.</w:t>
      </w:r>
    </w:p>
    <w:p w:rsidR="00BB054E" w:rsidRPr="00AC5C4A" w:rsidRDefault="00F7307B" w:rsidP="00BB054E">
      <w:pPr>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fldChar w:fldCharType="begin">
          <w:ffData>
            <w:name w:val="Check4"/>
            <w:enabled/>
            <w:calcOnExit w:val="0"/>
            <w:checkBox>
              <w:sizeAuto/>
              <w:default w:val="0"/>
            </w:checkBox>
          </w:ffData>
        </w:fldChar>
      </w:r>
      <w:r w:rsidR="00BB054E" w:rsidRPr="00AC5C4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AC5C4A">
        <w:rPr>
          <w:rStyle w:val="BoxText"/>
          <w:rFonts w:asciiTheme="minorHAnsi" w:eastAsiaTheme="majorEastAsia" w:hAnsiTheme="minorHAnsi"/>
          <w:sz w:val="24"/>
        </w:rPr>
        <w:fldChar w:fldCharType="end"/>
      </w:r>
      <w:r w:rsidR="00BB054E" w:rsidRPr="00AC5C4A">
        <w:rPr>
          <w:rStyle w:val="BoxText"/>
          <w:rFonts w:asciiTheme="minorHAnsi" w:eastAsiaTheme="majorEastAsia" w:hAnsiTheme="minorHAnsi"/>
          <w:sz w:val="24"/>
        </w:rPr>
        <w:t xml:space="preserve"> Yes </w:t>
      </w:r>
    </w:p>
    <w:p w:rsidR="00BB054E" w:rsidRPr="00AC5C4A" w:rsidRDefault="00F7307B" w:rsidP="00BB054E">
      <w:pPr>
        <w:pStyle w:val="Header"/>
        <w:spacing w:before="60" w:after="60"/>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fldChar w:fldCharType="begin">
          <w:ffData>
            <w:name w:val="Check4"/>
            <w:enabled/>
            <w:calcOnExit w:val="0"/>
            <w:checkBox>
              <w:sizeAuto/>
              <w:default w:val="0"/>
            </w:checkBox>
          </w:ffData>
        </w:fldChar>
      </w:r>
      <w:r w:rsidR="00BB054E" w:rsidRPr="00AC5C4A">
        <w:rPr>
          <w:rStyle w:val="BoxText"/>
          <w:rFonts w:asciiTheme="minorHAnsi" w:eastAsiaTheme="majorEastAsia" w:hAnsiTheme="minorHAnsi"/>
          <w:sz w:val="24"/>
        </w:rPr>
        <w:instrText xml:space="preserve"> FORMCHECKBOX </w:instrText>
      </w:r>
      <w:r>
        <w:rPr>
          <w:rStyle w:val="BoxText"/>
          <w:rFonts w:asciiTheme="minorHAnsi" w:eastAsiaTheme="majorEastAsia" w:hAnsiTheme="minorHAnsi"/>
          <w:sz w:val="24"/>
        </w:rPr>
      </w:r>
      <w:r>
        <w:rPr>
          <w:rStyle w:val="BoxText"/>
          <w:rFonts w:asciiTheme="minorHAnsi" w:eastAsiaTheme="majorEastAsia" w:hAnsiTheme="minorHAnsi"/>
          <w:sz w:val="24"/>
        </w:rPr>
        <w:fldChar w:fldCharType="separate"/>
      </w:r>
      <w:r w:rsidRPr="00AC5C4A">
        <w:rPr>
          <w:rStyle w:val="BoxText"/>
          <w:rFonts w:asciiTheme="minorHAnsi" w:eastAsiaTheme="majorEastAsia" w:hAnsiTheme="minorHAnsi"/>
          <w:sz w:val="24"/>
        </w:rPr>
        <w:fldChar w:fldCharType="end"/>
      </w:r>
      <w:r w:rsidR="00BB054E" w:rsidRPr="00AC5C4A">
        <w:rPr>
          <w:rStyle w:val="BoxText"/>
          <w:rFonts w:asciiTheme="minorHAnsi" w:eastAsiaTheme="majorEastAsia" w:hAnsiTheme="minorHAnsi"/>
          <w:sz w:val="24"/>
        </w:rPr>
        <w:t xml:space="preserve"> No </w:t>
      </w:r>
    </w:p>
    <w:p w:rsidR="00BB054E" w:rsidRDefault="00BB054E" w:rsidP="00BB054E">
      <w:pPr>
        <w:ind w:left="360"/>
        <w:rPr>
          <w:rStyle w:val="BoxText"/>
          <w:rFonts w:asciiTheme="minorHAnsi" w:eastAsiaTheme="majorEastAsia" w:hAnsiTheme="minorHAnsi"/>
          <w:sz w:val="24"/>
        </w:rPr>
      </w:pPr>
      <w:r w:rsidRPr="00AC5C4A">
        <w:rPr>
          <w:rStyle w:val="BoxText"/>
          <w:rFonts w:asciiTheme="minorHAnsi" w:eastAsiaTheme="majorEastAsia" w:hAnsiTheme="minorHAnsi"/>
          <w:sz w:val="24"/>
        </w:rPr>
        <w:t xml:space="preserve">Comments: </w:t>
      </w:r>
      <w:r w:rsidR="00F7307B" w:rsidRPr="00AC5C4A">
        <w:rPr>
          <w:rStyle w:val="BoxText"/>
          <w:rFonts w:asciiTheme="minorHAnsi" w:eastAsiaTheme="majorEastAsia" w:hAnsiTheme="minorHAnsi"/>
          <w:sz w:val="24"/>
        </w:rPr>
        <w:fldChar w:fldCharType="begin">
          <w:ffData>
            <w:name w:val="Text12"/>
            <w:enabled/>
            <w:calcOnExit w:val="0"/>
            <w:textInput/>
          </w:ffData>
        </w:fldChar>
      </w:r>
      <w:r w:rsidRPr="00AC5C4A">
        <w:rPr>
          <w:rStyle w:val="BoxText"/>
          <w:rFonts w:asciiTheme="minorHAnsi" w:eastAsiaTheme="majorEastAsia" w:hAnsiTheme="minorHAnsi"/>
          <w:sz w:val="24"/>
        </w:rPr>
        <w:instrText xml:space="preserve"> FORMTEXT </w:instrText>
      </w:r>
      <w:r w:rsidR="00F7307B" w:rsidRPr="00AC5C4A">
        <w:rPr>
          <w:rStyle w:val="BoxText"/>
          <w:rFonts w:asciiTheme="minorHAnsi" w:eastAsiaTheme="majorEastAsia" w:hAnsiTheme="minorHAnsi"/>
          <w:sz w:val="24"/>
        </w:rPr>
      </w:r>
      <w:r w:rsidR="00F7307B" w:rsidRPr="00AC5C4A">
        <w:rPr>
          <w:rStyle w:val="BoxText"/>
          <w:rFonts w:asciiTheme="minorHAnsi" w:eastAsiaTheme="majorEastAsia" w:hAnsiTheme="minorHAnsi"/>
          <w:sz w:val="24"/>
        </w:rPr>
        <w:fldChar w:fldCharType="separate"/>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Pr="00EA67BE">
        <w:rPr>
          <w:rStyle w:val="BoxText"/>
          <w:rFonts w:asciiTheme="minorHAnsi" w:eastAsiaTheme="majorEastAsia" w:hAnsiTheme="minorHAnsi"/>
          <w:sz w:val="24"/>
        </w:rPr>
        <w:t> </w:t>
      </w:r>
      <w:r w:rsidR="00F7307B" w:rsidRPr="00AC5C4A">
        <w:rPr>
          <w:rStyle w:val="BoxText"/>
          <w:rFonts w:asciiTheme="minorHAnsi" w:eastAsiaTheme="majorEastAsia" w:hAnsiTheme="minorHAnsi"/>
          <w:sz w:val="24"/>
        </w:rPr>
        <w:fldChar w:fldCharType="end"/>
      </w:r>
    </w:p>
    <w:p w:rsidR="00BB054E" w:rsidRDefault="00BB054E" w:rsidP="00AC5C4A">
      <w:pPr>
        <w:ind w:left="360"/>
        <w:rPr>
          <w:rStyle w:val="BoxText"/>
          <w:rFonts w:asciiTheme="minorHAnsi" w:eastAsiaTheme="majorEastAsia" w:hAnsiTheme="minorHAnsi"/>
          <w:sz w:val="24"/>
        </w:rPr>
      </w:pPr>
    </w:p>
    <w:p w:rsidR="00BB054E" w:rsidRPr="00AC5C4A" w:rsidRDefault="00BB054E" w:rsidP="00AC5C4A">
      <w:pPr>
        <w:ind w:left="360"/>
        <w:rPr>
          <w:rStyle w:val="BoxText"/>
          <w:rFonts w:asciiTheme="minorHAnsi" w:eastAsiaTheme="majorEastAsia" w:hAnsiTheme="minorHAnsi"/>
          <w:sz w:val="24"/>
        </w:rPr>
      </w:pPr>
    </w:p>
    <w:p w:rsidR="00D74FE5" w:rsidRDefault="00D74FE5" w:rsidP="007D20EC">
      <w:pPr>
        <w:spacing w:after="120"/>
        <w:ind w:left="360"/>
        <w:rPr>
          <w:sz w:val="22"/>
        </w:rPr>
      </w:pPr>
    </w:p>
    <w:sectPr w:rsidR="00D74FE5" w:rsidSect="00A81D53">
      <w:headerReference w:type="default" r:id="rId15"/>
      <w:footerReference w:type="default" r:id="rId16"/>
      <w:pgSz w:w="12240" w:h="15840" w:code="1"/>
      <w:pgMar w:top="2160" w:right="1080" w:bottom="1440" w:left="108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102" w:rsidRDefault="00487102">
      <w:r>
        <w:separator/>
      </w:r>
    </w:p>
  </w:endnote>
  <w:endnote w:type="continuationSeparator" w:id="0">
    <w:p w:rsidR="00487102" w:rsidRDefault="004871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2" w:rsidRPr="003C79C4" w:rsidRDefault="003C79C4" w:rsidP="003C79C4">
    <w:pPr>
      <w:pStyle w:val="Footer"/>
      <w:rPr>
        <w:szCs w:val="18"/>
      </w:rPr>
    </w:pPr>
    <w:r w:rsidRPr="003C79C4">
      <w:rPr>
        <w:noProof/>
        <w:szCs w:val="18"/>
      </w:rPr>
      <w:drawing>
        <wp:anchor distT="0" distB="0" distL="114300" distR="114300" simplePos="0" relativeHeight="251679232" behindDoc="1" locked="0" layoutInCell="1" allowOverlap="1">
          <wp:simplePos x="0" y="0"/>
          <wp:positionH relativeFrom="page">
            <wp:posOffset>28575</wp:posOffset>
          </wp:positionH>
          <wp:positionV relativeFrom="page">
            <wp:posOffset>9610725</wp:posOffset>
          </wp:positionV>
          <wp:extent cx="7772400" cy="600075"/>
          <wp:effectExtent l="19050" t="0" r="0" b="0"/>
          <wp:wrapNone/>
          <wp:docPr id="6"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rlovichm.DAHQ\Desktop\NERC_Letterhead_page2_bottom.jpg"/>
                  <pic:cNvPicPr>
                    <a:picLocks noChangeAspect="1" noChangeArrowheads="1"/>
                  </pic:cNvPicPr>
                </pic:nvPicPr>
                <pic:blipFill>
                  <a:blip r:embed="rId1"/>
                  <a:srcRect/>
                  <a:stretch>
                    <a:fillRect/>
                  </a:stretch>
                </pic:blipFill>
                <pic:spPr bwMode="auto">
                  <a:xfrm>
                    <a:off x="0" y="0"/>
                    <a:ext cx="7772400" cy="6000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2" w:rsidRDefault="00487102">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C4" w:rsidRPr="003F1A24" w:rsidRDefault="003C79C4" w:rsidP="00D228D6">
    <w:pPr>
      <w:rPr>
        <w:rFonts w:asciiTheme="minorHAnsi" w:hAnsiTheme="minorHAnsi"/>
        <w:b/>
        <w:color w:val="1B4C80"/>
        <w:sz w:val="18"/>
        <w:szCs w:val="18"/>
      </w:rPr>
    </w:pPr>
    <w:r w:rsidRPr="003F1A24">
      <w:rPr>
        <w:rFonts w:asciiTheme="minorHAnsi" w:hAnsiTheme="minorHAnsi"/>
        <w:b/>
        <w:color w:val="1B4C80"/>
        <w:sz w:val="18"/>
        <w:szCs w:val="18"/>
      </w:rPr>
      <w:t>Unofficial Comment Form</w:t>
    </w:r>
    <w:r w:rsidRPr="003F1A24">
      <w:rPr>
        <w:rFonts w:asciiTheme="minorHAnsi" w:hAnsiTheme="minorHAnsi"/>
        <w:noProof/>
        <w:sz w:val="18"/>
        <w:szCs w:val="18"/>
      </w:rPr>
      <w:drawing>
        <wp:anchor distT="0" distB="0" distL="114300" distR="114300" simplePos="0" relativeHeight="251677184"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3"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p>
  <w:p w:rsidR="003C79C4" w:rsidRPr="007254EA" w:rsidRDefault="003C79C4" w:rsidP="00F0550C">
    <w:pPr>
      <w:tabs>
        <w:tab w:val="right" w:pos="10080"/>
      </w:tabs>
      <w:rPr>
        <w:rFonts w:ascii="Verdana" w:hAnsi="Verdana"/>
        <w:sz w:val="18"/>
        <w:szCs w:val="18"/>
      </w:rPr>
    </w:pPr>
    <w:r w:rsidRPr="003F1A24">
      <w:rPr>
        <w:rFonts w:asciiTheme="minorHAnsi" w:hAnsiTheme="minorHAnsi"/>
        <w:b/>
        <w:color w:val="1B4C80"/>
        <w:sz w:val="18"/>
        <w:szCs w:val="18"/>
      </w:rPr>
      <w:t>Project 2007-</w:t>
    </w:r>
    <w:r>
      <w:rPr>
        <w:rFonts w:asciiTheme="minorHAnsi" w:hAnsiTheme="minorHAnsi"/>
        <w:b/>
        <w:color w:val="1B4C80"/>
        <w:sz w:val="18"/>
        <w:szCs w:val="18"/>
      </w:rPr>
      <w:t xml:space="preserve">17.2 PSMT Phase 2 (Reclosing Relays) </w:t>
    </w:r>
    <w:r w:rsidRPr="003F1A24">
      <w:rPr>
        <w:rFonts w:asciiTheme="minorHAnsi" w:hAnsiTheme="minorHAnsi"/>
        <w:b/>
        <w:color w:val="1B4C80"/>
        <w:sz w:val="18"/>
        <w:szCs w:val="18"/>
      </w:rPr>
      <w:t xml:space="preserve">– </w:t>
    </w:r>
    <w:r>
      <w:rPr>
        <w:rFonts w:asciiTheme="minorHAnsi" w:hAnsiTheme="minorHAnsi"/>
        <w:b/>
        <w:color w:val="1B4C80"/>
        <w:sz w:val="18"/>
        <w:szCs w:val="18"/>
      </w:rPr>
      <w:t>July 2013</w:t>
    </w:r>
    <w:r>
      <w:rPr>
        <w:rFonts w:asciiTheme="minorHAnsi" w:hAnsiTheme="minorHAnsi"/>
        <w:b/>
        <w:color w:val="1B4C80"/>
        <w:sz w:val="18"/>
        <w:szCs w:val="18"/>
      </w:rPr>
      <w:tab/>
    </w:r>
    <w:r w:rsidR="00F7307B" w:rsidRPr="00F0550C">
      <w:rPr>
        <w:rFonts w:asciiTheme="minorHAnsi" w:hAnsiTheme="minorHAnsi"/>
        <w:b/>
        <w:color w:val="1B4C80"/>
        <w:sz w:val="18"/>
        <w:szCs w:val="18"/>
      </w:rPr>
      <w:fldChar w:fldCharType="begin"/>
    </w:r>
    <w:r w:rsidRPr="00F0550C">
      <w:rPr>
        <w:rFonts w:asciiTheme="minorHAnsi" w:hAnsiTheme="minorHAnsi"/>
        <w:b/>
        <w:color w:val="1B4C80"/>
        <w:sz w:val="18"/>
        <w:szCs w:val="18"/>
      </w:rPr>
      <w:instrText xml:space="preserve"> PAGE   \* MERGEFORMAT </w:instrText>
    </w:r>
    <w:r w:rsidR="00F7307B" w:rsidRPr="00F0550C">
      <w:rPr>
        <w:rFonts w:asciiTheme="minorHAnsi" w:hAnsiTheme="minorHAnsi"/>
        <w:b/>
        <w:color w:val="1B4C80"/>
        <w:sz w:val="18"/>
        <w:szCs w:val="18"/>
      </w:rPr>
      <w:fldChar w:fldCharType="separate"/>
    </w:r>
    <w:r w:rsidR="000D495A">
      <w:rPr>
        <w:rFonts w:asciiTheme="minorHAnsi" w:hAnsiTheme="minorHAnsi"/>
        <w:b/>
        <w:noProof/>
        <w:color w:val="1B4C80"/>
        <w:sz w:val="18"/>
        <w:szCs w:val="18"/>
      </w:rPr>
      <w:t>2</w:t>
    </w:r>
    <w:r w:rsidR="00F7307B" w:rsidRPr="00F0550C">
      <w:rPr>
        <w:rFonts w:asciiTheme="minorHAnsi" w:hAnsiTheme="minorHAnsi"/>
        <w:b/>
        <w:color w:val="1B4C8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102" w:rsidRDefault="00487102">
      <w:r>
        <w:separator/>
      </w:r>
    </w:p>
  </w:footnote>
  <w:footnote w:type="continuationSeparator" w:id="0">
    <w:p w:rsidR="00487102" w:rsidRDefault="00487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C4" w:rsidRDefault="003C79C4">
    <w:pPr>
      <w:pStyle w:val="Header"/>
    </w:pPr>
    <w:r w:rsidRPr="003C79C4">
      <w:rPr>
        <w:noProof/>
      </w:rPr>
      <w:drawing>
        <wp:anchor distT="0" distB="0" distL="114300" distR="114300" simplePos="0" relativeHeight="251681280" behindDoc="1" locked="0" layoutInCell="1" allowOverlap="1">
          <wp:simplePos x="0" y="0"/>
          <wp:positionH relativeFrom="page">
            <wp:posOffset>238125</wp:posOffset>
          </wp:positionH>
          <wp:positionV relativeFrom="page">
            <wp:posOffset>257175</wp:posOffset>
          </wp:positionV>
          <wp:extent cx="7315200" cy="6838950"/>
          <wp:effectExtent l="1905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315200" cy="68389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102" w:rsidRDefault="00487102">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9C4" w:rsidRDefault="003C79C4">
    <w:r w:rsidRPr="003C79C4">
      <w:rPr>
        <w:noProof/>
      </w:rPr>
      <w:drawing>
        <wp:anchor distT="0" distB="0" distL="114300" distR="114300" simplePos="0" relativeHeight="251675136" behindDoc="1" locked="0" layoutInCell="1" allowOverlap="1">
          <wp:simplePos x="0" y="0"/>
          <wp:positionH relativeFrom="page">
            <wp:align>left</wp:align>
          </wp:positionH>
          <wp:positionV relativeFrom="page">
            <wp:align>top</wp:align>
          </wp:positionV>
          <wp:extent cx="7772400" cy="1000125"/>
          <wp:effectExtent l="19050" t="0" r="0" b="0"/>
          <wp:wrapNone/>
          <wp:docPr id="7"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AC59F2"/>
    <w:lvl w:ilvl="0">
      <w:start w:val="1"/>
      <w:numFmt w:val="decimal"/>
      <w:lvlText w:val="%1."/>
      <w:lvlJc w:val="left"/>
      <w:pPr>
        <w:tabs>
          <w:tab w:val="num" w:pos="1800"/>
        </w:tabs>
        <w:ind w:left="1800" w:hanging="360"/>
      </w:pPr>
    </w:lvl>
  </w:abstractNum>
  <w:abstractNum w:abstractNumId="1">
    <w:nsid w:val="FFFFFF7D"/>
    <w:multiLevelType w:val="singleLevel"/>
    <w:tmpl w:val="4790ABE4"/>
    <w:lvl w:ilvl="0">
      <w:start w:val="1"/>
      <w:numFmt w:val="decimal"/>
      <w:lvlText w:val="%1."/>
      <w:lvlJc w:val="left"/>
      <w:pPr>
        <w:tabs>
          <w:tab w:val="num" w:pos="1440"/>
        </w:tabs>
        <w:ind w:left="1440" w:hanging="360"/>
      </w:pPr>
    </w:lvl>
  </w:abstractNum>
  <w:abstractNum w:abstractNumId="2">
    <w:nsid w:val="FFFFFF7E"/>
    <w:multiLevelType w:val="singleLevel"/>
    <w:tmpl w:val="FD427174"/>
    <w:lvl w:ilvl="0">
      <w:start w:val="1"/>
      <w:numFmt w:val="decimal"/>
      <w:lvlText w:val="%1."/>
      <w:lvlJc w:val="left"/>
      <w:pPr>
        <w:tabs>
          <w:tab w:val="num" w:pos="1080"/>
        </w:tabs>
        <w:ind w:left="1080" w:hanging="360"/>
      </w:pPr>
    </w:lvl>
  </w:abstractNum>
  <w:abstractNum w:abstractNumId="3">
    <w:nsid w:val="FFFFFF7F"/>
    <w:multiLevelType w:val="singleLevel"/>
    <w:tmpl w:val="91F4B930"/>
    <w:lvl w:ilvl="0">
      <w:start w:val="1"/>
      <w:numFmt w:val="decimal"/>
      <w:lvlText w:val="%1."/>
      <w:lvlJc w:val="left"/>
      <w:pPr>
        <w:tabs>
          <w:tab w:val="num" w:pos="720"/>
        </w:tabs>
        <w:ind w:left="720" w:hanging="360"/>
      </w:pPr>
    </w:lvl>
  </w:abstractNum>
  <w:abstractNum w:abstractNumId="4">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C8FC24"/>
    <w:lvl w:ilvl="0">
      <w:start w:val="1"/>
      <w:numFmt w:val="decimal"/>
      <w:lvlText w:val="%1."/>
      <w:lvlJc w:val="left"/>
      <w:pPr>
        <w:tabs>
          <w:tab w:val="num" w:pos="360"/>
        </w:tabs>
        <w:ind w:left="360" w:hanging="360"/>
      </w:pPr>
    </w:lvl>
  </w:abstractNum>
  <w:abstractNum w:abstractNumId="9">
    <w:nsid w:val="FFFFFF89"/>
    <w:multiLevelType w:val="singleLevel"/>
    <w:tmpl w:val="90CA2534"/>
    <w:lvl w:ilvl="0">
      <w:start w:val="1"/>
      <w:numFmt w:val="bullet"/>
      <w:lvlText w:val=""/>
      <w:lvlJc w:val="left"/>
      <w:pPr>
        <w:tabs>
          <w:tab w:val="num" w:pos="360"/>
        </w:tabs>
        <w:ind w:left="360" w:hanging="360"/>
      </w:pPr>
      <w:rPr>
        <w:rFonts w:ascii="Symbol" w:hAnsi="Symbol" w:hint="default"/>
      </w:rPr>
    </w:lvl>
  </w:abstractNum>
  <w:abstractNum w:abstractNumId="1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18">
    <w:nsid w:val="783F4B0A"/>
    <w:multiLevelType w:val="singleLevel"/>
    <w:tmpl w:val="0409000F"/>
    <w:lvl w:ilvl="0">
      <w:start w:val="1"/>
      <w:numFmt w:val="decimal"/>
      <w:lvlText w:val="%1."/>
      <w:lvlJc w:val="left"/>
      <w:pPr>
        <w:tabs>
          <w:tab w:val="num" w:pos="720"/>
        </w:tabs>
        <w:ind w:left="720" w:hanging="360"/>
      </w:pPr>
    </w:lvl>
  </w:abstractNum>
  <w:num w:numId="1">
    <w:abstractNumId w:val="15"/>
  </w:num>
  <w:num w:numId="2">
    <w:abstractNumId w:val="11"/>
  </w:num>
  <w:num w:numId="3">
    <w:abstractNumId w:val="16"/>
  </w:num>
  <w:num w:numId="4">
    <w:abstractNumId w:val="13"/>
  </w:num>
  <w:num w:numId="5">
    <w:abstractNumId w:val="17"/>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0"/>
  </w:num>
  <w:num w:numId="18">
    <w:abstractNumId w:val="12"/>
  </w:num>
  <w:num w:numId="19">
    <w:abstractNumId w:val="18"/>
  </w:num>
  <w:num w:numId="20">
    <w:abstractNumId w:val="12"/>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14337"/>
  </w:hdrShapeDefaults>
  <w:footnotePr>
    <w:footnote w:id="-1"/>
    <w:footnote w:id="0"/>
  </w:footnotePr>
  <w:endnotePr>
    <w:endnote w:id="-1"/>
    <w:endnote w:id="0"/>
  </w:endnotePr>
  <w:compat/>
  <w:rsids>
    <w:rsidRoot w:val="001574EA"/>
    <w:rsid w:val="00005E9E"/>
    <w:rsid w:val="00011D42"/>
    <w:rsid w:val="00012731"/>
    <w:rsid w:val="000134DE"/>
    <w:rsid w:val="00016278"/>
    <w:rsid w:val="00016A90"/>
    <w:rsid w:val="000334DF"/>
    <w:rsid w:val="000648C1"/>
    <w:rsid w:val="000A70BC"/>
    <w:rsid w:val="000B36CB"/>
    <w:rsid w:val="000B7A04"/>
    <w:rsid w:val="000C53AC"/>
    <w:rsid w:val="000D495A"/>
    <w:rsid w:val="000D7162"/>
    <w:rsid w:val="000E3AB0"/>
    <w:rsid w:val="000F083E"/>
    <w:rsid w:val="000F23CD"/>
    <w:rsid w:val="000F474C"/>
    <w:rsid w:val="00136931"/>
    <w:rsid w:val="00142EF9"/>
    <w:rsid w:val="00156B17"/>
    <w:rsid w:val="001574EA"/>
    <w:rsid w:val="00165D17"/>
    <w:rsid w:val="001E7093"/>
    <w:rsid w:val="001E76A0"/>
    <w:rsid w:val="00276E6E"/>
    <w:rsid w:val="00283FB4"/>
    <w:rsid w:val="00291CBD"/>
    <w:rsid w:val="002C4D7E"/>
    <w:rsid w:val="002E252B"/>
    <w:rsid w:val="003034E8"/>
    <w:rsid w:val="0031395D"/>
    <w:rsid w:val="00317C66"/>
    <w:rsid w:val="00343213"/>
    <w:rsid w:val="00350F33"/>
    <w:rsid w:val="00366A96"/>
    <w:rsid w:val="00374D9C"/>
    <w:rsid w:val="0039275D"/>
    <w:rsid w:val="003C79C4"/>
    <w:rsid w:val="003E1C41"/>
    <w:rsid w:val="003E2916"/>
    <w:rsid w:val="003F1A24"/>
    <w:rsid w:val="003F67A0"/>
    <w:rsid w:val="00410288"/>
    <w:rsid w:val="004110D6"/>
    <w:rsid w:val="00425DA1"/>
    <w:rsid w:val="00437E04"/>
    <w:rsid w:val="004631BF"/>
    <w:rsid w:val="00473E7C"/>
    <w:rsid w:val="004800C7"/>
    <w:rsid w:val="004849A1"/>
    <w:rsid w:val="00487102"/>
    <w:rsid w:val="004928A0"/>
    <w:rsid w:val="004B7DE3"/>
    <w:rsid w:val="004E7B5C"/>
    <w:rsid w:val="004F4DB5"/>
    <w:rsid w:val="005006B9"/>
    <w:rsid w:val="00510652"/>
    <w:rsid w:val="005316C6"/>
    <w:rsid w:val="005316F3"/>
    <w:rsid w:val="00531740"/>
    <w:rsid w:val="00533AF8"/>
    <w:rsid w:val="00561025"/>
    <w:rsid w:val="00573832"/>
    <w:rsid w:val="00590B1A"/>
    <w:rsid w:val="005A721A"/>
    <w:rsid w:val="005B3B10"/>
    <w:rsid w:val="005D3F72"/>
    <w:rsid w:val="005D630D"/>
    <w:rsid w:val="005D66C2"/>
    <w:rsid w:val="005D7219"/>
    <w:rsid w:val="005F467B"/>
    <w:rsid w:val="00605EBB"/>
    <w:rsid w:val="006107C9"/>
    <w:rsid w:val="00615E9A"/>
    <w:rsid w:val="006164A5"/>
    <w:rsid w:val="0062248B"/>
    <w:rsid w:val="006438DA"/>
    <w:rsid w:val="00652754"/>
    <w:rsid w:val="006630D5"/>
    <w:rsid w:val="0067470C"/>
    <w:rsid w:val="00694CD1"/>
    <w:rsid w:val="006B3EC7"/>
    <w:rsid w:val="006C1F78"/>
    <w:rsid w:val="006C5227"/>
    <w:rsid w:val="006C598E"/>
    <w:rsid w:val="006E6C85"/>
    <w:rsid w:val="006E78DA"/>
    <w:rsid w:val="00700563"/>
    <w:rsid w:val="00714E67"/>
    <w:rsid w:val="00725458"/>
    <w:rsid w:val="007254EA"/>
    <w:rsid w:val="007278AC"/>
    <w:rsid w:val="00731E03"/>
    <w:rsid w:val="007357F1"/>
    <w:rsid w:val="00745531"/>
    <w:rsid w:val="0074626C"/>
    <w:rsid w:val="00786644"/>
    <w:rsid w:val="00791651"/>
    <w:rsid w:val="00796B45"/>
    <w:rsid w:val="007D20EC"/>
    <w:rsid w:val="008375F6"/>
    <w:rsid w:val="008607F6"/>
    <w:rsid w:val="008965C6"/>
    <w:rsid w:val="008B0BF6"/>
    <w:rsid w:val="008B5101"/>
    <w:rsid w:val="008B79A4"/>
    <w:rsid w:val="008C575F"/>
    <w:rsid w:val="008D2C9C"/>
    <w:rsid w:val="008E1F96"/>
    <w:rsid w:val="00921DF5"/>
    <w:rsid w:val="00954A19"/>
    <w:rsid w:val="00957A90"/>
    <w:rsid w:val="00963440"/>
    <w:rsid w:val="00971884"/>
    <w:rsid w:val="009736C0"/>
    <w:rsid w:val="00974A65"/>
    <w:rsid w:val="00981FAB"/>
    <w:rsid w:val="00985911"/>
    <w:rsid w:val="00987647"/>
    <w:rsid w:val="009A7059"/>
    <w:rsid w:val="009E6868"/>
    <w:rsid w:val="009F5B4C"/>
    <w:rsid w:val="00A32C8B"/>
    <w:rsid w:val="00A35DA7"/>
    <w:rsid w:val="00A404B3"/>
    <w:rsid w:val="00A511E3"/>
    <w:rsid w:val="00A6738A"/>
    <w:rsid w:val="00A72A0B"/>
    <w:rsid w:val="00A81D53"/>
    <w:rsid w:val="00A86495"/>
    <w:rsid w:val="00A8778C"/>
    <w:rsid w:val="00AC5C4A"/>
    <w:rsid w:val="00AD4871"/>
    <w:rsid w:val="00AD5F7F"/>
    <w:rsid w:val="00AE3FC5"/>
    <w:rsid w:val="00AF010B"/>
    <w:rsid w:val="00AF3978"/>
    <w:rsid w:val="00AF57EA"/>
    <w:rsid w:val="00B255C9"/>
    <w:rsid w:val="00B375B5"/>
    <w:rsid w:val="00B52B63"/>
    <w:rsid w:val="00B85474"/>
    <w:rsid w:val="00BA34E0"/>
    <w:rsid w:val="00BA44FC"/>
    <w:rsid w:val="00BA70F4"/>
    <w:rsid w:val="00BB054E"/>
    <w:rsid w:val="00BE5580"/>
    <w:rsid w:val="00BE7ADB"/>
    <w:rsid w:val="00C06D02"/>
    <w:rsid w:val="00C30102"/>
    <w:rsid w:val="00C5560E"/>
    <w:rsid w:val="00C85AFF"/>
    <w:rsid w:val="00CB45C9"/>
    <w:rsid w:val="00CC7BE7"/>
    <w:rsid w:val="00D228D6"/>
    <w:rsid w:val="00D25825"/>
    <w:rsid w:val="00D64F03"/>
    <w:rsid w:val="00D74FE5"/>
    <w:rsid w:val="00D92E3D"/>
    <w:rsid w:val="00DA634C"/>
    <w:rsid w:val="00DA79F2"/>
    <w:rsid w:val="00DB62EC"/>
    <w:rsid w:val="00DC422C"/>
    <w:rsid w:val="00DC4D5F"/>
    <w:rsid w:val="00DC55D3"/>
    <w:rsid w:val="00DF5C29"/>
    <w:rsid w:val="00E272A0"/>
    <w:rsid w:val="00E33C7C"/>
    <w:rsid w:val="00E471AE"/>
    <w:rsid w:val="00E87F83"/>
    <w:rsid w:val="00EA2530"/>
    <w:rsid w:val="00EA67BE"/>
    <w:rsid w:val="00ED674A"/>
    <w:rsid w:val="00EE4550"/>
    <w:rsid w:val="00F0550C"/>
    <w:rsid w:val="00F453A7"/>
    <w:rsid w:val="00F7270C"/>
    <w:rsid w:val="00F7307B"/>
    <w:rsid w:val="00F86667"/>
    <w:rsid w:val="00FB1248"/>
    <w:rsid w:val="00FC7B36"/>
    <w:rsid w:val="00FD239B"/>
    <w:rsid w:val="00FF1F9B"/>
    <w:rsid w:val="00FF4905"/>
    <w:rsid w:val="00FF52F5"/>
    <w:rsid w:val="00FF6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character" w:customStyle="1" w:styleId="BoxText">
    <w:name w:val="Box Text"/>
    <w:basedOn w:val="DefaultParagraphFont"/>
    <w:rsid w:val="00AC5C4A"/>
    <w:rPr>
      <w:rFonts w:ascii="Arial" w:hAnsi="Arial"/>
      <w:sz w:val="20"/>
    </w:rPr>
  </w:style>
  <w:style w:type="paragraph" w:styleId="FootnoteText">
    <w:name w:val="footnote text"/>
    <w:basedOn w:val="Normal"/>
    <w:link w:val="FootnoteTextChar"/>
    <w:semiHidden/>
    <w:rsid w:val="00AC5C4A"/>
    <w:pPr>
      <w:spacing w:after="240"/>
    </w:pPr>
    <w:rPr>
      <w:sz w:val="20"/>
      <w:szCs w:val="20"/>
    </w:rPr>
  </w:style>
  <w:style w:type="character" w:customStyle="1" w:styleId="FootnoteTextChar">
    <w:name w:val="Footnote Text Char"/>
    <w:basedOn w:val="DefaultParagraphFont"/>
    <w:link w:val="FootnoteText"/>
    <w:semiHidden/>
    <w:rsid w:val="00AC5C4A"/>
  </w:style>
  <w:style w:type="paragraph" w:styleId="ListBullet">
    <w:name w:val="List Bullet"/>
    <w:basedOn w:val="Normal"/>
    <w:rsid w:val="00AC5C4A"/>
    <w:pPr>
      <w:numPr>
        <w:numId w:val="17"/>
      </w:numPr>
    </w:pPr>
    <w:rPr>
      <w:sz w:val="22"/>
      <w:szCs w:val="20"/>
    </w:rPr>
  </w:style>
  <w:style w:type="paragraph" w:customStyle="1" w:styleId="Bullet">
    <w:name w:val="Bullet"/>
    <w:basedOn w:val="Normal"/>
    <w:rsid w:val="00AC5C4A"/>
    <w:pPr>
      <w:numPr>
        <w:numId w:val="18"/>
      </w:numPr>
      <w:spacing w:before="120"/>
    </w:pPr>
    <w:rPr>
      <w:sz w:val="22"/>
      <w:szCs w:val="20"/>
    </w:rPr>
  </w:style>
  <w:style w:type="character" w:styleId="Hyperlink">
    <w:name w:val="Hyperlink"/>
    <w:basedOn w:val="DefaultParagraphFont"/>
    <w:uiPriority w:val="99"/>
    <w:unhideWhenUsed/>
    <w:rsid w:val="00AC5C4A"/>
    <w:rPr>
      <w:color w:val="0000FF" w:themeColor="hyperlink"/>
      <w:u w:val="single"/>
    </w:rPr>
  </w:style>
  <w:style w:type="character" w:styleId="FollowedHyperlink">
    <w:name w:val="FollowedHyperlink"/>
    <w:basedOn w:val="DefaultParagraphFont"/>
    <w:uiPriority w:val="99"/>
    <w:semiHidden/>
    <w:unhideWhenUsed/>
    <w:rsid w:val="000F08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net/nercsurvey/Survey.aspx?s=d53d5a187c0a4bb789033d07b651a68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hyperlink" Target="http://www.nerc.com/pa/Stand/Pages/Project2007172ProtectionSystemMaintenanceand-TestingPhase2ReclosingRelays.asp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l.McMeekin@nerc.ne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884E847FDD16E498080C3DE81562C9E" ma:contentTypeVersion="27" ma:contentTypeDescription="Create a new document." ma:contentTypeScope="" ma:versionID="2cf6a034c9e28cea3691c967f768cfae">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17518-9540-47D9-9DF5-8C4608BA9157}"/>
</file>

<file path=customXml/itemProps2.xml><?xml version="1.0" encoding="utf-8"?>
<ds:datastoreItem xmlns:ds="http://schemas.openxmlformats.org/officeDocument/2006/customXml" ds:itemID="{D3EDDC86-40A6-476D-AB4F-D62A7634C226}"/>
</file>

<file path=customXml/itemProps3.xml><?xml version="1.0" encoding="utf-8"?>
<ds:datastoreItem xmlns:ds="http://schemas.openxmlformats.org/officeDocument/2006/customXml" ds:itemID="{9196958C-B5E7-48B4-ACF9-E270E30FD12E}"/>
</file>

<file path=customXml/itemProps4.xml><?xml version="1.0" encoding="utf-8"?>
<ds:datastoreItem xmlns:ds="http://schemas.openxmlformats.org/officeDocument/2006/customXml" ds:itemID="{86417518-9540-47D9-9DF5-8C4608BA9157}"/>
</file>

<file path=customXml/itemProps5.xml><?xml version="1.0" encoding="utf-8"?>
<ds:datastoreItem xmlns:ds="http://schemas.openxmlformats.org/officeDocument/2006/customXml" ds:itemID="{6E712F6B-0455-408B-81BB-ACDD6D1DF954}"/>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5191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sandbergw</cp:lastModifiedBy>
  <cp:revision>2</cp:revision>
  <cp:lastPrinted>2011-03-01T17:03:00Z</cp:lastPrinted>
  <dcterms:created xsi:type="dcterms:W3CDTF">2013-07-10T12:33:00Z</dcterms:created>
  <dcterms:modified xsi:type="dcterms:W3CDTF">2013-07-10T12:33:00Z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AdHocReviewCycleID">
    <vt:i4>860992902</vt:i4>
  </property>
  <property fmtid="{D5CDD505-2E9C-101B-9397-08002B2CF9AE}" pid="7" name="_EmailSubject">
    <vt:lpwstr>Our March 20-21 mtg</vt:lpwstr>
  </property>
  <property fmtid="{D5CDD505-2E9C-101B-9397-08002B2CF9AE}" pid="8" name="_AuthorEmail">
    <vt:lpwstr>PBWINSTO@southernco.com</vt:lpwstr>
  </property>
  <property fmtid="{D5CDD505-2E9C-101B-9397-08002B2CF9AE}" pid="9" name="_AuthorEmailDisplayName">
    <vt:lpwstr>Winston, Phil B.</vt:lpwstr>
  </property>
  <property fmtid="{D5CDD505-2E9C-101B-9397-08002B2CF9AE}" pid="10" name="_ReviewingToolsShownOnce">
    <vt:lpwstr/>
  </property>
  <property fmtid="{D5CDD505-2E9C-101B-9397-08002B2CF9AE}" pid="11" name="ContentTypeId">
    <vt:lpwstr>0x0101001884E847FDD16E498080C3DE81562C9E</vt:lpwstr>
  </property>
  <property fmtid="{D5CDD505-2E9C-101B-9397-08002B2CF9AE}" pid="12" name="_dlc_DocIdItemGuid">
    <vt:lpwstr>e418e101-65e7-42a5-a3a9-5b3380665ede</vt:lpwstr>
  </property>
</Properties>
</file>