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FE1" w:rsidRPr="00560627" w:rsidRDefault="00B52FE1" w:rsidP="00B52FE1">
      <w:pPr>
        <w:pStyle w:val="Heading1"/>
        <w:rPr>
          <w:rFonts w:ascii="Times New Roman" w:hAnsi="Times New Roman" w:cs="Times New Roman"/>
          <w:bCs w:val="0"/>
          <w:color w:val="264D74"/>
          <w:sz w:val="24"/>
        </w:rPr>
      </w:pPr>
      <w:bookmarkStart w:id="0" w:name="_Toc253051398"/>
      <w:r w:rsidRPr="00560627">
        <w:rPr>
          <w:rFonts w:ascii="Times New Roman" w:hAnsi="Times New Roman" w:cs="Times New Roman"/>
          <w:bCs w:val="0"/>
          <w:color w:val="264D74"/>
          <w:sz w:val="24"/>
        </w:rPr>
        <w:t xml:space="preserve">Standard Development </w:t>
      </w:r>
      <w:bookmarkEnd w:id="0"/>
      <w:r w:rsidRPr="00560627">
        <w:rPr>
          <w:rFonts w:ascii="Times New Roman" w:hAnsi="Times New Roman" w:cs="Times New Roman"/>
          <w:bCs w:val="0"/>
          <w:color w:val="264D74"/>
          <w:sz w:val="24"/>
        </w:rPr>
        <w:t>Timeline</w:t>
      </w:r>
    </w:p>
    <w:p w:rsidR="00B52FE1" w:rsidRPr="00560627" w:rsidRDefault="009E24B5" w:rsidP="00B52FE1">
      <w:pPr>
        <w:pStyle w:val="Heading1"/>
        <w:tabs>
          <w:tab w:val="left" w:pos="837"/>
        </w:tabs>
        <w:rPr>
          <w:rFonts w:ascii="Times New Roman" w:hAnsi="Times New Roman" w:cs="Times New Roman"/>
        </w:rPr>
      </w:pPr>
      <w:bookmarkStart w:id="1" w:name="_Toc195946282"/>
      <w:bookmarkStart w:id="2" w:name="_Toc195946352"/>
      <w:bookmarkStart w:id="3" w:name="_Toc195946386"/>
      <w:bookmarkStart w:id="4" w:name="_Toc195946479"/>
      <w:bookmarkStart w:id="5" w:name="_Toc253041105"/>
      <w:bookmarkStart w:id="6" w:name="_Toc253041344"/>
      <w:bookmarkStart w:id="7" w:name="_Toc253041735"/>
      <w:bookmarkStart w:id="8" w:name="_Toc253041960"/>
      <w:bookmarkStart w:id="9" w:name="_Toc253042842"/>
      <w:bookmarkStart w:id="10" w:name="_Toc253043741"/>
      <w:bookmarkStart w:id="11" w:name="_Toc253043786"/>
      <w:bookmarkStart w:id="12" w:name="_Toc253045041"/>
      <w:bookmarkStart w:id="13" w:name="_Toc253047123"/>
      <w:bookmarkStart w:id="14" w:name="_Toc253049848"/>
      <w:bookmarkStart w:id="15" w:name="_Toc253049895"/>
      <w:bookmarkStart w:id="16" w:name="_Toc253051234"/>
      <w:bookmarkStart w:id="17" w:name="_Toc253051308"/>
      <w:bookmarkStart w:id="18" w:name="_Toc253051352"/>
      <w:bookmarkStart w:id="19" w:name="_Toc253051399"/>
      <w:r>
        <w:rPr>
          <w:rFonts w:ascii="Times New Roman" w:hAnsi="Times New Roman" w:cs="Times New Roman"/>
          <w:noProof/>
        </w:rPr>
        <w:pict>
          <v:rect id="_x0000_s1026" style="position:absolute;margin-left:0;margin-top:2.85pt;width:470.25pt;height:3.6pt;z-index:251654144" stroked="f">
            <v:fill color2="#264d74" rotate="t" angle="-90" type="gradient"/>
          </v:rect>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B52FE1" w:rsidRPr="00560627">
        <w:rPr>
          <w:rFonts w:ascii="Times New Roman" w:hAnsi="Times New Roman" w:cs="Times New Roman"/>
        </w:rPr>
        <w:tab/>
      </w:r>
    </w:p>
    <w:p w:rsidR="00B52FE1" w:rsidRPr="00560627" w:rsidRDefault="00B52FE1" w:rsidP="00B52FE1">
      <w:pPr>
        <w:rPr>
          <w:i/>
        </w:rPr>
      </w:pPr>
      <w:r w:rsidRPr="00560627">
        <w:rPr>
          <w:i/>
        </w:rPr>
        <w:t xml:space="preserve">This section is maintained by the drafting team during the development of the standard and will be removed when the standard becomes effective.  </w:t>
      </w:r>
    </w:p>
    <w:p w:rsidR="00B52FE1" w:rsidRPr="00560627" w:rsidRDefault="00B52FE1" w:rsidP="00B52FE1">
      <w:pPr>
        <w:rPr>
          <w:b/>
        </w:rPr>
      </w:pPr>
    </w:p>
    <w:p w:rsidR="00B52FE1" w:rsidRPr="00560627" w:rsidRDefault="00B52FE1" w:rsidP="00B52FE1">
      <w:pPr>
        <w:pStyle w:val="Heading3"/>
        <w:rPr>
          <w:rFonts w:ascii="Times New Roman" w:hAnsi="Times New Roman"/>
          <w:sz w:val="24"/>
          <w:szCs w:val="24"/>
        </w:rPr>
      </w:pPr>
      <w:bookmarkStart w:id="20" w:name="_Toc253051400"/>
      <w:r w:rsidRPr="00560627">
        <w:rPr>
          <w:rFonts w:ascii="Times New Roman" w:hAnsi="Times New Roman"/>
          <w:sz w:val="24"/>
          <w:szCs w:val="24"/>
        </w:rPr>
        <w:t>Development Steps Completed</w:t>
      </w:r>
      <w:bookmarkEnd w:id="20"/>
    </w:p>
    <w:p w:rsidR="00B52FE1" w:rsidRPr="00560627" w:rsidRDefault="00B52FE1" w:rsidP="00B52FE1">
      <w:pPr>
        <w:numPr>
          <w:ilvl w:val="0"/>
          <w:numId w:val="7"/>
        </w:numPr>
      </w:pPr>
      <w:r w:rsidRPr="00560627">
        <w:t>SAR posted for comment</w:t>
      </w:r>
      <w:r w:rsidR="00901427" w:rsidRPr="00560627">
        <w:t xml:space="preserve"> (July 2, 2008 through July 31, 2008).</w:t>
      </w:r>
    </w:p>
    <w:p w:rsidR="00901427" w:rsidRPr="00560627" w:rsidRDefault="00901427" w:rsidP="00B52FE1">
      <w:pPr>
        <w:numPr>
          <w:ilvl w:val="0"/>
          <w:numId w:val="7"/>
        </w:numPr>
      </w:pPr>
      <w:r w:rsidRPr="00560627">
        <w:rPr>
          <w:szCs w:val="22"/>
        </w:rPr>
        <w:t>Revised SAR and response to comments posted (December 1, 2008).</w:t>
      </w:r>
    </w:p>
    <w:p w:rsidR="00B52FE1" w:rsidRPr="00560627" w:rsidRDefault="00B52FE1" w:rsidP="00B52FE1">
      <w:pPr>
        <w:numPr>
          <w:ilvl w:val="0"/>
          <w:numId w:val="7"/>
        </w:numPr>
      </w:pPr>
      <w:r w:rsidRPr="00560627">
        <w:t>SC authorized moving the SAR forward to standard development (</w:t>
      </w:r>
      <w:r w:rsidR="00901427" w:rsidRPr="00560627">
        <w:rPr>
          <w:szCs w:val="22"/>
        </w:rPr>
        <w:t>December 16–17, 2008).</w:t>
      </w:r>
    </w:p>
    <w:p w:rsidR="00901427" w:rsidRPr="00560627" w:rsidRDefault="00901427" w:rsidP="00901427">
      <w:pPr>
        <w:numPr>
          <w:ilvl w:val="0"/>
          <w:numId w:val="7"/>
        </w:numPr>
        <w:rPr>
          <w:szCs w:val="22"/>
        </w:rPr>
      </w:pPr>
      <w:r w:rsidRPr="00560627">
        <w:rPr>
          <w:szCs w:val="22"/>
        </w:rPr>
        <w:t xml:space="preserve">SDT appointed on (February 12, 2009). </w:t>
      </w:r>
    </w:p>
    <w:p w:rsidR="00901427" w:rsidRPr="00560627" w:rsidRDefault="00901427" w:rsidP="00901427">
      <w:pPr>
        <w:numPr>
          <w:ilvl w:val="0"/>
          <w:numId w:val="7"/>
        </w:numPr>
        <w:rPr>
          <w:szCs w:val="22"/>
        </w:rPr>
      </w:pPr>
      <w:r w:rsidRPr="00560627">
        <w:rPr>
          <w:szCs w:val="22"/>
        </w:rPr>
        <w:t>First draft of proposed standard posted (November 10, 2009).</w:t>
      </w:r>
    </w:p>
    <w:p w:rsidR="00901427" w:rsidRPr="00560627" w:rsidRDefault="00901427" w:rsidP="00901427">
      <w:pPr>
        <w:numPr>
          <w:ilvl w:val="0"/>
          <w:numId w:val="7"/>
        </w:numPr>
        <w:rPr>
          <w:szCs w:val="22"/>
        </w:rPr>
      </w:pPr>
      <w:r w:rsidRPr="00560627">
        <w:rPr>
          <w:szCs w:val="22"/>
        </w:rPr>
        <w:t xml:space="preserve">Second draft of proposed standard posted (May 31, 2010).   </w:t>
      </w:r>
    </w:p>
    <w:p w:rsidR="00B52FE1" w:rsidRPr="00560627" w:rsidRDefault="00B52FE1" w:rsidP="00B52FE1">
      <w:r w:rsidRPr="00560627">
        <w:t xml:space="preserve"> </w:t>
      </w:r>
    </w:p>
    <w:p w:rsidR="00B52FE1" w:rsidRPr="00560627" w:rsidRDefault="00B52FE1" w:rsidP="00B52FE1">
      <w:pPr>
        <w:pStyle w:val="Heading3"/>
        <w:rPr>
          <w:rFonts w:ascii="Times New Roman" w:hAnsi="Times New Roman"/>
          <w:sz w:val="24"/>
          <w:szCs w:val="24"/>
        </w:rPr>
      </w:pPr>
      <w:bookmarkStart w:id="21" w:name="_Toc253051401"/>
      <w:r w:rsidRPr="00560627">
        <w:rPr>
          <w:rFonts w:ascii="Times New Roman" w:hAnsi="Times New Roman"/>
          <w:sz w:val="24"/>
          <w:szCs w:val="24"/>
        </w:rPr>
        <w:t>Description of Current Draft</w:t>
      </w:r>
      <w:bookmarkEnd w:id="21"/>
    </w:p>
    <w:p w:rsidR="00901427" w:rsidRPr="00560627" w:rsidRDefault="00901427" w:rsidP="00901427">
      <w:r w:rsidRPr="00560627">
        <w:t>This is the second draft of the proposed standard posted for stakeholder comments.  This draft includes the modifications based on comments submitted by stakeholders, as well as items identified in the SAR and applicable FERC directives from FERC Order 693.</w:t>
      </w:r>
    </w:p>
    <w:p w:rsidR="00B52FE1" w:rsidRPr="00560627" w:rsidRDefault="00B52FE1" w:rsidP="00B52FE1"/>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2232"/>
      </w:tblGrid>
      <w:tr w:rsidR="00B52FE1" w:rsidRPr="00560627" w:rsidTr="00B52FE1">
        <w:tc>
          <w:tcPr>
            <w:tcW w:w="6948" w:type="dxa"/>
            <w:shd w:val="clear" w:color="auto" w:fill="264D74"/>
          </w:tcPr>
          <w:p w:rsidR="00B52FE1" w:rsidRPr="00560627" w:rsidRDefault="00B52FE1" w:rsidP="00B52FE1">
            <w:pPr>
              <w:spacing w:before="120"/>
              <w:jc w:val="center"/>
              <w:rPr>
                <w:b/>
                <w:color w:val="FFFFFF"/>
              </w:rPr>
            </w:pPr>
            <w:r w:rsidRPr="00560627">
              <w:rPr>
                <w:b/>
                <w:color w:val="FFFFFF"/>
              </w:rPr>
              <w:t>Anticipated Actions</w:t>
            </w:r>
          </w:p>
        </w:tc>
        <w:tc>
          <w:tcPr>
            <w:tcW w:w="2232" w:type="dxa"/>
            <w:shd w:val="clear" w:color="auto" w:fill="264D74"/>
          </w:tcPr>
          <w:p w:rsidR="00B52FE1" w:rsidRPr="00560627" w:rsidRDefault="00B52FE1" w:rsidP="00B52FE1">
            <w:pPr>
              <w:spacing w:before="120"/>
              <w:jc w:val="center"/>
              <w:rPr>
                <w:b/>
                <w:color w:val="FFFFFF"/>
              </w:rPr>
            </w:pPr>
            <w:r w:rsidRPr="00560627">
              <w:rPr>
                <w:b/>
                <w:color w:val="FFFFFF"/>
              </w:rPr>
              <w:t>Anticipated Date</w:t>
            </w:r>
          </w:p>
        </w:tc>
      </w:tr>
      <w:tr w:rsidR="00901427" w:rsidRPr="00560627" w:rsidTr="00B52FE1">
        <w:tc>
          <w:tcPr>
            <w:tcW w:w="6948" w:type="dxa"/>
          </w:tcPr>
          <w:p w:rsidR="00901427" w:rsidRPr="00560627" w:rsidRDefault="00901427" w:rsidP="00B52FE1">
            <w:pPr>
              <w:spacing w:before="60"/>
            </w:pPr>
            <w:r w:rsidRPr="00560627">
              <w:t>30-day Formal Comment Period</w:t>
            </w:r>
          </w:p>
        </w:tc>
        <w:tc>
          <w:tcPr>
            <w:tcW w:w="2232" w:type="dxa"/>
          </w:tcPr>
          <w:p w:rsidR="00901427" w:rsidRPr="00560627" w:rsidRDefault="00901427" w:rsidP="00901427">
            <w:pPr>
              <w:spacing w:before="60"/>
              <w:rPr>
                <w:highlight w:val="yellow"/>
              </w:rPr>
            </w:pPr>
            <w:r w:rsidRPr="00560627">
              <w:t>September 2010</w:t>
            </w:r>
          </w:p>
        </w:tc>
      </w:tr>
      <w:tr w:rsidR="00901427" w:rsidRPr="00560627" w:rsidTr="00B52FE1">
        <w:tc>
          <w:tcPr>
            <w:tcW w:w="6948" w:type="dxa"/>
          </w:tcPr>
          <w:p w:rsidR="00901427" w:rsidRPr="00560627" w:rsidRDefault="00901427" w:rsidP="00B52FE1">
            <w:pPr>
              <w:spacing w:before="60"/>
            </w:pPr>
            <w:r w:rsidRPr="00560627">
              <w:t>45-day Formal Comment Period with Parallel Initial Ballot</w:t>
            </w:r>
          </w:p>
        </w:tc>
        <w:tc>
          <w:tcPr>
            <w:tcW w:w="2232" w:type="dxa"/>
          </w:tcPr>
          <w:p w:rsidR="00901427" w:rsidRPr="00560627" w:rsidRDefault="00901427" w:rsidP="00901427">
            <w:pPr>
              <w:spacing w:before="60"/>
              <w:rPr>
                <w:highlight w:val="yellow"/>
              </w:rPr>
            </w:pPr>
            <w:r w:rsidRPr="00560627">
              <w:t>October 2010</w:t>
            </w:r>
          </w:p>
        </w:tc>
      </w:tr>
      <w:tr w:rsidR="00901427" w:rsidRPr="00560627" w:rsidTr="00B52FE1">
        <w:tc>
          <w:tcPr>
            <w:tcW w:w="6948" w:type="dxa"/>
          </w:tcPr>
          <w:p w:rsidR="00901427" w:rsidRPr="00560627" w:rsidRDefault="00901427" w:rsidP="00B52FE1">
            <w:pPr>
              <w:spacing w:before="60"/>
            </w:pPr>
            <w:r w:rsidRPr="00560627">
              <w:t>30-day Formal Comment Period with Parallel Successive Ballot</w:t>
            </w:r>
          </w:p>
        </w:tc>
        <w:tc>
          <w:tcPr>
            <w:tcW w:w="2232" w:type="dxa"/>
          </w:tcPr>
          <w:p w:rsidR="00901427" w:rsidRPr="00560627" w:rsidDel="00D463E3" w:rsidRDefault="00901427" w:rsidP="00901427">
            <w:pPr>
              <w:spacing w:before="60"/>
            </w:pPr>
            <w:r w:rsidRPr="00560627">
              <w:t>December 2010</w:t>
            </w:r>
          </w:p>
        </w:tc>
      </w:tr>
      <w:tr w:rsidR="00901427" w:rsidRPr="00560627" w:rsidTr="00B52FE1">
        <w:tc>
          <w:tcPr>
            <w:tcW w:w="6948" w:type="dxa"/>
          </w:tcPr>
          <w:p w:rsidR="00901427" w:rsidRPr="00560627" w:rsidRDefault="00901427" w:rsidP="00B52FE1">
            <w:pPr>
              <w:spacing w:before="60"/>
            </w:pPr>
            <w:r w:rsidRPr="00560627">
              <w:t>Recirculation ballot</w:t>
            </w:r>
          </w:p>
        </w:tc>
        <w:tc>
          <w:tcPr>
            <w:tcW w:w="2232" w:type="dxa"/>
          </w:tcPr>
          <w:p w:rsidR="00901427" w:rsidRPr="00560627" w:rsidRDefault="00901427" w:rsidP="00901427">
            <w:pPr>
              <w:spacing w:before="60"/>
            </w:pPr>
            <w:r w:rsidRPr="00560627">
              <w:t>December 2010</w:t>
            </w:r>
          </w:p>
        </w:tc>
      </w:tr>
      <w:tr w:rsidR="00901427" w:rsidRPr="00560627" w:rsidTr="00B52FE1">
        <w:tc>
          <w:tcPr>
            <w:tcW w:w="6948" w:type="dxa"/>
          </w:tcPr>
          <w:p w:rsidR="00901427" w:rsidRPr="00560627" w:rsidRDefault="00901427" w:rsidP="00B52FE1">
            <w:pPr>
              <w:spacing w:before="60"/>
            </w:pPr>
            <w:r w:rsidRPr="00560627">
              <w:t>BOT adoption</w:t>
            </w:r>
          </w:p>
        </w:tc>
        <w:tc>
          <w:tcPr>
            <w:tcW w:w="2232" w:type="dxa"/>
          </w:tcPr>
          <w:p w:rsidR="00901427" w:rsidRPr="00560627" w:rsidRDefault="00901427" w:rsidP="00901427">
            <w:pPr>
              <w:spacing w:before="60"/>
            </w:pPr>
            <w:r w:rsidRPr="00560627">
              <w:t>December 2010</w:t>
            </w:r>
          </w:p>
        </w:tc>
      </w:tr>
      <w:tr w:rsidR="00901427" w:rsidRPr="00560627" w:rsidTr="00B52FE1">
        <w:tc>
          <w:tcPr>
            <w:tcW w:w="6948" w:type="dxa"/>
          </w:tcPr>
          <w:p w:rsidR="00901427" w:rsidRPr="00560627" w:rsidRDefault="00901427" w:rsidP="00B52FE1">
            <w:pPr>
              <w:spacing w:before="60"/>
            </w:pPr>
            <w:r w:rsidRPr="00560627">
              <w:t>File standard with regulatory authorities.</w:t>
            </w:r>
          </w:p>
        </w:tc>
        <w:tc>
          <w:tcPr>
            <w:tcW w:w="2232" w:type="dxa"/>
          </w:tcPr>
          <w:p w:rsidR="00901427" w:rsidRPr="00560627" w:rsidRDefault="00901427" w:rsidP="00901427">
            <w:pPr>
              <w:spacing w:before="60"/>
            </w:pPr>
            <w:r w:rsidRPr="00560627">
              <w:t>February 2011</w:t>
            </w:r>
          </w:p>
        </w:tc>
      </w:tr>
    </w:tbl>
    <w:p w:rsidR="00B52FE1" w:rsidRPr="00560627" w:rsidRDefault="00B52FE1" w:rsidP="00B52FE1">
      <w:r w:rsidRPr="00560627">
        <w:t xml:space="preserve"> </w:t>
      </w:r>
    </w:p>
    <w:p w:rsidR="00B52FE1" w:rsidRPr="00560627" w:rsidRDefault="00B52FE1" w:rsidP="00B52FE1">
      <w:pPr>
        <w:pStyle w:val="Heading1"/>
        <w:rPr>
          <w:rFonts w:ascii="Times New Roman" w:hAnsi="Times New Roman" w:cs="Times New Roman"/>
          <w:bCs w:val="0"/>
          <w:color w:val="264D74"/>
          <w:sz w:val="24"/>
        </w:rPr>
      </w:pPr>
      <w:r w:rsidRPr="00560627">
        <w:rPr>
          <w:rFonts w:ascii="Times New Roman" w:hAnsi="Times New Roman" w:cs="Times New Roman"/>
          <w:b w:val="0"/>
        </w:rPr>
        <w:br w:type="page"/>
      </w:r>
      <w:r w:rsidRPr="00560627">
        <w:rPr>
          <w:rFonts w:ascii="Times New Roman" w:hAnsi="Times New Roman" w:cs="Times New Roman"/>
          <w:bCs w:val="0"/>
          <w:color w:val="264D74"/>
          <w:sz w:val="24"/>
        </w:rPr>
        <w:lastRenderedPageBreak/>
        <w:t>Effective Dates</w:t>
      </w:r>
    </w:p>
    <w:p w:rsidR="00B52FE1" w:rsidRPr="00560627" w:rsidRDefault="00901427" w:rsidP="00B52FE1">
      <w:r w:rsidRPr="00560627">
        <w:rPr>
          <w:szCs w:val="22"/>
        </w:rPr>
        <w:t xml:space="preserve">First day of the second calendar quarter following the date this standard is approved by applicable regulatory </w:t>
      </w:r>
      <w:proofErr w:type="gramStart"/>
      <w:r w:rsidRPr="00560627">
        <w:rPr>
          <w:szCs w:val="22"/>
        </w:rPr>
        <w:t>authorities,</w:t>
      </w:r>
      <w:proofErr w:type="gramEnd"/>
      <w:r w:rsidRPr="00560627">
        <w:rPr>
          <w:szCs w:val="22"/>
        </w:rPr>
        <w:t xml:space="preserve"> or in those jurisdictions where regulatory approval is not required, the standard becomes effective on the first day of the second calendar quarter after the date this standard is approved by the NERC Board of Trustees.</w:t>
      </w:r>
    </w:p>
    <w:p w:rsidR="00B52FE1" w:rsidRPr="00560627" w:rsidRDefault="00B52FE1" w:rsidP="00B52FE1">
      <w:pPr>
        <w:pStyle w:val="Heading1"/>
        <w:rPr>
          <w:rFonts w:ascii="Times New Roman" w:hAnsi="Times New Roman" w:cs="Times New Roman"/>
          <w:bCs w:val="0"/>
          <w:color w:val="264D74"/>
          <w:sz w:val="24"/>
        </w:rPr>
      </w:pPr>
      <w:r w:rsidRPr="00560627">
        <w:rPr>
          <w:rFonts w:ascii="Times New Roman" w:hAnsi="Times New Roman" w:cs="Times New Roman"/>
          <w:bCs w:val="0"/>
          <w:color w:val="264D74"/>
          <w:sz w:val="24"/>
        </w:rPr>
        <w:t>Version History</w:t>
      </w:r>
    </w:p>
    <w:p w:rsidR="00B52FE1" w:rsidRPr="00560627" w:rsidRDefault="00B52FE1" w:rsidP="00B52FE1"/>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717"/>
        <w:gridCol w:w="4144"/>
        <w:gridCol w:w="1980"/>
      </w:tblGrid>
      <w:tr w:rsidR="00B52FE1" w:rsidRPr="00560627" w:rsidTr="00386F36">
        <w:tc>
          <w:tcPr>
            <w:tcW w:w="1609" w:type="dxa"/>
            <w:shd w:val="clear" w:color="auto" w:fill="5D85A9"/>
          </w:tcPr>
          <w:p w:rsidR="00B52FE1" w:rsidRPr="00560627" w:rsidRDefault="00B52FE1" w:rsidP="00B52FE1">
            <w:pPr>
              <w:spacing w:before="120"/>
              <w:jc w:val="center"/>
              <w:rPr>
                <w:b/>
                <w:color w:val="FFFFFF"/>
                <w:szCs w:val="22"/>
              </w:rPr>
            </w:pPr>
            <w:r w:rsidRPr="00560627">
              <w:rPr>
                <w:b/>
                <w:color w:val="FFFFFF"/>
                <w:szCs w:val="22"/>
              </w:rPr>
              <w:t>Version</w:t>
            </w:r>
          </w:p>
        </w:tc>
        <w:tc>
          <w:tcPr>
            <w:tcW w:w="1717" w:type="dxa"/>
            <w:shd w:val="clear" w:color="auto" w:fill="5D85A9"/>
          </w:tcPr>
          <w:p w:rsidR="00B52FE1" w:rsidRPr="00560627" w:rsidRDefault="00B52FE1" w:rsidP="00B52FE1">
            <w:pPr>
              <w:spacing w:before="120"/>
              <w:jc w:val="center"/>
              <w:rPr>
                <w:b/>
                <w:color w:val="FFFFFF"/>
                <w:szCs w:val="22"/>
              </w:rPr>
            </w:pPr>
            <w:r w:rsidRPr="00560627">
              <w:rPr>
                <w:b/>
                <w:color w:val="FFFFFF"/>
                <w:szCs w:val="22"/>
              </w:rPr>
              <w:t>Date</w:t>
            </w:r>
          </w:p>
        </w:tc>
        <w:tc>
          <w:tcPr>
            <w:tcW w:w="4144" w:type="dxa"/>
            <w:shd w:val="clear" w:color="auto" w:fill="5D85A9"/>
          </w:tcPr>
          <w:p w:rsidR="00B52FE1" w:rsidRPr="00560627" w:rsidRDefault="00B52FE1" w:rsidP="00B52FE1">
            <w:pPr>
              <w:spacing w:before="120"/>
              <w:jc w:val="center"/>
              <w:rPr>
                <w:b/>
                <w:color w:val="FFFFFF"/>
                <w:szCs w:val="22"/>
              </w:rPr>
            </w:pPr>
            <w:r w:rsidRPr="00560627">
              <w:rPr>
                <w:b/>
                <w:color w:val="FFFFFF"/>
                <w:szCs w:val="22"/>
              </w:rPr>
              <w:t>Action</w:t>
            </w:r>
          </w:p>
        </w:tc>
        <w:tc>
          <w:tcPr>
            <w:tcW w:w="1980" w:type="dxa"/>
            <w:shd w:val="clear" w:color="auto" w:fill="5D85A9"/>
          </w:tcPr>
          <w:p w:rsidR="00B52FE1" w:rsidRPr="00560627" w:rsidRDefault="00B52FE1" w:rsidP="00B52FE1">
            <w:pPr>
              <w:spacing w:before="120"/>
              <w:jc w:val="center"/>
              <w:rPr>
                <w:b/>
                <w:color w:val="FFFFFF"/>
                <w:szCs w:val="22"/>
              </w:rPr>
            </w:pPr>
            <w:r w:rsidRPr="00560627">
              <w:rPr>
                <w:b/>
                <w:color w:val="FFFFFF"/>
                <w:szCs w:val="22"/>
              </w:rPr>
              <w:t>Change Tracking</w:t>
            </w:r>
          </w:p>
        </w:tc>
      </w:tr>
      <w:tr w:rsidR="00162ACC" w:rsidRPr="00560627" w:rsidTr="00386F36">
        <w:tc>
          <w:tcPr>
            <w:tcW w:w="1609" w:type="dxa"/>
          </w:tcPr>
          <w:p w:rsidR="00162ACC" w:rsidRPr="00560627" w:rsidRDefault="00162ACC" w:rsidP="000F0EA2">
            <w:pPr>
              <w:pStyle w:val="Table"/>
              <w:jc w:val="center"/>
              <w:rPr>
                <w:szCs w:val="24"/>
              </w:rPr>
            </w:pPr>
            <w:r w:rsidRPr="00560627">
              <w:rPr>
                <w:szCs w:val="24"/>
              </w:rPr>
              <w:t>0</w:t>
            </w:r>
          </w:p>
        </w:tc>
        <w:tc>
          <w:tcPr>
            <w:tcW w:w="1717" w:type="dxa"/>
          </w:tcPr>
          <w:p w:rsidR="00162ACC" w:rsidRPr="00560627" w:rsidRDefault="00162ACC" w:rsidP="000F0EA2">
            <w:pPr>
              <w:pStyle w:val="Table"/>
              <w:rPr>
                <w:szCs w:val="24"/>
              </w:rPr>
            </w:pPr>
            <w:r w:rsidRPr="00560627">
              <w:rPr>
                <w:szCs w:val="24"/>
              </w:rPr>
              <w:t>April 1, 2005</w:t>
            </w:r>
          </w:p>
        </w:tc>
        <w:tc>
          <w:tcPr>
            <w:tcW w:w="4144" w:type="dxa"/>
          </w:tcPr>
          <w:p w:rsidR="00162ACC" w:rsidRPr="00560627" w:rsidRDefault="00162ACC" w:rsidP="000F0EA2">
            <w:pPr>
              <w:pStyle w:val="Table"/>
              <w:rPr>
                <w:szCs w:val="24"/>
              </w:rPr>
            </w:pPr>
            <w:r w:rsidRPr="00560627">
              <w:rPr>
                <w:szCs w:val="24"/>
              </w:rPr>
              <w:t>Effective Date</w:t>
            </w:r>
          </w:p>
        </w:tc>
        <w:tc>
          <w:tcPr>
            <w:tcW w:w="1980" w:type="dxa"/>
          </w:tcPr>
          <w:p w:rsidR="00162ACC" w:rsidRPr="00560627" w:rsidRDefault="00162ACC" w:rsidP="000F0EA2">
            <w:pPr>
              <w:pStyle w:val="Table"/>
              <w:rPr>
                <w:szCs w:val="24"/>
              </w:rPr>
            </w:pPr>
            <w:r w:rsidRPr="00560627">
              <w:rPr>
                <w:szCs w:val="24"/>
              </w:rPr>
              <w:t>New</w:t>
            </w:r>
          </w:p>
        </w:tc>
      </w:tr>
      <w:tr w:rsidR="00162ACC" w:rsidRPr="00560627" w:rsidTr="00386F36">
        <w:tc>
          <w:tcPr>
            <w:tcW w:w="1609" w:type="dxa"/>
          </w:tcPr>
          <w:p w:rsidR="00162ACC" w:rsidRPr="00560627" w:rsidRDefault="00162ACC" w:rsidP="000F0EA2">
            <w:pPr>
              <w:pStyle w:val="Table"/>
              <w:jc w:val="center"/>
              <w:rPr>
                <w:szCs w:val="24"/>
              </w:rPr>
            </w:pPr>
            <w:r w:rsidRPr="00560627">
              <w:rPr>
                <w:szCs w:val="24"/>
              </w:rPr>
              <w:t>1</w:t>
            </w:r>
          </w:p>
        </w:tc>
        <w:tc>
          <w:tcPr>
            <w:tcW w:w="1717" w:type="dxa"/>
          </w:tcPr>
          <w:p w:rsidR="00162ACC" w:rsidRPr="00560627" w:rsidRDefault="00162ACC" w:rsidP="000F0EA2">
            <w:pPr>
              <w:pStyle w:val="Table"/>
              <w:rPr>
                <w:szCs w:val="24"/>
              </w:rPr>
            </w:pPr>
            <w:r w:rsidRPr="00560627">
              <w:rPr>
                <w:szCs w:val="24"/>
              </w:rPr>
              <w:t>May 2, 2006</w:t>
            </w:r>
          </w:p>
        </w:tc>
        <w:tc>
          <w:tcPr>
            <w:tcW w:w="4144" w:type="dxa"/>
          </w:tcPr>
          <w:p w:rsidR="00162ACC" w:rsidRPr="00560627" w:rsidRDefault="00162ACC" w:rsidP="000F0EA2">
            <w:pPr>
              <w:pStyle w:val="Table"/>
              <w:rPr>
                <w:szCs w:val="24"/>
              </w:rPr>
            </w:pPr>
            <w:r w:rsidRPr="00560627">
              <w:rPr>
                <w:szCs w:val="24"/>
              </w:rPr>
              <w:t>Board of Trustees Approval</w:t>
            </w:r>
          </w:p>
        </w:tc>
        <w:tc>
          <w:tcPr>
            <w:tcW w:w="1980" w:type="dxa"/>
          </w:tcPr>
          <w:p w:rsidR="00162ACC" w:rsidRPr="00560627" w:rsidRDefault="00162ACC" w:rsidP="000F0EA2">
            <w:pPr>
              <w:pStyle w:val="Table"/>
              <w:rPr>
                <w:szCs w:val="24"/>
              </w:rPr>
            </w:pPr>
            <w:r w:rsidRPr="00560627">
              <w:rPr>
                <w:szCs w:val="24"/>
              </w:rPr>
              <w:t>Revised</w:t>
            </w:r>
          </w:p>
        </w:tc>
      </w:tr>
      <w:tr w:rsidR="00162ACC" w:rsidRPr="00560627" w:rsidTr="00386F36">
        <w:tc>
          <w:tcPr>
            <w:tcW w:w="1609" w:type="dxa"/>
          </w:tcPr>
          <w:p w:rsidR="00162ACC" w:rsidRPr="00560627" w:rsidRDefault="00162ACC" w:rsidP="000F0EA2">
            <w:pPr>
              <w:pStyle w:val="Table"/>
              <w:jc w:val="center"/>
              <w:rPr>
                <w:szCs w:val="24"/>
              </w:rPr>
            </w:pPr>
            <w:r w:rsidRPr="00560627">
              <w:rPr>
                <w:szCs w:val="24"/>
              </w:rPr>
              <w:t>2</w:t>
            </w:r>
          </w:p>
        </w:tc>
        <w:tc>
          <w:tcPr>
            <w:tcW w:w="1717" w:type="dxa"/>
          </w:tcPr>
          <w:p w:rsidR="00162ACC" w:rsidRPr="00560627" w:rsidRDefault="00162ACC" w:rsidP="000F0EA2">
            <w:pPr>
              <w:pStyle w:val="Table"/>
              <w:rPr>
                <w:szCs w:val="24"/>
              </w:rPr>
            </w:pPr>
            <w:r w:rsidRPr="00560627">
              <w:rPr>
                <w:szCs w:val="24"/>
              </w:rPr>
              <w:t>October 9, 2007</w:t>
            </w:r>
          </w:p>
        </w:tc>
        <w:tc>
          <w:tcPr>
            <w:tcW w:w="4144" w:type="dxa"/>
          </w:tcPr>
          <w:p w:rsidR="00162ACC" w:rsidRPr="00560627" w:rsidRDefault="00162ACC" w:rsidP="000F0EA2">
            <w:pPr>
              <w:pStyle w:val="Table"/>
              <w:rPr>
                <w:szCs w:val="24"/>
              </w:rPr>
            </w:pPr>
            <w:r w:rsidRPr="00560627">
              <w:rPr>
                <w:szCs w:val="24"/>
              </w:rPr>
              <w:t>Board of Trustees Approval (Removal of WECC Waiver)</w:t>
            </w:r>
          </w:p>
        </w:tc>
        <w:tc>
          <w:tcPr>
            <w:tcW w:w="1980" w:type="dxa"/>
          </w:tcPr>
          <w:p w:rsidR="00162ACC" w:rsidRPr="00560627" w:rsidRDefault="00162ACC" w:rsidP="000F0EA2">
            <w:pPr>
              <w:pStyle w:val="Table"/>
              <w:rPr>
                <w:szCs w:val="24"/>
              </w:rPr>
            </w:pPr>
            <w:r w:rsidRPr="00560627">
              <w:rPr>
                <w:szCs w:val="24"/>
              </w:rPr>
              <w:t>Revised</w:t>
            </w:r>
          </w:p>
        </w:tc>
      </w:tr>
      <w:tr w:rsidR="00162ACC" w:rsidRPr="00560627" w:rsidTr="00386F36">
        <w:tc>
          <w:tcPr>
            <w:tcW w:w="1609" w:type="dxa"/>
          </w:tcPr>
          <w:p w:rsidR="00162ACC" w:rsidRPr="00560627" w:rsidRDefault="00162ACC" w:rsidP="000F0EA2">
            <w:pPr>
              <w:pStyle w:val="Table"/>
              <w:jc w:val="center"/>
              <w:rPr>
                <w:szCs w:val="24"/>
              </w:rPr>
            </w:pPr>
            <w:r w:rsidRPr="00560627">
              <w:rPr>
                <w:szCs w:val="24"/>
              </w:rPr>
              <w:t>2</w:t>
            </w:r>
          </w:p>
        </w:tc>
        <w:tc>
          <w:tcPr>
            <w:tcW w:w="1717" w:type="dxa"/>
          </w:tcPr>
          <w:p w:rsidR="00162ACC" w:rsidRPr="00560627" w:rsidRDefault="00162ACC" w:rsidP="000F0EA2">
            <w:pPr>
              <w:pStyle w:val="Table"/>
              <w:rPr>
                <w:szCs w:val="24"/>
              </w:rPr>
            </w:pPr>
            <w:r w:rsidRPr="00560627">
              <w:rPr>
                <w:szCs w:val="24"/>
              </w:rPr>
              <w:t>July 21, 2008</w:t>
            </w:r>
          </w:p>
        </w:tc>
        <w:tc>
          <w:tcPr>
            <w:tcW w:w="4144" w:type="dxa"/>
          </w:tcPr>
          <w:p w:rsidR="00162ACC" w:rsidRPr="00560627" w:rsidRDefault="00162ACC" w:rsidP="000F0EA2">
            <w:pPr>
              <w:pStyle w:val="Table"/>
              <w:rPr>
                <w:szCs w:val="24"/>
              </w:rPr>
            </w:pPr>
            <w:r w:rsidRPr="00560627">
              <w:rPr>
                <w:szCs w:val="24"/>
              </w:rPr>
              <w:t>FERC Approval</w:t>
            </w:r>
          </w:p>
        </w:tc>
        <w:tc>
          <w:tcPr>
            <w:tcW w:w="1980" w:type="dxa"/>
          </w:tcPr>
          <w:p w:rsidR="00162ACC" w:rsidRPr="00560627" w:rsidRDefault="00162ACC" w:rsidP="000F0EA2">
            <w:pPr>
              <w:pStyle w:val="Table"/>
              <w:rPr>
                <w:szCs w:val="24"/>
              </w:rPr>
            </w:pPr>
            <w:r w:rsidRPr="00560627">
              <w:rPr>
                <w:szCs w:val="24"/>
              </w:rPr>
              <w:t>Revised</w:t>
            </w:r>
          </w:p>
        </w:tc>
      </w:tr>
    </w:tbl>
    <w:p w:rsidR="00B52FE1" w:rsidRPr="00560627" w:rsidRDefault="00B52FE1" w:rsidP="00B52FE1"/>
    <w:p w:rsidR="00B52FE1" w:rsidRPr="00560627" w:rsidRDefault="00B52FE1" w:rsidP="00B52FE1">
      <w:pPr>
        <w:pStyle w:val="Heading1"/>
        <w:rPr>
          <w:rFonts w:ascii="Times New Roman" w:hAnsi="Times New Roman" w:cs="Times New Roman"/>
          <w:bCs w:val="0"/>
          <w:color w:val="264D74"/>
          <w:sz w:val="24"/>
        </w:rPr>
      </w:pPr>
      <w:r w:rsidRPr="00560627">
        <w:rPr>
          <w:rFonts w:ascii="Times New Roman" w:hAnsi="Times New Roman" w:cs="Times New Roman"/>
          <w:highlight w:val="magenta"/>
        </w:rPr>
        <w:br w:type="page"/>
      </w:r>
      <w:bookmarkStart w:id="22" w:name="_Toc253051403"/>
      <w:r w:rsidRPr="00560627">
        <w:rPr>
          <w:rFonts w:ascii="Times New Roman" w:hAnsi="Times New Roman" w:cs="Times New Roman"/>
          <w:bCs w:val="0"/>
          <w:color w:val="264D74"/>
          <w:sz w:val="24"/>
        </w:rPr>
        <w:lastRenderedPageBreak/>
        <w:t>Definitions of Terms Used in Standard</w:t>
      </w:r>
      <w:bookmarkEnd w:id="22"/>
    </w:p>
    <w:p w:rsidR="00B52FE1" w:rsidRPr="00560627" w:rsidRDefault="00B52FE1" w:rsidP="00B52FE1">
      <w:pPr>
        <w:spacing w:before="120"/>
        <w:rPr>
          <w:i/>
        </w:rPr>
      </w:pPr>
      <w:r w:rsidRPr="00560627">
        <w:rPr>
          <w:i/>
        </w:rPr>
        <w:t xml:space="preserve">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 </w:t>
      </w:r>
    </w:p>
    <w:p w:rsidR="00901427" w:rsidRDefault="00901427" w:rsidP="00901427">
      <w:pPr>
        <w:autoSpaceDE w:val="0"/>
        <w:autoSpaceDN w:val="0"/>
        <w:adjustRightInd w:val="0"/>
        <w:spacing w:after="0"/>
      </w:pPr>
    </w:p>
    <w:p w:rsidR="0066042C" w:rsidRDefault="0066042C" w:rsidP="00901427">
      <w:pPr>
        <w:autoSpaceDE w:val="0"/>
        <w:autoSpaceDN w:val="0"/>
        <w:adjustRightInd w:val="0"/>
        <w:spacing w:after="0"/>
      </w:pPr>
      <w:r w:rsidRPr="00D91AB6">
        <w:rPr>
          <w:b/>
        </w:rPr>
        <w:t>Dynamic Schedule</w:t>
      </w:r>
      <w:r w:rsidRPr="00D91AB6">
        <w:t xml:space="preserve">: A time-varying energy transfer that is updated in real time and included in the Net Interchange Scheduled term in the same manner as an Interchange Schedule in the affected Balancing Authorities’ control ACE equations (or alternate control processes).  </w:t>
      </w:r>
    </w:p>
    <w:p w:rsidR="0066042C" w:rsidRPr="00560627" w:rsidRDefault="0066042C" w:rsidP="00901427">
      <w:pPr>
        <w:autoSpaceDE w:val="0"/>
        <w:autoSpaceDN w:val="0"/>
        <w:adjustRightInd w:val="0"/>
        <w:spacing w:after="0"/>
      </w:pPr>
    </w:p>
    <w:p w:rsidR="0066042C" w:rsidRPr="00821E7A" w:rsidRDefault="0066042C" w:rsidP="0066042C">
      <w:pPr>
        <w:autoSpaceDE w:val="0"/>
        <w:autoSpaceDN w:val="0"/>
        <w:adjustRightInd w:val="0"/>
        <w:spacing w:after="0"/>
      </w:pPr>
      <w:r w:rsidRPr="00821E7A">
        <w:rPr>
          <w:b/>
        </w:rPr>
        <w:t>Pseudo</w:t>
      </w:r>
      <w:r w:rsidRPr="00821E7A">
        <w:t>-</w:t>
      </w:r>
      <w:r w:rsidRPr="00821E7A">
        <w:rPr>
          <w:b/>
        </w:rPr>
        <w:t>tie:</w:t>
      </w:r>
      <w:r w:rsidRPr="00821E7A">
        <w:t xml:space="preserve"> A time</w:t>
      </w:r>
      <w:r w:rsidRPr="00821E7A">
        <w:rPr>
          <w:b/>
        </w:rPr>
        <w:t>-</w:t>
      </w:r>
      <w:r w:rsidRPr="00821E7A">
        <w:t xml:space="preserve">varying energy transfer that is updated in real time and included in the Net Interchange Actual term in the same manner as a Tie Line in the affected Balancing Authorities’ control ACE equations (or alternate control processes).  </w:t>
      </w:r>
    </w:p>
    <w:p w:rsidR="0097177D" w:rsidRPr="00560627" w:rsidRDefault="0097177D" w:rsidP="0097177D">
      <w:pPr>
        <w:autoSpaceDE w:val="0"/>
        <w:autoSpaceDN w:val="0"/>
        <w:adjustRightInd w:val="0"/>
        <w:spacing w:after="0"/>
      </w:pPr>
    </w:p>
    <w:p w:rsidR="00884458" w:rsidRPr="00560627" w:rsidRDefault="00884458" w:rsidP="00884458">
      <w:pPr>
        <w:autoSpaceDE w:val="0"/>
        <w:autoSpaceDN w:val="0"/>
        <w:adjustRightInd w:val="0"/>
        <w:spacing w:after="0"/>
        <w:rPr>
          <w:strike/>
        </w:rPr>
      </w:pPr>
    </w:p>
    <w:p w:rsidR="00884458" w:rsidRPr="00560627" w:rsidRDefault="00884458">
      <w:pPr>
        <w:spacing w:after="0"/>
        <w:rPr>
          <w:b/>
          <w:color w:val="264D74"/>
        </w:rPr>
      </w:pPr>
      <w:r w:rsidRPr="00560627">
        <w:rPr>
          <w:color w:val="264D74"/>
        </w:rPr>
        <w:br w:type="page"/>
      </w:r>
    </w:p>
    <w:p w:rsidR="00A41318" w:rsidRPr="00560627" w:rsidRDefault="00E1757C" w:rsidP="00B52FE1">
      <w:pPr>
        <w:pStyle w:val="Section"/>
        <w:rPr>
          <w:rFonts w:ascii="Times New Roman" w:hAnsi="Times New Roman"/>
          <w:color w:val="264D74"/>
        </w:rPr>
      </w:pPr>
      <w:r w:rsidRPr="00560627">
        <w:rPr>
          <w:rFonts w:ascii="Times New Roman" w:hAnsi="Times New Roman"/>
          <w:color w:val="264D74"/>
        </w:rPr>
        <w:lastRenderedPageBreak/>
        <w:t>Introduction</w:t>
      </w:r>
    </w:p>
    <w:p w:rsidR="00E1757C" w:rsidRPr="00560627" w:rsidRDefault="00E1757C" w:rsidP="00E1757C">
      <w:pPr>
        <w:pStyle w:val="ListNumber"/>
        <w:rPr>
          <w:b/>
        </w:rPr>
      </w:pPr>
      <w:r w:rsidRPr="00560627">
        <w:rPr>
          <w:b/>
        </w:rPr>
        <w:t>Title:</w:t>
      </w:r>
      <w:r w:rsidR="00901427" w:rsidRPr="00560627">
        <w:rPr>
          <w:b/>
        </w:rPr>
        <w:tab/>
      </w:r>
      <w:r w:rsidR="0097177D" w:rsidRPr="00560627">
        <w:rPr>
          <w:b/>
        </w:rPr>
        <w:t xml:space="preserve">Dynamic </w:t>
      </w:r>
      <w:r w:rsidR="0066042C">
        <w:rPr>
          <w:b/>
        </w:rPr>
        <w:t>Transfers</w:t>
      </w:r>
      <w:r w:rsidR="00A15913" w:rsidRPr="00560627">
        <w:rPr>
          <w:b/>
        </w:rPr>
        <w:tab/>
      </w:r>
    </w:p>
    <w:p w:rsidR="00BE75A6" w:rsidRPr="00560627" w:rsidRDefault="00E1757C" w:rsidP="00351D47">
      <w:pPr>
        <w:pStyle w:val="ListNumber"/>
      </w:pPr>
      <w:r w:rsidRPr="00560627">
        <w:rPr>
          <w:b/>
        </w:rPr>
        <w:t>Number:</w:t>
      </w:r>
      <w:r w:rsidR="00A15913" w:rsidRPr="00560627">
        <w:rPr>
          <w:b/>
        </w:rPr>
        <w:tab/>
      </w:r>
      <w:r w:rsidR="0097177D" w:rsidRPr="00560627">
        <w:rPr>
          <w:bCs/>
        </w:rPr>
        <w:t>INT-004-3</w:t>
      </w:r>
    </w:p>
    <w:p w:rsidR="0097177D" w:rsidRPr="00560627" w:rsidRDefault="00E1757C" w:rsidP="00E1757C">
      <w:pPr>
        <w:pStyle w:val="ListNumber"/>
        <w:rPr>
          <w:b/>
        </w:rPr>
      </w:pPr>
      <w:r w:rsidRPr="00560627">
        <w:rPr>
          <w:b/>
        </w:rPr>
        <w:t>Purpose</w:t>
      </w:r>
      <w:r w:rsidR="00A15913" w:rsidRPr="00560627">
        <w:rPr>
          <w:b/>
        </w:rPr>
        <w:t>:</w:t>
      </w:r>
      <w:r w:rsidR="00A15913" w:rsidRPr="00560627">
        <w:rPr>
          <w:b/>
        </w:rPr>
        <w:tab/>
      </w:r>
      <w:r w:rsidR="0097177D" w:rsidRPr="00560627">
        <w:t xml:space="preserve">To ensure </w:t>
      </w:r>
      <w:r w:rsidR="0066042C">
        <w:t>Dynamic Schedules and Pseudo-Ties</w:t>
      </w:r>
      <w:r w:rsidR="0097177D" w:rsidRPr="00560627">
        <w:t xml:space="preserve"> are communicated and accounted for appropriately in congestion management tools [for example: the NERC Interchange Distribution Calculator (IDC), the WECC Security Analysis System (SAS)].</w:t>
      </w:r>
    </w:p>
    <w:p w:rsidR="00E1757C" w:rsidRPr="00560627" w:rsidRDefault="00E1757C" w:rsidP="00E1757C">
      <w:pPr>
        <w:pStyle w:val="ListNumber"/>
        <w:rPr>
          <w:b/>
        </w:rPr>
      </w:pPr>
      <w:r w:rsidRPr="00560627">
        <w:rPr>
          <w:b/>
        </w:rPr>
        <w:t>Applicability:</w:t>
      </w:r>
    </w:p>
    <w:p w:rsidR="00D515E0" w:rsidRPr="00D515E0" w:rsidRDefault="00D515E0" w:rsidP="00D515E0">
      <w:pPr>
        <w:pStyle w:val="ListNumber"/>
        <w:numPr>
          <w:ilvl w:val="1"/>
          <w:numId w:val="1"/>
        </w:numPr>
        <w:rPr>
          <w:b/>
        </w:rPr>
      </w:pPr>
      <w:r w:rsidRPr="00D515E0">
        <w:rPr>
          <w:rStyle w:val="BoxText"/>
          <w:rFonts w:ascii="Times New Roman" w:hAnsi="Times New Roman"/>
          <w:b w:val="0"/>
          <w:sz w:val="24"/>
        </w:rPr>
        <w:t xml:space="preserve">Purchasing-Selling Entity </w:t>
      </w:r>
    </w:p>
    <w:p w:rsidR="00B52FE1" w:rsidRPr="00560627" w:rsidRDefault="00B52FE1" w:rsidP="00B52FE1">
      <w:pPr>
        <w:pStyle w:val="ListNumber"/>
        <w:rPr>
          <w:b/>
        </w:rPr>
      </w:pPr>
      <w:r w:rsidRPr="00560627">
        <w:rPr>
          <w:b/>
        </w:rPr>
        <w:t>Background:</w:t>
      </w:r>
    </w:p>
    <w:p w:rsidR="00B52FE1" w:rsidRPr="00560627" w:rsidRDefault="00B52FE1" w:rsidP="00B52FE1">
      <w:pPr>
        <w:pStyle w:val="BodyIndent2"/>
        <w:ind w:left="936"/>
      </w:pPr>
      <w:r w:rsidRPr="00560627">
        <w:t>Text</w:t>
      </w:r>
    </w:p>
    <w:p w:rsidR="00B52FE1" w:rsidRPr="00560627" w:rsidRDefault="00B52FE1" w:rsidP="00B52FE1">
      <w:pPr>
        <w:pStyle w:val="ListNumber"/>
        <w:numPr>
          <w:ilvl w:val="0"/>
          <w:numId w:val="0"/>
        </w:numPr>
        <w:ind w:left="360"/>
        <w:rPr>
          <w:b/>
        </w:rPr>
      </w:pPr>
    </w:p>
    <w:p w:rsidR="00E1757C" w:rsidRPr="00560627" w:rsidRDefault="00E1757C" w:rsidP="00E1757C">
      <w:pPr>
        <w:pStyle w:val="Section"/>
        <w:rPr>
          <w:rFonts w:ascii="Times New Roman" w:hAnsi="Times New Roman"/>
          <w:color w:val="264D74"/>
        </w:rPr>
      </w:pPr>
      <w:r w:rsidRPr="00560627">
        <w:rPr>
          <w:rFonts w:ascii="Times New Roman" w:hAnsi="Times New Roman"/>
          <w:color w:val="264D74"/>
        </w:rPr>
        <w:t>Requirements</w:t>
      </w:r>
      <w:r w:rsidR="00B52FE1" w:rsidRPr="00560627">
        <w:rPr>
          <w:rFonts w:ascii="Times New Roman" w:hAnsi="Times New Roman"/>
          <w:color w:val="264D74"/>
        </w:rPr>
        <w:t xml:space="preserve"> and Measures</w:t>
      </w:r>
    </w:p>
    <w:p w:rsidR="0097177D" w:rsidRPr="00560627" w:rsidRDefault="009E24B5" w:rsidP="0097177D">
      <w:pPr>
        <w:numPr>
          <w:ilvl w:val="1"/>
          <w:numId w:val="23"/>
        </w:numPr>
        <w:tabs>
          <w:tab w:val="clear" w:pos="1008"/>
          <w:tab w:val="num" w:pos="900"/>
        </w:tabs>
        <w:spacing w:before="120" w:after="0"/>
        <w:ind w:left="900"/>
        <w:rPr>
          <w:bCs/>
        </w:rPr>
      </w:pPr>
      <w:r w:rsidRPr="009E24B5">
        <w:rPr>
          <w:noProof/>
        </w:rPr>
        <w:pict>
          <v:rect id="_x0000_s1027" style="position:absolute;left:0;text-align:left;margin-left:310.5pt;margin-top:12.8pt;width:177pt;height:1in;z-index:251655168" fillcolor="#d3dce9" stroked="f">
            <v:textbox style="mso-next-textbox:#_x0000_s1027">
              <w:txbxContent>
                <w:p w:rsidR="000F0EA2" w:rsidRDefault="000F0EA2">
                  <w:r>
                    <w:t>Rationale for R1:</w:t>
                  </w:r>
                </w:p>
              </w:txbxContent>
            </v:textbox>
            <w10:wrap type="square"/>
          </v:rect>
        </w:pict>
      </w:r>
      <w:bookmarkStart w:id="23" w:name="OLE_LINK1"/>
      <w:r w:rsidR="00BE75A6" w:rsidRPr="00560627">
        <w:t xml:space="preserve">Each </w:t>
      </w:r>
      <w:r w:rsidR="0097177D" w:rsidRPr="00560627">
        <w:t xml:space="preserve">Purchasing-Selling Entity that secures energy to serve Load </w:t>
      </w:r>
      <w:r w:rsidR="0097177D" w:rsidRPr="00560627">
        <w:rPr>
          <w:color w:val="000000"/>
        </w:rPr>
        <w:t>via a Dynamic Schedule</w:t>
      </w:r>
      <w:r w:rsidR="0066042C">
        <w:rPr>
          <w:color w:val="000000"/>
        </w:rPr>
        <w:t xml:space="preserve"> or Pseudo-Tie</w:t>
      </w:r>
      <w:r w:rsidR="0097177D" w:rsidRPr="00560627">
        <w:t xml:space="preserve"> shall ensure that </w:t>
      </w:r>
      <w:r w:rsidR="0097177D" w:rsidRPr="00560627">
        <w:rPr>
          <w:color w:val="000000"/>
        </w:rPr>
        <w:t xml:space="preserve">a Request for Interchange </w:t>
      </w:r>
      <w:r w:rsidR="003D0688" w:rsidRPr="003D0688">
        <w:rPr>
          <w:color w:val="000000"/>
        </w:rPr>
        <w:t xml:space="preserve">(RFI) </w:t>
      </w:r>
      <w:r w:rsidR="00D126E7">
        <w:rPr>
          <w:color w:val="000000"/>
        </w:rPr>
        <w:t>is submitted as an o</w:t>
      </w:r>
      <w:r w:rsidR="0097177D" w:rsidRPr="00560627">
        <w:rPr>
          <w:color w:val="000000"/>
        </w:rPr>
        <w:t xml:space="preserve">n-time </w:t>
      </w:r>
      <w:r w:rsidR="0097177D" w:rsidRPr="00560627">
        <w:t xml:space="preserve">Arranged Interchange to the </w:t>
      </w:r>
      <w:r w:rsidR="0097177D" w:rsidRPr="00560627">
        <w:rPr>
          <w:color w:val="000000"/>
        </w:rPr>
        <w:t>Sink Balancing</w:t>
      </w:r>
      <w:r w:rsidR="0097177D" w:rsidRPr="00560627">
        <w:t xml:space="preserve"> Authority for that Dynamic Schedule</w:t>
      </w:r>
      <w:r w:rsidR="0066042C">
        <w:t xml:space="preserve"> or Pseudo-Tie</w:t>
      </w:r>
      <w:r w:rsidR="0097177D" w:rsidRPr="00560627">
        <w:t xml:space="preserve"> at either:   [</w:t>
      </w:r>
      <w:r w:rsidR="0097177D" w:rsidRPr="00560627">
        <w:rPr>
          <w:i/>
        </w:rPr>
        <w:t>Violation Risk Factor: Medium</w:t>
      </w:r>
      <w:r w:rsidR="0097177D" w:rsidRPr="00560627">
        <w:t>] [</w:t>
      </w:r>
      <w:r w:rsidR="0097177D" w:rsidRPr="00560627">
        <w:rPr>
          <w:i/>
        </w:rPr>
        <w:t>Time Horizon: Operations Planning, Same Day Operations</w:t>
      </w:r>
      <w:r w:rsidR="0097177D" w:rsidRPr="00560627">
        <w:t>]</w:t>
      </w:r>
    </w:p>
    <w:bookmarkEnd w:id="23"/>
    <w:p w:rsidR="00E1757C" w:rsidRPr="00560627" w:rsidRDefault="0097177D" w:rsidP="0097177D">
      <w:pPr>
        <w:pStyle w:val="Requirement"/>
        <w:numPr>
          <w:ilvl w:val="1"/>
          <w:numId w:val="5"/>
        </w:numPr>
        <w:tabs>
          <w:tab w:val="clear" w:pos="1440"/>
          <w:tab w:val="num" w:pos="1296"/>
          <w:tab w:val="num" w:pos="2088"/>
          <w:tab w:val="left" w:pos="2592"/>
          <w:tab w:val="left" w:pos="3240"/>
        </w:tabs>
        <w:ind w:left="1296" w:firstLine="0"/>
      </w:pPr>
      <w:r w:rsidRPr="00560627">
        <w:t>The expected average MW profile for each hour if a forecast for the Dynamic Schedule</w:t>
      </w:r>
      <w:r w:rsidR="0066042C" w:rsidRPr="0066042C">
        <w:rPr>
          <w:color w:val="000000"/>
        </w:rPr>
        <w:t xml:space="preserve"> </w:t>
      </w:r>
      <w:r w:rsidR="0066042C">
        <w:rPr>
          <w:color w:val="000000"/>
        </w:rPr>
        <w:t>or Pseudo-Tie</w:t>
      </w:r>
      <w:r w:rsidRPr="00560627">
        <w:t xml:space="preserve"> is available, or</w:t>
      </w:r>
    </w:p>
    <w:p w:rsidR="0097177D" w:rsidRPr="00560627" w:rsidRDefault="0097177D" w:rsidP="000F0EA2">
      <w:pPr>
        <w:pStyle w:val="Requirement"/>
        <w:numPr>
          <w:ilvl w:val="1"/>
          <w:numId w:val="5"/>
        </w:numPr>
        <w:tabs>
          <w:tab w:val="clear" w:pos="1440"/>
          <w:tab w:val="num" w:pos="1296"/>
          <w:tab w:val="num" w:pos="2088"/>
          <w:tab w:val="left" w:pos="2592"/>
          <w:tab w:val="left" w:pos="3240"/>
        </w:tabs>
        <w:ind w:left="1296" w:firstLine="0"/>
      </w:pPr>
      <w:r w:rsidRPr="00560627">
        <w:rPr>
          <w:color w:val="000000"/>
        </w:rPr>
        <w:t>The expected maximum MW profile for each hour</w:t>
      </w:r>
      <w:r w:rsidRPr="00560627">
        <w:t xml:space="preserve"> if no fo</w:t>
      </w:r>
      <w:r w:rsidR="003D0688">
        <w:t xml:space="preserve">recast for the Dynamic Schedule </w:t>
      </w:r>
      <w:r w:rsidR="0066042C">
        <w:rPr>
          <w:color w:val="000000"/>
        </w:rPr>
        <w:t>or Pseudo-Tie</w:t>
      </w:r>
      <w:r w:rsidR="0066042C" w:rsidRPr="00560627">
        <w:t xml:space="preserve"> </w:t>
      </w:r>
      <w:r w:rsidR="003D0688" w:rsidRPr="003D0688">
        <w:t>is available</w:t>
      </w:r>
      <w:r w:rsidR="003D0688">
        <w:t>.</w:t>
      </w:r>
    </w:p>
    <w:p w:rsidR="0060718C" w:rsidRPr="00560627" w:rsidRDefault="0060718C" w:rsidP="0060718C">
      <w:pPr>
        <w:pStyle w:val="Measure"/>
        <w:tabs>
          <w:tab w:val="left" w:pos="2592"/>
          <w:tab w:val="left" w:pos="3240"/>
        </w:tabs>
      </w:pPr>
      <w:r w:rsidRPr="00560627">
        <w:t xml:space="preserve">The Purchasing-Selling Entity shall have evidence (such as dated and time-stamped electronic logs or other evidence) that RFIs were submitted for </w:t>
      </w:r>
      <w:r w:rsidR="0066042C">
        <w:t>Dynamic Schedules and Pseudo-Ties</w:t>
      </w:r>
      <w:r w:rsidR="00D126E7">
        <w:t xml:space="preserve"> o</w:t>
      </w:r>
      <w:r w:rsidRPr="00560627">
        <w:t>n-time and either at the expected average profile or the expected maximum profile for each hour. (R1)</w:t>
      </w:r>
    </w:p>
    <w:p w:rsidR="00B52FE1" w:rsidRPr="00560627" w:rsidRDefault="00B52FE1" w:rsidP="00B52FE1">
      <w:pPr>
        <w:pStyle w:val="Measure"/>
        <w:numPr>
          <w:ilvl w:val="0"/>
          <w:numId w:val="0"/>
        </w:numPr>
        <w:ind w:left="936" w:hanging="576"/>
      </w:pPr>
    </w:p>
    <w:p w:rsidR="00025DF4" w:rsidRPr="00560627" w:rsidRDefault="009E24B5" w:rsidP="0066042C">
      <w:pPr>
        <w:pStyle w:val="Requirement"/>
      </w:pPr>
      <w:r>
        <w:rPr>
          <w:noProof/>
        </w:rPr>
        <w:pict>
          <v:rect id="_x0000_s1028" style="position:absolute;left:0;text-align:left;margin-left:310.5pt;margin-top:3.25pt;width:177pt;height:1in;z-index:251656192" fillcolor="#d3dce9" stroked="f">
            <v:textbox style="mso-next-textbox:#_x0000_s1028">
              <w:txbxContent>
                <w:p w:rsidR="000F0EA2" w:rsidRDefault="000F0EA2" w:rsidP="00B52FE1">
                  <w:r>
                    <w:t>Rationale for R2:</w:t>
                  </w:r>
                </w:p>
              </w:txbxContent>
            </v:textbox>
            <w10:wrap type="square"/>
          </v:rect>
        </w:pict>
      </w:r>
      <w:r w:rsidR="00162ACC" w:rsidRPr="00560627">
        <w:t xml:space="preserve">The </w:t>
      </w:r>
      <w:r w:rsidR="00162ACC" w:rsidRPr="00560627">
        <w:rPr>
          <w:rStyle w:val="BoxText"/>
          <w:rFonts w:ascii="Times New Roman" w:hAnsi="Times New Roman"/>
          <w:b w:val="0"/>
          <w:sz w:val="24"/>
        </w:rPr>
        <w:t xml:space="preserve">Purchasing-Selling Entity that </w:t>
      </w:r>
      <w:r w:rsidR="00162ACC" w:rsidRPr="00560627">
        <w:t>secures</w:t>
      </w:r>
      <w:r w:rsidR="00162ACC" w:rsidRPr="00560627">
        <w:rPr>
          <w:b/>
        </w:rPr>
        <w:t xml:space="preserve"> </w:t>
      </w:r>
      <w:r w:rsidR="00162ACC" w:rsidRPr="00560627">
        <w:t xml:space="preserve">energy to serve Load </w:t>
      </w:r>
      <w:r w:rsidR="00162ACC" w:rsidRPr="00560627">
        <w:rPr>
          <w:color w:val="000000"/>
        </w:rPr>
        <w:t>via</w:t>
      </w:r>
      <w:r w:rsidR="00162ACC" w:rsidRPr="00560627">
        <w:rPr>
          <w:rStyle w:val="BoxText"/>
          <w:rFonts w:ascii="Times New Roman" w:hAnsi="Times New Roman"/>
          <w:b w:val="0"/>
          <w:sz w:val="24"/>
        </w:rPr>
        <w:t xml:space="preserve"> a Dynamic Schedule </w:t>
      </w:r>
      <w:r w:rsidR="0066042C">
        <w:rPr>
          <w:color w:val="000000"/>
        </w:rPr>
        <w:t>or Pseudo-Tie</w:t>
      </w:r>
      <w:r w:rsidR="0066042C" w:rsidRPr="00560627">
        <w:t xml:space="preserve"> </w:t>
      </w:r>
      <w:r w:rsidR="00162ACC" w:rsidRPr="00560627">
        <w:rPr>
          <w:rStyle w:val="BoxText"/>
          <w:rFonts w:ascii="Times New Roman" w:hAnsi="Times New Roman"/>
          <w:b w:val="0"/>
          <w:sz w:val="24"/>
        </w:rPr>
        <w:t xml:space="preserve">shall ensure the Confirmed Interchange associated with that Dynamic Schedule </w:t>
      </w:r>
      <w:r w:rsidR="0066042C">
        <w:rPr>
          <w:color w:val="000000"/>
        </w:rPr>
        <w:t>or Pseudo-Tie</w:t>
      </w:r>
      <w:r w:rsidR="0066042C" w:rsidRPr="00560627">
        <w:t xml:space="preserve"> </w:t>
      </w:r>
      <w:r w:rsidR="00162ACC" w:rsidRPr="00560627">
        <w:rPr>
          <w:rStyle w:val="BoxText"/>
          <w:rFonts w:ascii="Times New Roman" w:hAnsi="Times New Roman"/>
          <w:b w:val="0"/>
          <w:sz w:val="24"/>
        </w:rPr>
        <w:t>is updated for the next available scheduling hour and future hours if any one of the following occurs</w:t>
      </w:r>
      <w:r w:rsidR="00162ACC" w:rsidRPr="00560627">
        <w:rPr>
          <w:rStyle w:val="BoxText"/>
          <w:rFonts w:ascii="Times New Roman" w:hAnsi="Times New Roman"/>
          <w:sz w:val="24"/>
        </w:rPr>
        <w:t xml:space="preserve">: </w:t>
      </w:r>
      <w:r w:rsidR="00162ACC" w:rsidRPr="00560627">
        <w:t>[</w:t>
      </w:r>
      <w:r w:rsidR="00162ACC" w:rsidRPr="00560627">
        <w:rPr>
          <w:i/>
        </w:rPr>
        <w:t>Violation Risk Factor: Medium</w:t>
      </w:r>
      <w:r w:rsidR="00162ACC" w:rsidRPr="00560627">
        <w:t>] [</w:t>
      </w:r>
      <w:r w:rsidR="00162ACC" w:rsidRPr="00560627">
        <w:rPr>
          <w:i/>
        </w:rPr>
        <w:t>Time Horizon: Operations Planning, Same Day Operations, Real Time Operations</w:t>
      </w:r>
      <w:r w:rsidR="00025DF4" w:rsidRPr="00560627">
        <w:t xml:space="preserve">] </w:t>
      </w:r>
    </w:p>
    <w:p w:rsidR="00162ACC" w:rsidRPr="00560627" w:rsidRDefault="00025DF4" w:rsidP="00162ACC">
      <w:pPr>
        <w:pStyle w:val="Requirement"/>
        <w:numPr>
          <w:ilvl w:val="1"/>
          <w:numId w:val="5"/>
        </w:numPr>
        <w:tabs>
          <w:tab w:val="clear" w:pos="1440"/>
          <w:tab w:val="num" w:pos="1728"/>
          <w:tab w:val="left" w:pos="2592"/>
          <w:tab w:val="left" w:pos="3240"/>
        </w:tabs>
        <w:ind w:left="1728" w:hanging="792"/>
        <w:rPr>
          <w:rStyle w:val="BoxText"/>
          <w:rFonts w:ascii="Times New Roman" w:hAnsi="Times New Roman"/>
          <w:b w:val="0"/>
          <w:sz w:val="24"/>
        </w:rPr>
      </w:pPr>
      <w:r w:rsidRPr="00560627">
        <w:t xml:space="preserve"> </w:t>
      </w:r>
      <w:r w:rsidR="00162ACC" w:rsidRPr="00560627">
        <w:rPr>
          <w:rStyle w:val="BoxText"/>
          <w:rFonts w:ascii="Times New Roman" w:hAnsi="Times New Roman"/>
          <w:b w:val="0"/>
          <w:sz w:val="24"/>
        </w:rPr>
        <w:t xml:space="preserve">For Confirmed Interchange using the expected average MW profile, if the average energy profile in an hour is greater than 250 MW and in that hour the </w:t>
      </w:r>
      <w:r w:rsidR="00162ACC" w:rsidRPr="00560627">
        <w:rPr>
          <w:rStyle w:val="BoxText"/>
          <w:rFonts w:ascii="Times New Roman" w:hAnsi="Times New Roman"/>
          <w:b w:val="0"/>
          <w:sz w:val="24"/>
        </w:rPr>
        <w:lastRenderedPageBreak/>
        <w:t xml:space="preserve">actual hourly integrated energy deviates from the hourly average energy profile indicated in the Confirmed Interchange by more than </w:t>
      </w:r>
      <w:r w:rsidR="00162ACC" w:rsidRPr="00560627">
        <w:rPr>
          <w:rStyle w:val="BoxText"/>
          <w:rFonts w:ascii="Times New Roman" w:hAnsi="Times New Roman"/>
          <w:b w:val="0"/>
          <w:sz w:val="24"/>
          <w:u w:val="single"/>
        </w:rPr>
        <w:t>+</w:t>
      </w:r>
      <w:r w:rsidR="00162ACC" w:rsidRPr="00560627">
        <w:rPr>
          <w:rStyle w:val="BoxText"/>
          <w:rFonts w:ascii="Times New Roman" w:hAnsi="Times New Roman"/>
          <w:b w:val="0"/>
          <w:sz w:val="24"/>
        </w:rPr>
        <w:t>10%.</w:t>
      </w:r>
    </w:p>
    <w:p w:rsidR="00162ACC" w:rsidRPr="00560627" w:rsidRDefault="00162ACC" w:rsidP="00162ACC">
      <w:pPr>
        <w:pStyle w:val="Requirement"/>
        <w:numPr>
          <w:ilvl w:val="1"/>
          <w:numId w:val="5"/>
        </w:numPr>
        <w:tabs>
          <w:tab w:val="clear" w:pos="1440"/>
          <w:tab w:val="num" w:pos="1728"/>
          <w:tab w:val="left" w:pos="2592"/>
          <w:tab w:val="left" w:pos="3240"/>
        </w:tabs>
        <w:ind w:left="1728" w:hanging="792"/>
        <w:rPr>
          <w:rStyle w:val="BoxText"/>
          <w:rFonts w:ascii="Times New Roman" w:hAnsi="Times New Roman"/>
          <w:b w:val="0"/>
          <w:sz w:val="24"/>
        </w:rPr>
      </w:pPr>
      <w:r w:rsidRPr="00560627">
        <w:rPr>
          <w:rStyle w:val="BoxText"/>
          <w:rFonts w:ascii="Times New Roman" w:hAnsi="Times New Roman"/>
          <w:b w:val="0"/>
          <w:sz w:val="24"/>
        </w:rPr>
        <w:t xml:space="preserve">For Confirmed Interchange using the expected average MW profile, if the average energy profile in an hour is less than or equal to 250 MW and in that hour the actual hourly integrated energy deviates from the hourly average energy profile indicated in the Confirmed Interchange by more than </w:t>
      </w:r>
      <w:r w:rsidRPr="00560627">
        <w:rPr>
          <w:rStyle w:val="BoxText"/>
          <w:rFonts w:ascii="Times New Roman" w:hAnsi="Times New Roman"/>
          <w:b w:val="0"/>
          <w:sz w:val="24"/>
          <w:u w:val="single"/>
        </w:rPr>
        <w:t>+</w:t>
      </w:r>
      <w:r w:rsidRPr="00560627">
        <w:rPr>
          <w:rStyle w:val="BoxText"/>
          <w:rFonts w:ascii="Times New Roman" w:hAnsi="Times New Roman"/>
          <w:b w:val="0"/>
          <w:sz w:val="24"/>
        </w:rPr>
        <w:t>25 megawatt-hours.</w:t>
      </w:r>
    </w:p>
    <w:p w:rsidR="00162ACC" w:rsidRPr="00560627" w:rsidRDefault="003D0688" w:rsidP="00162ACC">
      <w:pPr>
        <w:pStyle w:val="Requirement"/>
        <w:numPr>
          <w:ilvl w:val="1"/>
          <w:numId w:val="5"/>
        </w:numPr>
        <w:tabs>
          <w:tab w:val="clear" w:pos="1440"/>
          <w:tab w:val="num" w:pos="1728"/>
          <w:tab w:val="left" w:pos="2592"/>
          <w:tab w:val="left" w:pos="3240"/>
        </w:tabs>
        <w:ind w:left="1728" w:hanging="792"/>
      </w:pPr>
      <w:r w:rsidRPr="003D0688">
        <w:t xml:space="preserve">Following </w:t>
      </w:r>
      <w:r w:rsidR="00435BE8">
        <w:t>r</w:t>
      </w:r>
      <w:r w:rsidRPr="003D0688">
        <w:t xml:space="preserve">eceipt of </w:t>
      </w:r>
      <w:r w:rsidR="00162ACC" w:rsidRPr="00560627">
        <w:rPr>
          <w:rStyle w:val="BoxText"/>
          <w:rFonts w:ascii="Times New Roman" w:hAnsi="Times New Roman"/>
          <w:b w:val="0"/>
          <w:sz w:val="24"/>
        </w:rPr>
        <w:t>notification from a Reliability Coordinator or Transmission Operator that a deviation from the hourly energy profile indicated in the Confirmed Interchange, regardless of magnitude, is a reliability concern and requires that the Confirmed Interchange be updated.</w:t>
      </w:r>
    </w:p>
    <w:p w:rsidR="00025DF4" w:rsidRPr="00560627" w:rsidRDefault="0060718C" w:rsidP="00162ACC">
      <w:pPr>
        <w:spacing w:before="120" w:after="0"/>
        <w:ind w:left="2088"/>
        <w:rPr>
          <w:szCs w:val="22"/>
        </w:rPr>
      </w:pPr>
      <w:r w:rsidRPr="00560627">
        <w:rPr>
          <w:szCs w:val="22"/>
        </w:rPr>
        <w:tab/>
      </w:r>
    </w:p>
    <w:p w:rsidR="00162ACC" w:rsidRPr="00560627" w:rsidRDefault="00162ACC" w:rsidP="00162ACC">
      <w:pPr>
        <w:pStyle w:val="Measure"/>
        <w:tabs>
          <w:tab w:val="left" w:pos="2592"/>
          <w:tab w:val="left" w:pos="3240"/>
        </w:tabs>
      </w:pPr>
      <w:r w:rsidRPr="00560627">
        <w:t xml:space="preserve">The Purchasing-Selling Entity shall have evidence (such as dated and time-stamped electronic logs or other evidence) that </w:t>
      </w:r>
      <w:r w:rsidR="003D0688" w:rsidRPr="003D0688">
        <w:t xml:space="preserve">it updated its RFIs </w:t>
      </w:r>
      <w:r w:rsidRPr="00560627">
        <w:t>when the deviation met or exceeded the criteria in INT-004-3 Requirement</w:t>
      </w:r>
      <w:r w:rsidR="003D0688">
        <w:t xml:space="preserve"> R2, </w:t>
      </w:r>
      <w:r w:rsidRPr="00560627">
        <w:t>Parts 2.1- 2.3. (R2)</w:t>
      </w:r>
    </w:p>
    <w:p w:rsidR="004570C8" w:rsidRPr="00560627" w:rsidRDefault="004570C8" w:rsidP="004570C8">
      <w:pPr>
        <w:pStyle w:val="Requirement"/>
        <w:numPr>
          <w:ilvl w:val="0"/>
          <w:numId w:val="0"/>
        </w:numPr>
        <w:tabs>
          <w:tab w:val="left" w:pos="2592"/>
          <w:tab w:val="left" w:pos="3240"/>
        </w:tabs>
        <w:ind w:left="936" w:hanging="576"/>
      </w:pPr>
    </w:p>
    <w:p w:rsidR="004570C8" w:rsidRPr="00560627" w:rsidRDefault="004570C8" w:rsidP="004570C8">
      <w:pPr>
        <w:pStyle w:val="Requirement"/>
        <w:numPr>
          <w:ilvl w:val="0"/>
          <w:numId w:val="0"/>
        </w:numPr>
        <w:tabs>
          <w:tab w:val="left" w:pos="2592"/>
          <w:tab w:val="left" w:pos="3240"/>
        </w:tabs>
        <w:ind w:left="936" w:hanging="576"/>
      </w:pPr>
    </w:p>
    <w:p w:rsidR="004570C8" w:rsidRPr="00560627" w:rsidRDefault="004570C8" w:rsidP="004570C8">
      <w:pPr>
        <w:pStyle w:val="Requirement"/>
        <w:numPr>
          <w:ilvl w:val="0"/>
          <w:numId w:val="0"/>
        </w:numPr>
        <w:tabs>
          <w:tab w:val="left" w:pos="2592"/>
          <w:tab w:val="left" w:pos="3240"/>
        </w:tabs>
        <w:ind w:left="936" w:hanging="576"/>
      </w:pPr>
    </w:p>
    <w:p w:rsidR="00E1757C" w:rsidRPr="00560627" w:rsidRDefault="00E1757C" w:rsidP="00E1757C">
      <w:pPr>
        <w:pStyle w:val="Section"/>
        <w:rPr>
          <w:rFonts w:ascii="Times New Roman" w:hAnsi="Times New Roman"/>
          <w:color w:val="264D74"/>
        </w:rPr>
      </w:pPr>
      <w:r w:rsidRPr="00560627">
        <w:rPr>
          <w:rFonts w:ascii="Times New Roman" w:hAnsi="Times New Roman"/>
          <w:color w:val="264D74"/>
        </w:rPr>
        <w:t>Compliance</w:t>
      </w:r>
    </w:p>
    <w:p w:rsidR="009C2375" w:rsidRPr="00560627" w:rsidRDefault="009C2375" w:rsidP="009C2375">
      <w:pPr>
        <w:pStyle w:val="ListNumber"/>
        <w:numPr>
          <w:ilvl w:val="0"/>
          <w:numId w:val="3"/>
        </w:numPr>
        <w:rPr>
          <w:b/>
        </w:rPr>
      </w:pPr>
      <w:r w:rsidRPr="00560627">
        <w:rPr>
          <w:b/>
        </w:rPr>
        <w:t>Compliance Monitoring Process</w:t>
      </w:r>
    </w:p>
    <w:p w:rsidR="0023786A" w:rsidRPr="00560627" w:rsidRDefault="0023786A" w:rsidP="0023786A">
      <w:pPr>
        <w:pStyle w:val="ListNumber"/>
        <w:numPr>
          <w:ilvl w:val="1"/>
          <w:numId w:val="3"/>
        </w:numPr>
        <w:rPr>
          <w:b/>
        </w:rPr>
      </w:pPr>
      <w:r w:rsidRPr="00560627">
        <w:rPr>
          <w:b/>
        </w:rPr>
        <w:t xml:space="preserve">Compliance </w:t>
      </w:r>
      <w:r w:rsidR="00F12542" w:rsidRPr="00560627">
        <w:rPr>
          <w:b/>
        </w:rPr>
        <w:t>Enforcement Authority</w:t>
      </w:r>
    </w:p>
    <w:p w:rsidR="0023786A" w:rsidRPr="00560627" w:rsidRDefault="007F7B4B" w:rsidP="007F7B4B">
      <w:pPr>
        <w:pStyle w:val="BodyIndent2"/>
      </w:pPr>
      <w:r w:rsidRPr="00560627">
        <w:t>Regional Entity</w:t>
      </w:r>
    </w:p>
    <w:p w:rsidR="0023786A" w:rsidRPr="00560627" w:rsidRDefault="00B52FE1" w:rsidP="0023786A">
      <w:pPr>
        <w:pStyle w:val="ListNumber"/>
        <w:numPr>
          <w:ilvl w:val="1"/>
          <w:numId w:val="1"/>
        </w:numPr>
        <w:rPr>
          <w:b/>
        </w:rPr>
      </w:pPr>
      <w:r w:rsidRPr="00560627">
        <w:rPr>
          <w:b/>
        </w:rPr>
        <w:t>Evidence</w:t>
      </w:r>
      <w:r w:rsidR="0023786A" w:rsidRPr="00560627">
        <w:rPr>
          <w:b/>
        </w:rPr>
        <w:t xml:space="preserve"> Retention</w:t>
      </w:r>
    </w:p>
    <w:p w:rsidR="00162ACC" w:rsidRPr="00560627" w:rsidRDefault="00162ACC" w:rsidP="00162ACC">
      <w:pPr>
        <w:pStyle w:val="ListBullet2"/>
        <w:numPr>
          <w:ilvl w:val="0"/>
          <w:numId w:val="0"/>
        </w:numPr>
        <w:tabs>
          <w:tab w:val="left" w:pos="1620"/>
        </w:tabs>
        <w:ind w:left="1620"/>
      </w:pPr>
      <w:r w:rsidRPr="00560627">
        <w:t>The Purchasing Selling Entity shall keep data or evidence to show compliance as identified below unless directed by its Compliance Enforcement Authority to retain specific evidence for a longer period of time as part of an investigation:</w:t>
      </w:r>
    </w:p>
    <w:p w:rsidR="00162ACC" w:rsidRPr="00560627" w:rsidRDefault="00162ACC" w:rsidP="00162ACC">
      <w:pPr>
        <w:pStyle w:val="ListBullet2"/>
        <w:tabs>
          <w:tab w:val="clear" w:pos="1440"/>
          <w:tab w:val="left" w:pos="2160"/>
        </w:tabs>
        <w:ind w:left="2160" w:hanging="540"/>
      </w:pPr>
      <w:r w:rsidRPr="00560627">
        <w:t xml:space="preserve">The Purchasing Selling Entity shall maintain evidence to show compliance with R1 and R2 for the most recent 3 calendar months plus the current month.  </w:t>
      </w:r>
    </w:p>
    <w:p w:rsidR="00162ACC" w:rsidRPr="00560627" w:rsidRDefault="00162ACC" w:rsidP="00162ACC">
      <w:pPr>
        <w:pStyle w:val="ListBullet2"/>
        <w:numPr>
          <w:ilvl w:val="0"/>
          <w:numId w:val="0"/>
        </w:numPr>
        <w:tabs>
          <w:tab w:val="left" w:pos="1620"/>
        </w:tabs>
        <w:ind w:left="1620"/>
      </w:pPr>
      <w:r w:rsidRPr="00560627">
        <w:t xml:space="preserve">If a Purchasing Selling Entity is found non-compliant, it shall keep information related to the non-compliance until found compliant. </w:t>
      </w:r>
    </w:p>
    <w:p w:rsidR="00162ACC" w:rsidRPr="00560627" w:rsidRDefault="00162ACC" w:rsidP="00162ACC">
      <w:pPr>
        <w:pStyle w:val="ListBullet2"/>
        <w:numPr>
          <w:ilvl w:val="0"/>
          <w:numId w:val="0"/>
        </w:numPr>
        <w:tabs>
          <w:tab w:val="left" w:pos="1620"/>
        </w:tabs>
        <w:ind w:left="1620"/>
      </w:pPr>
      <w:r w:rsidRPr="00560627">
        <w:t xml:space="preserve">The Compliance Enforcement Authority shall keep the last audit records and all requested and submitted subsequent audit records.  </w:t>
      </w:r>
    </w:p>
    <w:p w:rsidR="00F12542" w:rsidRPr="00560627" w:rsidRDefault="00F12542" w:rsidP="0023786A">
      <w:pPr>
        <w:pStyle w:val="ListNumber"/>
        <w:numPr>
          <w:ilvl w:val="1"/>
          <w:numId w:val="1"/>
        </w:numPr>
        <w:rPr>
          <w:b/>
        </w:rPr>
      </w:pPr>
      <w:r w:rsidRPr="00560627">
        <w:rPr>
          <w:b/>
        </w:rPr>
        <w:t>Compliance Monitoring and Assessment Processes</w:t>
      </w:r>
      <w:r w:rsidR="007F7B4B" w:rsidRPr="00560627">
        <w:rPr>
          <w:b/>
        </w:rPr>
        <w:t>:</w:t>
      </w:r>
    </w:p>
    <w:p w:rsidR="007F7B4B" w:rsidRPr="00560627" w:rsidRDefault="007F7B4B" w:rsidP="007F7B4B">
      <w:pPr>
        <w:pStyle w:val="ListNumber"/>
        <w:numPr>
          <w:ilvl w:val="0"/>
          <w:numId w:val="0"/>
        </w:numPr>
        <w:ind w:left="1440"/>
      </w:pPr>
      <w:r w:rsidRPr="00560627">
        <w:t>Compliance Audits</w:t>
      </w:r>
    </w:p>
    <w:p w:rsidR="007F7B4B" w:rsidRPr="00560627" w:rsidRDefault="007F7B4B" w:rsidP="007F7B4B">
      <w:pPr>
        <w:pStyle w:val="ListNumber"/>
        <w:numPr>
          <w:ilvl w:val="0"/>
          <w:numId w:val="0"/>
        </w:numPr>
        <w:ind w:left="1440"/>
      </w:pPr>
      <w:r w:rsidRPr="00560627">
        <w:t>Self-Certifications</w:t>
      </w:r>
    </w:p>
    <w:p w:rsidR="007F7B4B" w:rsidRPr="00560627" w:rsidRDefault="007F7B4B" w:rsidP="007F7B4B">
      <w:pPr>
        <w:pStyle w:val="ListNumber"/>
        <w:numPr>
          <w:ilvl w:val="0"/>
          <w:numId w:val="0"/>
        </w:numPr>
        <w:ind w:left="1440"/>
      </w:pPr>
      <w:r w:rsidRPr="00560627">
        <w:t>Spot Checking</w:t>
      </w:r>
    </w:p>
    <w:p w:rsidR="007F7B4B" w:rsidRPr="00560627" w:rsidRDefault="007F7B4B" w:rsidP="007F7B4B">
      <w:pPr>
        <w:pStyle w:val="ListNumber"/>
        <w:numPr>
          <w:ilvl w:val="0"/>
          <w:numId w:val="0"/>
        </w:numPr>
        <w:ind w:left="1440"/>
      </w:pPr>
      <w:r w:rsidRPr="00560627">
        <w:t>Compliance Violation Investigations</w:t>
      </w:r>
    </w:p>
    <w:p w:rsidR="007F7B4B" w:rsidRPr="00560627" w:rsidRDefault="007F7B4B" w:rsidP="007F7B4B">
      <w:pPr>
        <w:pStyle w:val="ListNumber"/>
        <w:numPr>
          <w:ilvl w:val="0"/>
          <w:numId w:val="0"/>
        </w:numPr>
        <w:ind w:left="1440"/>
      </w:pPr>
      <w:r w:rsidRPr="00560627">
        <w:t>Self-Reporting</w:t>
      </w:r>
    </w:p>
    <w:p w:rsidR="00F12542" w:rsidRPr="00560627" w:rsidRDefault="007F7B4B" w:rsidP="007F7B4B">
      <w:pPr>
        <w:pStyle w:val="BodyIndent2"/>
      </w:pPr>
      <w:r w:rsidRPr="00560627">
        <w:lastRenderedPageBreak/>
        <w:t xml:space="preserve">Complaints </w:t>
      </w:r>
      <w:r w:rsidR="00F12542" w:rsidRPr="00560627">
        <w:t>Text</w:t>
      </w:r>
    </w:p>
    <w:p w:rsidR="0023786A" w:rsidRPr="00560627" w:rsidRDefault="0023786A" w:rsidP="0023786A">
      <w:pPr>
        <w:pStyle w:val="ListNumber"/>
        <w:numPr>
          <w:ilvl w:val="1"/>
          <w:numId w:val="1"/>
        </w:numPr>
        <w:rPr>
          <w:b/>
        </w:rPr>
      </w:pPr>
      <w:r w:rsidRPr="00560627">
        <w:rPr>
          <w:b/>
        </w:rPr>
        <w:t>Additional Compliance Information</w:t>
      </w:r>
    </w:p>
    <w:p w:rsidR="0023786A" w:rsidRPr="00560627" w:rsidRDefault="007F7B4B" w:rsidP="00A428E1">
      <w:pPr>
        <w:pStyle w:val="BodyIndent2"/>
      </w:pPr>
      <w:r w:rsidRPr="00560627">
        <w:t>None</w:t>
      </w:r>
    </w:p>
    <w:p w:rsidR="007F7B4B" w:rsidRPr="00560627" w:rsidRDefault="007F7B4B" w:rsidP="009C2375">
      <w:pPr>
        <w:pStyle w:val="ListNumber"/>
        <w:numPr>
          <w:ilvl w:val="0"/>
          <w:numId w:val="3"/>
        </w:numPr>
        <w:rPr>
          <w:b/>
        </w:rPr>
        <w:sectPr w:rsidR="007F7B4B" w:rsidRPr="00560627" w:rsidSect="00F54AAC">
          <w:headerReference w:type="default" r:id="rId7"/>
          <w:footerReference w:type="default" r:id="rId8"/>
          <w:pgSz w:w="12240" w:h="15840"/>
          <w:pgMar w:top="1440" w:right="1440" w:bottom="1440" w:left="1440" w:header="720" w:footer="720" w:gutter="0"/>
          <w:cols w:space="720"/>
          <w:docGrid w:linePitch="360"/>
        </w:sectPr>
      </w:pPr>
    </w:p>
    <w:p w:rsidR="009C2375" w:rsidRPr="00560627" w:rsidRDefault="000A02BC" w:rsidP="00386F36">
      <w:pPr>
        <w:pStyle w:val="ListNumber"/>
        <w:numPr>
          <w:ilvl w:val="0"/>
          <w:numId w:val="0"/>
        </w:numPr>
        <w:rPr>
          <w:b/>
          <w:color w:val="264D74"/>
        </w:rPr>
      </w:pPr>
      <w:r w:rsidRPr="00560627">
        <w:rPr>
          <w:b/>
          <w:color w:val="264D74"/>
        </w:rPr>
        <w:lastRenderedPageBreak/>
        <w:t>Table of Compliance Elements</w:t>
      </w:r>
    </w:p>
    <w:tbl>
      <w:tblPr>
        <w:tblW w:w="129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445"/>
        <w:gridCol w:w="1019"/>
        <w:gridCol w:w="2480"/>
        <w:gridCol w:w="2481"/>
        <w:gridCol w:w="2481"/>
        <w:gridCol w:w="2481"/>
      </w:tblGrid>
      <w:tr w:rsidR="00386F36" w:rsidRPr="00560627" w:rsidTr="00307D68">
        <w:tc>
          <w:tcPr>
            <w:tcW w:w="573" w:type="dxa"/>
            <w:vMerge w:val="restart"/>
            <w:shd w:val="clear" w:color="auto" w:fill="264D74"/>
          </w:tcPr>
          <w:p w:rsidR="00386F36" w:rsidRPr="00560627" w:rsidRDefault="00386F36" w:rsidP="00386F36">
            <w:pPr>
              <w:pStyle w:val="ListNumber"/>
              <w:numPr>
                <w:ilvl w:val="0"/>
                <w:numId w:val="0"/>
              </w:numPr>
              <w:spacing w:before="120"/>
              <w:ind w:left="-171"/>
              <w:jc w:val="center"/>
              <w:rPr>
                <w:b/>
                <w:color w:val="FFFFFF"/>
                <w:sz w:val="20"/>
                <w:szCs w:val="20"/>
              </w:rPr>
            </w:pPr>
            <w:r w:rsidRPr="00560627">
              <w:rPr>
                <w:b/>
                <w:color w:val="FFFFFF"/>
                <w:sz w:val="20"/>
                <w:szCs w:val="20"/>
              </w:rPr>
              <w:t>R #</w:t>
            </w:r>
          </w:p>
        </w:tc>
        <w:tc>
          <w:tcPr>
            <w:tcW w:w="1445" w:type="dxa"/>
            <w:vMerge w:val="restart"/>
            <w:shd w:val="clear" w:color="auto" w:fill="264D74"/>
          </w:tcPr>
          <w:p w:rsidR="00386F36" w:rsidRPr="00560627" w:rsidRDefault="00386F36" w:rsidP="00386F36">
            <w:pPr>
              <w:pStyle w:val="ListNumber"/>
              <w:numPr>
                <w:ilvl w:val="0"/>
                <w:numId w:val="0"/>
              </w:numPr>
              <w:tabs>
                <w:tab w:val="clear" w:pos="2160"/>
              </w:tabs>
              <w:spacing w:before="120"/>
              <w:jc w:val="center"/>
              <w:rPr>
                <w:b/>
                <w:bCs/>
                <w:color w:val="FFFFFF"/>
                <w:sz w:val="20"/>
                <w:szCs w:val="20"/>
              </w:rPr>
            </w:pPr>
            <w:r w:rsidRPr="00560627">
              <w:rPr>
                <w:b/>
                <w:bCs/>
                <w:color w:val="FFFFFF"/>
                <w:sz w:val="20"/>
                <w:szCs w:val="20"/>
              </w:rPr>
              <w:t>Time Horizon</w:t>
            </w:r>
          </w:p>
        </w:tc>
        <w:tc>
          <w:tcPr>
            <w:tcW w:w="1019" w:type="dxa"/>
            <w:vMerge w:val="restart"/>
            <w:shd w:val="clear" w:color="auto" w:fill="264D74"/>
          </w:tcPr>
          <w:p w:rsidR="00386F36" w:rsidRPr="00560627" w:rsidRDefault="00386F36" w:rsidP="00386F36">
            <w:pPr>
              <w:pStyle w:val="ListNumber"/>
              <w:numPr>
                <w:ilvl w:val="0"/>
                <w:numId w:val="0"/>
              </w:numPr>
              <w:tabs>
                <w:tab w:val="clear" w:pos="2160"/>
              </w:tabs>
              <w:spacing w:before="120"/>
              <w:jc w:val="center"/>
              <w:rPr>
                <w:b/>
                <w:bCs/>
                <w:color w:val="FFFFFF"/>
                <w:sz w:val="20"/>
                <w:szCs w:val="20"/>
              </w:rPr>
            </w:pPr>
            <w:r w:rsidRPr="00560627">
              <w:rPr>
                <w:b/>
                <w:bCs/>
                <w:color w:val="FFFFFF"/>
                <w:sz w:val="20"/>
                <w:szCs w:val="20"/>
              </w:rPr>
              <w:t>VRF</w:t>
            </w:r>
          </w:p>
        </w:tc>
        <w:tc>
          <w:tcPr>
            <w:tcW w:w="9923" w:type="dxa"/>
            <w:gridSpan w:val="4"/>
            <w:shd w:val="clear" w:color="auto" w:fill="264D74"/>
            <w:vAlign w:val="center"/>
          </w:tcPr>
          <w:p w:rsidR="00386F36" w:rsidRPr="00560627" w:rsidRDefault="00386F36" w:rsidP="007F7B4B">
            <w:pPr>
              <w:pStyle w:val="ListNumber"/>
              <w:numPr>
                <w:ilvl w:val="0"/>
                <w:numId w:val="0"/>
              </w:numPr>
              <w:spacing w:before="120"/>
              <w:jc w:val="center"/>
              <w:rPr>
                <w:b/>
                <w:color w:val="FFFFFF"/>
                <w:sz w:val="22"/>
                <w:szCs w:val="22"/>
              </w:rPr>
            </w:pPr>
            <w:r w:rsidRPr="00560627">
              <w:rPr>
                <w:b/>
                <w:color w:val="FFFFFF"/>
                <w:sz w:val="22"/>
                <w:szCs w:val="22"/>
              </w:rPr>
              <w:t>Violation Severity Levels</w:t>
            </w:r>
          </w:p>
        </w:tc>
      </w:tr>
      <w:tr w:rsidR="00386F36" w:rsidRPr="00560627" w:rsidTr="00307D68">
        <w:tc>
          <w:tcPr>
            <w:tcW w:w="573" w:type="dxa"/>
            <w:vMerge/>
            <w:shd w:val="clear" w:color="auto" w:fill="264D74"/>
          </w:tcPr>
          <w:p w:rsidR="00386F36" w:rsidRPr="00560627" w:rsidRDefault="00386F36" w:rsidP="007F7B4B">
            <w:pPr>
              <w:pStyle w:val="ListNumber"/>
              <w:numPr>
                <w:ilvl w:val="0"/>
                <w:numId w:val="0"/>
              </w:numPr>
              <w:spacing w:before="120"/>
              <w:jc w:val="center"/>
              <w:rPr>
                <w:b/>
                <w:color w:val="FFFFFF"/>
                <w:sz w:val="20"/>
                <w:szCs w:val="20"/>
              </w:rPr>
            </w:pPr>
          </w:p>
        </w:tc>
        <w:tc>
          <w:tcPr>
            <w:tcW w:w="1445" w:type="dxa"/>
            <w:vMerge/>
            <w:shd w:val="clear" w:color="auto" w:fill="264D74"/>
          </w:tcPr>
          <w:p w:rsidR="00386F36" w:rsidRPr="00560627" w:rsidRDefault="00386F36" w:rsidP="007F7B4B">
            <w:pPr>
              <w:pStyle w:val="ListNumber"/>
              <w:numPr>
                <w:ilvl w:val="0"/>
                <w:numId w:val="0"/>
              </w:numPr>
              <w:spacing w:before="120"/>
              <w:jc w:val="center"/>
              <w:rPr>
                <w:b/>
                <w:bCs/>
                <w:color w:val="FFFFFF"/>
                <w:sz w:val="20"/>
                <w:szCs w:val="20"/>
              </w:rPr>
            </w:pPr>
          </w:p>
        </w:tc>
        <w:tc>
          <w:tcPr>
            <w:tcW w:w="1019" w:type="dxa"/>
            <w:vMerge/>
            <w:shd w:val="clear" w:color="auto" w:fill="264D74"/>
          </w:tcPr>
          <w:p w:rsidR="00386F36" w:rsidRPr="00560627" w:rsidRDefault="00386F36" w:rsidP="007F7B4B">
            <w:pPr>
              <w:pStyle w:val="ListNumber"/>
              <w:numPr>
                <w:ilvl w:val="0"/>
                <w:numId w:val="0"/>
              </w:numPr>
              <w:spacing w:before="120"/>
              <w:jc w:val="center"/>
              <w:rPr>
                <w:b/>
                <w:bCs/>
                <w:color w:val="FFFFFF"/>
                <w:sz w:val="20"/>
                <w:szCs w:val="20"/>
              </w:rPr>
            </w:pPr>
          </w:p>
        </w:tc>
        <w:tc>
          <w:tcPr>
            <w:tcW w:w="2480" w:type="dxa"/>
            <w:shd w:val="clear" w:color="auto" w:fill="5D85A9"/>
            <w:vAlign w:val="center"/>
          </w:tcPr>
          <w:p w:rsidR="00386F36" w:rsidRPr="00560627" w:rsidRDefault="00386F36" w:rsidP="007F7B4B">
            <w:pPr>
              <w:pStyle w:val="ListNumber"/>
              <w:numPr>
                <w:ilvl w:val="0"/>
                <w:numId w:val="0"/>
              </w:numPr>
              <w:spacing w:before="120"/>
              <w:jc w:val="center"/>
              <w:rPr>
                <w:b/>
                <w:color w:val="FFFFFF"/>
                <w:sz w:val="20"/>
                <w:szCs w:val="20"/>
              </w:rPr>
            </w:pPr>
            <w:r w:rsidRPr="00560627">
              <w:rPr>
                <w:b/>
                <w:bCs/>
                <w:color w:val="FFFFFF"/>
                <w:sz w:val="20"/>
                <w:szCs w:val="20"/>
              </w:rPr>
              <w:t>Lower VSL</w:t>
            </w:r>
          </w:p>
        </w:tc>
        <w:tc>
          <w:tcPr>
            <w:tcW w:w="2481" w:type="dxa"/>
            <w:shd w:val="clear" w:color="auto" w:fill="5D85A9"/>
            <w:vAlign w:val="center"/>
          </w:tcPr>
          <w:p w:rsidR="00386F36" w:rsidRPr="00560627" w:rsidRDefault="00386F36" w:rsidP="007F7B4B">
            <w:pPr>
              <w:pStyle w:val="ListNumber"/>
              <w:numPr>
                <w:ilvl w:val="0"/>
                <w:numId w:val="0"/>
              </w:numPr>
              <w:spacing w:before="120"/>
              <w:jc w:val="center"/>
              <w:rPr>
                <w:b/>
                <w:color w:val="FFFFFF"/>
                <w:sz w:val="20"/>
                <w:szCs w:val="20"/>
              </w:rPr>
            </w:pPr>
            <w:r w:rsidRPr="00560627">
              <w:rPr>
                <w:b/>
                <w:bCs/>
                <w:color w:val="FFFFFF"/>
                <w:sz w:val="20"/>
                <w:szCs w:val="20"/>
              </w:rPr>
              <w:t>Moderate VSL</w:t>
            </w:r>
          </w:p>
        </w:tc>
        <w:tc>
          <w:tcPr>
            <w:tcW w:w="2481" w:type="dxa"/>
            <w:shd w:val="clear" w:color="auto" w:fill="5D85A9"/>
            <w:vAlign w:val="center"/>
          </w:tcPr>
          <w:p w:rsidR="00386F36" w:rsidRPr="00560627" w:rsidRDefault="00386F36" w:rsidP="007F7B4B">
            <w:pPr>
              <w:pStyle w:val="ListNumber"/>
              <w:numPr>
                <w:ilvl w:val="0"/>
                <w:numId w:val="0"/>
              </w:numPr>
              <w:spacing w:before="120"/>
              <w:jc w:val="center"/>
              <w:rPr>
                <w:b/>
                <w:color w:val="FFFFFF"/>
                <w:sz w:val="20"/>
                <w:szCs w:val="20"/>
              </w:rPr>
            </w:pPr>
            <w:r w:rsidRPr="00560627">
              <w:rPr>
                <w:b/>
                <w:bCs/>
                <w:color w:val="FFFFFF"/>
                <w:sz w:val="20"/>
                <w:szCs w:val="20"/>
              </w:rPr>
              <w:t>High VSL</w:t>
            </w:r>
          </w:p>
        </w:tc>
        <w:tc>
          <w:tcPr>
            <w:tcW w:w="2481" w:type="dxa"/>
            <w:shd w:val="clear" w:color="auto" w:fill="5D85A9"/>
            <w:vAlign w:val="center"/>
          </w:tcPr>
          <w:p w:rsidR="00386F36" w:rsidRPr="00560627" w:rsidRDefault="00386F36" w:rsidP="007F7B4B">
            <w:pPr>
              <w:pStyle w:val="ListNumber"/>
              <w:numPr>
                <w:ilvl w:val="0"/>
                <w:numId w:val="0"/>
              </w:numPr>
              <w:spacing w:before="120"/>
              <w:jc w:val="center"/>
              <w:rPr>
                <w:b/>
                <w:color w:val="FFFFFF"/>
                <w:sz w:val="20"/>
                <w:szCs w:val="20"/>
              </w:rPr>
            </w:pPr>
            <w:r w:rsidRPr="00560627">
              <w:rPr>
                <w:b/>
                <w:color w:val="FFFFFF"/>
                <w:sz w:val="20"/>
                <w:szCs w:val="20"/>
              </w:rPr>
              <w:t>Severe VSL</w:t>
            </w:r>
          </w:p>
        </w:tc>
      </w:tr>
      <w:tr w:rsidR="00162ACC" w:rsidRPr="00560627" w:rsidTr="00307D68">
        <w:tc>
          <w:tcPr>
            <w:tcW w:w="573" w:type="dxa"/>
          </w:tcPr>
          <w:p w:rsidR="00162ACC" w:rsidRPr="00560627" w:rsidRDefault="00162ACC" w:rsidP="007F7B4B">
            <w:pPr>
              <w:pStyle w:val="ListNumber"/>
              <w:numPr>
                <w:ilvl w:val="0"/>
                <w:numId w:val="0"/>
              </w:numPr>
              <w:spacing w:before="120"/>
              <w:rPr>
                <w:sz w:val="22"/>
                <w:szCs w:val="22"/>
              </w:rPr>
            </w:pPr>
            <w:r w:rsidRPr="00560627">
              <w:rPr>
                <w:sz w:val="22"/>
                <w:szCs w:val="22"/>
              </w:rPr>
              <w:t>R1</w:t>
            </w:r>
          </w:p>
        </w:tc>
        <w:tc>
          <w:tcPr>
            <w:tcW w:w="1445" w:type="dxa"/>
          </w:tcPr>
          <w:p w:rsidR="00162ACC" w:rsidRPr="003D0688" w:rsidRDefault="003D0688" w:rsidP="00386F36">
            <w:pPr>
              <w:pStyle w:val="ListNumber"/>
              <w:numPr>
                <w:ilvl w:val="0"/>
                <w:numId w:val="0"/>
              </w:numPr>
              <w:tabs>
                <w:tab w:val="clear" w:pos="2160"/>
              </w:tabs>
              <w:spacing w:before="120"/>
              <w:rPr>
                <w:sz w:val="20"/>
                <w:szCs w:val="20"/>
              </w:rPr>
            </w:pPr>
            <w:r w:rsidRPr="003D0688">
              <w:rPr>
                <w:sz w:val="20"/>
                <w:szCs w:val="20"/>
              </w:rPr>
              <w:t>Operations Planning, Same Day Operations</w:t>
            </w:r>
          </w:p>
        </w:tc>
        <w:tc>
          <w:tcPr>
            <w:tcW w:w="1019" w:type="dxa"/>
          </w:tcPr>
          <w:p w:rsidR="00162ACC" w:rsidRPr="003D0688" w:rsidRDefault="003D0688" w:rsidP="007F7B4B">
            <w:pPr>
              <w:pStyle w:val="ListNumber"/>
              <w:numPr>
                <w:ilvl w:val="0"/>
                <w:numId w:val="0"/>
              </w:numPr>
              <w:spacing w:before="120"/>
              <w:rPr>
                <w:sz w:val="20"/>
                <w:szCs w:val="20"/>
              </w:rPr>
            </w:pPr>
            <w:r w:rsidRPr="003D0688">
              <w:rPr>
                <w:sz w:val="20"/>
                <w:szCs w:val="20"/>
              </w:rPr>
              <w:t xml:space="preserve">Medium </w:t>
            </w:r>
          </w:p>
        </w:tc>
        <w:tc>
          <w:tcPr>
            <w:tcW w:w="2480" w:type="dxa"/>
          </w:tcPr>
          <w:p w:rsidR="00162ACC" w:rsidRPr="00560627" w:rsidRDefault="00162ACC" w:rsidP="00351D47">
            <w:pPr>
              <w:rPr>
                <w:sz w:val="20"/>
                <w:szCs w:val="20"/>
              </w:rPr>
            </w:pPr>
          </w:p>
        </w:tc>
        <w:tc>
          <w:tcPr>
            <w:tcW w:w="2481" w:type="dxa"/>
          </w:tcPr>
          <w:p w:rsidR="00162ACC" w:rsidRPr="00560627" w:rsidRDefault="00162ACC" w:rsidP="00351D47">
            <w:pPr>
              <w:rPr>
                <w:sz w:val="20"/>
                <w:szCs w:val="20"/>
              </w:rPr>
            </w:pPr>
          </w:p>
        </w:tc>
        <w:tc>
          <w:tcPr>
            <w:tcW w:w="2481" w:type="dxa"/>
          </w:tcPr>
          <w:p w:rsidR="00162ACC" w:rsidRPr="00560627" w:rsidRDefault="00162ACC" w:rsidP="00351D47">
            <w:pPr>
              <w:rPr>
                <w:sz w:val="20"/>
                <w:szCs w:val="20"/>
              </w:rPr>
            </w:pPr>
          </w:p>
        </w:tc>
        <w:tc>
          <w:tcPr>
            <w:tcW w:w="2481" w:type="dxa"/>
          </w:tcPr>
          <w:p w:rsidR="00162ACC" w:rsidRPr="00560627" w:rsidRDefault="00162ACC" w:rsidP="000F0EA2">
            <w:pPr>
              <w:rPr>
                <w:sz w:val="20"/>
                <w:szCs w:val="20"/>
              </w:rPr>
            </w:pPr>
            <w:r w:rsidRPr="00560627">
              <w:rPr>
                <w:sz w:val="20"/>
                <w:szCs w:val="20"/>
              </w:rPr>
              <w:t xml:space="preserve">The Purchasing-Selling Entity secured energy to serve Load via a Dynamic Schedule </w:t>
            </w:r>
            <w:r w:rsidR="000F0EA2">
              <w:rPr>
                <w:sz w:val="20"/>
                <w:szCs w:val="20"/>
              </w:rPr>
              <w:t xml:space="preserve">or Pseudo-Tie </w:t>
            </w:r>
            <w:r w:rsidRPr="00560627">
              <w:rPr>
                <w:sz w:val="20"/>
                <w:szCs w:val="20"/>
              </w:rPr>
              <w:t>and had a forecast for that Dynamic Schedule</w:t>
            </w:r>
            <w:r w:rsidR="000F0EA2">
              <w:rPr>
                <w:sz w:val="20"/>
                <w:szCs w:val="20"/>
              </w:rPr>
              <w:t xml:space="preserve"> or Pseudo-Tie</w:t>
            </w:r>
            <w:r w:rsidRPr="00560627">
              <w:rPr>
                <w:sz w:val="20"/>
                <w:szCs w:val="20"/>
              </w:rPr>
              <w:t>, but did not ensure that a</w:t>
            </w:r>
            <w:r w:rsidR="003D0688">
              <w:rPr>
                <w:sz w:val="20"/>
                <w:szCs w:val="20"/>
              </w:rPr>
              <w:t>n</w:t>
            </w:r>
            <w:r w:rsidRPr="00560627">
              <w:rPr>
                <w:sz w:val="20"/>
                <w:szCs w:val="20"/>
              </w:rPr>
              <w:t xml:space="preserve"> </w:t>
            </w:r>
            <w:r w:rsidR="003D0688">
              <w:rPr>
                <w:sz w:val="20"/>
                <w:szCs w:val="20"/>
              </w:rPr>
              <w:t>RFI</w:t>
            </w:r>
            <w:r w:rsidRPr="00560627">
              <w:rPr>
                <w:sz w:val="20"/>
                <w:szCs w:val="20"/>
              </w:rPr>
              <w:t xml:space="preserve"> with the expected average MW profile for each hour was submitted as an </w:t>
            </w:r>
            <w:r w:rsidR="00D126E7">
              <w:rPr>
                <w:sz w:val="20"/>
                <w:szCs w:val="20"/>
              </w:rPr>
              <w:t>o</w:t>
            </w:r>
            <w:r w:rsidRPr="00560627">
              <w:rPr>
                <w:sz w:val="20"/>
                <w:szCs w:val="20"/>
              </w:rPr>
              <w:t>n-time Arranged Interchange to the Sink Balancing Authority.</w:t>
            </w:r>
          </w:p>
          <w:p w:rsidR="00162ACC" w:rsidRPr="00560627" w:rsidRDefault="00162ACC" w:rsidP="000F0EA2">
            <w:pPr>
              <w:rPr>
                <w:sz w:val="20"/>
                <w:szCs w:val="20"/>
              </w:rPr>
            </w:pPr>
          </w:p>
          <w:p w:rsidR="00162ACC" w:rsidRPr="00560627" w:rsidRDefault="00162ACC" w:rsidP="000F0EA2">
            <w:pPr>
              <w:rPr>
                <w:sz w:val="20"/>
                <w:szCs w:val="20"/>
              </w:rPr>
            </w:pPr>
            <w:r w:rsidRPr="00560627">
              <w:rPr>
                <w:sz w:val="20"/>
                <w:szCs w:val="20"/>
              </w:rPr>
              <w:t>OR</w:t>
            </w:r>
          </w:p>
          <w:p w:rsidR="00162ACC" w:rsidRPr="00560627" w:rsidRDefault="00162ACC" w:rsidP="000F0EA2">
            <w:pPr>
              <w:rPr>
                <w:sz w:val="20"/>
                <w:szCs w:val="20"/>
              </w:rPr>
            </w:pPr>
          </w:p>
          <w:p w:rsidR="00162ACC" w:rsidRPr="00560627" w:rsidRDefault="00162ACC" w:rsidP="00D126E7">
            <w:pPr>
              <w:rPr>
                <w:sz w:val="20"/>
                <w:szCs w:val="20"/>
              </w:rPr>
            </w:pPr>
            <w:r w:rsidRPr="00560627">
              <w:rPr>
                <w:sz w:val="20"/>
                <w:szCs w:val="20"/>
              </w:rPr>
              <w:t xml:space="preserve">The Purchasing-Selling Entity secured energy to serve Load via a Dynamic Schedule </w:t>
            </w:r>
            <w:r w:rsidR="000F0EA2">
              <w:rPr>
                <w:sz w:val="20"/>
                <w:szCs w:val="20"/>
              </w:rPr>
              <w:t xml:space="preserve">or Pseudo-Tie </w:t>
            </w:r>
            <w:r w:rsidRPr="00560627">
              <w:rPr>
                <w:sz w:val="20"/>
                <w:szCs w:val="20"/>
              </w:rPr>
              <w:t>and did not have a forecast for that Dynamic Schedule</w:t>
            </w:r>
            <w:r w:rsidR="000F0EA2">
              <w:rPr>
                <w:sz w:val="20"/>
                <w:szCs w:val="20"/>
              </w:rPr>
              <w:t xml:space="preserve"> or Pseudo-Tie</w:t>
            </w:r>
            <w:r w:rsidRPr="00560627">
              <w:rPr>
                <w:sz w:val="20"/>
                <w:szCs w:val="20"/>
              </w:rPr>
              <w:t>, but did not ensure that a</w:t>
            </w:r>
            <w:r w:rsidR="003D0688">
              <w:rPr>
                <w:sz w:val="20"/>
                <w:szCs w:val="20"/>
              </w:rPr>
              <w:t xml:space="preserve">n RFI </w:t>
            </w:r>
            <w:r w:rsidRPr="00560627">
              <w:rPr>
                <w:sz w:val="20"/>
                <w:szCs w:val="20"/>
              </w:rPr>
              <w:t xml:space="preserve">with the expected maximum MW profile for each hour was submitted as an </w:t>
            </w:r>
            <w:r w:rsidR="00D126E7">
              <w:rPr>
                <w:sz w:val="20"/>
                <w:szCs w:val="20"/>
              </w:rPr>
              <w:t>o</w:t>
            </w:r>
            <w:r w:rsidRPr="00560627">
              <w:rPr>
                <w:sz w:val="20"/>
                <w:szCs w:val="20"/>
              </w:rPr>
              <w:t>n-time Arranged Interchange to the Sink Balancing Authority.</w:t>
            </w:r>
          </w:p>
        </w:tc>
      </w:tr>
      <w:tr w:rsidR="00162ACC" w:rsidRPr="00560627" w:rsidTr="00351D47">
        <w:tc>
          <w:tcPr>
            <w:tcW w:w="573" w:type="dxa"/>
          </w:tcPr>
          <w:p w:rsidR="00162ACC" w:rsidRPr="00560627" w:rsidRDefault="00162ACC" w:rsidP="007F7B4B">
            <w:pPr>
              <w:pStyle w:val="ListNumber"/>
              <w:numPr>
                <w:ilvl w:val="0"/>
                <w:numId w:val="0"/>
              </w:numPr>
              <w:spacing w:before="120"/>
              <w:rPr>
                <w:sz w:val="22"/>
                <w:szCs w:val="22"/>
              </w:rPr>
            </w:pPr>
            <w:r w:rsidRPr="00560627">
              <w:rPr>
                <w:sz w:val="22"/>
                <w:szCs w:val="22"/>
              </w:rPr>
              <w:t>R2</w:t>
            </w:r>
          </w:p>
        </w:tc>
        <w:tc>
          <w:tcPr>
            <w:tcW w:w="1445" w:type="dxa"/>
          </w:tcPr>
          <w:p w:rsidR="00162ACC" w:rsidRPr="003D0688" w:rsidRDefault="003D0688" w:rsidP="007F7B4B">
            <w:pPr>
              <w:pStyle w:val="ListNumber"/>
              <w:numPr>
                <w:ilvl w:val="0"/>
                <w:numId w:val="0"/>
              </w:numPr>
              <w:spacing w:before="120"/>
              <w:rPr>
                <w:sz w:val="20"/>
                <w:szCs w:val="20"/>
              </w:rPr>
            </w:pPr>
            <w:r w:rsidRPr="003D0688">
              <w:rPr>
                <w:sz w:val="20"/>
                <w:szCs w:val="20"/>
              </w:rPr>
              <w:t xml:space="preserve">Operations Planning, </w:t>
            </w:r>
            <w:r w:rsidRPr="003D0688">
              <w:rPr>
                <w:sz w:val="20"/>
                <w:szCs w:val="20"/>
              </w:rPr>
              <w:lastRenderedPageBreak/>
              <w:t>Same Day Operations</w:t>
            </w:r>
          </w:p>
        </w:tc>
        <w:tc>
          <w:tcPr>
            <w:tcW w:w="1019" w:type="dxa"/>
          </w:tcPr>
          <w:p w:rsidR="00162ACC" w:rsidRPr="003D0688" w:rsidRDefault="003D0688" w:rsidP="007F7B4B">
            <w:pPr>
              <w:pStyle w:val="ListNumber"/>
              <w:numPr>
                <w:ilvl w:val="0"/>
                <w:numId w:val="0"/>
              </w:numPr>
              <w:spacing w:before="120"/>
              <w:rPr>
                <w:sz w:val="20"/>
                <w:szCs w:val="20"/>
              </w:rPr>
            </w:pPr>
            <w:r w:rsidRPr="003D0688">
              <w:rPr>
                <w:sz w:val="20"/>
                <w:szCs w:val="20"/>
              </w:rPr>
              <w:lastRenderedPageBreak/>
              <w:t>Medium</w:t>
            </w:r>
          </w:p>
        </w:tc>
        <w:tc>
          <w:tcPr>
            <w:tcW w:w="2480" w:type="dxa"/>
            <w:vAlign w:val="center"/>
          </w:tcPr>
          <w:p w:rsidR="00162ACC" w:rsidRPr="00560627" w:rsidRDefault="00162ACC" w:rsidP="00351D47">
            <w:pPr>
              <w:rPr>
                <w:sz w:val="20"/>
                <w:szCs w:val="20"/>
              </w:rPr>
            </w:pPr>
          </w:p>
        </w:tc>
        <w:tc>
          <w:tcPr>
            <w:tcW w:w="2481" w:type="dxa"/>
            <w:vAlign w:val="center"/>
          </w:tcPr>
          <w:p w:rsidR="00162ACC" w:rsidRPr="00560627" w:rsidRDefault="00162ACC" w:rsidP="00351D47">
            <w:pPr>
              <w:rPr>
                <w:sz w:val="20"/>
                <w:szCs w:val="20"/>
              </w:rPr>
            </w:pPr>
          </w:p>
        </w:tc>
        <w:tc>
          <w:tcPr>
            <w:tcW w:w="2481" w:type="dxa"/>
            <w:vAlign w:val="center"/>
          </w:tcPr>
          <w:p w:rsidR="00162ACC" w:rsidRPr="00560627" w:rsidRDefault="00162ACC" w:rsidP="00351D47">
            <w:pPr>
              <w:rPr>
                <w:sz w:val="20"/>
                <w:szCs w:val="20"/>
              </w:rPr>
            </w:pPr>
          </w:p>
        </w:tc>
        <w:tc>
          <w:tcPr>
            <w:tcW w:w="2481" w:type="dxa"/>
          </w:tcPr>
          <w:p w:rsidR="00162ACC" w:rsidRPr="00560627" w:rsidRDefault="00162ACC" w:rsidP="003D0688">
            <w:r w:rsidRPr="00560627">
              <w:rPr>
                <w:sz w:val="20"/>
                <w:szCs w:val="20"/>
              </w:rPr>
              <w:t xml:space="preserve">A deviation met or exceeded the criteria in </w:t>
            </w:r>
            <w:r w:rsidRPr="00560627">
              <w:rPr>
                <w:sz w:val="20"/>
                <w:szCs w:val="20"/>
              </w:rPr>
              <w:lastRenderedPageBreak/>
              <w:t>INT-004-3 Requirement R2 Parts 2.1- 2.3, but the Purchasing-Selling Entity did not ensure that the Confirmed Interchange associated with that Dynamic Schedule</w:t>
            </w:r>
            <w:r w:rsidR="003203EF">
              <w:rPr>
                <w:sz w:val="20"/>
                <w:szCs w:val="20"/>
              </w:rPr>
              <w:t xml:space="preserve"> or Pseudo-Tie</w:t>
            </w:r>
            <w:r w:rsidRPr="00560627">
              <w:rPr>
                <w:sz w:val="20"/>
                <w:szCs w:val="20"/>
              </w:rPr>
              <w:t xml:space="preserve"> was updated for the next available scheduling hour</w:t>
            </w:r>
            <w:r w:rsidR="003D0688">
              <w:rPr>
                <w:sz w:val="20"/>
                <w:szCs w:val="20"/>
              </w:rPr>
              <w:t xml:space="preserve"> </w:t>
            </w:r>
            <w:r w:rsidR="003D0688" w:rsidRPr="003D0688">
              <w:rPr>
                <w:sz w:val="20"/>
                <w:szCs w:val="20"/>
              </w:rPr>
              <w:t xml:space="preserve">or failed to ensure that the Confirmed Interchange associated with that Dynamic Schedule </w:t>
            </w:r>
            <w:r w:rsidR="003203EF">
              <w:rPr>
                <w:sz w:val="20"/>
                <w:szCs w:val="20"/>
              </w:rPr>
              <w:t xml:space="preserve">or Pseudo-Tie </w:t>
            </w:r>
            <w:r w:rsidR="003D0688" w:rsidRPr="003D0688">
              <w:rPr>
                <w:sz w:val="20"/>
                <w:szCs w:val="20"/>
              </w:rPr>
              <w:t>was updated for  future hours</w:t>
            </w:r>
            <w:r w:rsidRPr="00560627">
              <w:rPr>
                <w:sz w:val="20"/>
                <w:szCs w:val="20"/>
              </w:rPr>
              <w:t xml:space="preserve">. </w:t>
            </w:r>
          </w:p>
        </w:tc>
      </w:tr>
    </w:tbl>
    <w:p w:rsidR="00F12542" w:rsidRPr="00560627" w:rsidRDefault="00F12542" w:rsidP="00F12542">
      <w:pPr>
        <w:pStyle w:val="ListNumber"/>
        <w:numPr>
          <w:ilvl w:val="0"/>
          <w:numId w:val="0"/>
        </w:numPr>
        <w:ind w:left="360"/>
      </w:pPr>
    </w:p>
    <w:p w:rsidR="009C2375" w:rsidRPr="003D0688" w:rsidRDefault="009C2375" w:rsidP="009C2375">
      <w:pPr>
        <w:pStyle w:val="Section"/>
        <w:rPr>
          <w:rFonts w:ascii="Times New Roman" w:hAnsi="Times New Roman"/>
          <w:color w:val="264D74"/>
        </w:rPr>
      </w:pPr>
      <w:r w:rsidRPr="003D0688">
        <w:rPr>
          <w:rFonts w:ascii="Times New Roman" w:hAnsi="Times New Roman"/>
          <w:color w:val="264D74"/>
        </w:rPr>
        <w:t xml:space="preserve">Regional </w:t>
      </w:r>
      <w:r w:rsidR="001E5878" w:rsidRPr="003D0688">
        <w:rPr>
          <w:rFonts w:ascii="Times New Roman" w:hAnsi="Times New Roman"/>
          <w:color w:val="264D74"/>
        </w:rPr>
        <w:t>Variances</w:t>
      </w:r>
    </w:p>
    <w:p w:rsidR="009C2375" w:rsidRPr="00560627" w:rsidRDefault="009C2375" w:rsidP="00372401">
      <w:pPr>
        <w:pStyle w:val="ListNumber"/>
        <w:numPr>
          <w:ilvl w:val="0"/>
          <w:numId w:val="0"/>
        </w:numPr>
        <w:ind w:left="360"/>
      </w:pPr>
      <w:r w:rsidRPr="00560627">
        <w:t>None</w:t>
      </w:r>
      <w:r w:rsidR="005523BA" w:rsidRPr="00560627">
        <w:t>.</w:t>
      </w:r>
    </w:p>
    <w:p w:rsidR="007F7B4B" w:rsidRPr="00560627" w:rsidRDefault="007F7B4B" w:rsidP="005523BA">
      <w:pPr>
        <w:pStyle w:val="Section"/>
        <w:rPr>
          <w:rFonts w:ascii="Times New Roman" w:hAnsi="Times New Roman"/>
          <w:color w:val="264D74"/>
        </w:rPr>
      </w:pPr>
      <w:r w:rsidRPr="00560627">
        <w:rPr>
          <w:rFonts w:ascii="Times New Roman" w:hAnsi="Times New Roman"/>
          <w:color w:val="264D74"/>
        </w:rPr>
        <w:t>Interpretations</w:t>
      </w:r>
    </w:p>
    <w:p w:rsidR="007F7B4B" w:rsidRPr="00560627" w:rsidRDefault="007F7B4B" w:rsidP="007F7B4B">
      <w:pPr>
        <w:pStyle w:val="ListNumber"/>
        <w:numPr>
          <w:ilvl w:val="0"/>
          <w:numId w:val="0"/>
        </w:numPr>
        <w:ind w:left="360"/>
      </w:pPr>
      <w:r w:rsidRPr="00560627">
        <w:t>None.</w:t>
      </w:r>
    </w:p>
    <w:p w:rsidR="005523BA" w:rsidRPr="00560627" w:rsidRDefault="005523BA" w:rsidP="005523BA">
      <w:pPr>
        <w:pStyle w:val="Section"/>
        <w:rPr>
          <w:rFonts w:ascii="Times New Roman" w:hAnsi="Times New Roman"/>
          <w:color w:val="264D74"/>
        </w:rPr>
      </w:pPr>
      <w:r w:rsidRPr="00560627">
        <w:rPr>
          <w:rFonts w:ascii="Times New Roman" w:hAnsi="Times New Roman"/>
          <w:color w:val="264D74"/>
        </w:rPr>
        <w:t>Associated Documents</w:t>
      </w:r>
    </w:p>
    <w:p w:rsidR="007F7B4B" w:rsidRPr="00560627" w:rsidRDefault="007F7B4B" w:rsidP="007F7B4B">
      <w:pPr>
        <w:pStyle w:val="ListNumber"/>
        <w:numPr>
          <w:ilvl w:val="0"/>
          <w:numId w:val="0"/>
        </w:numPr>
        <w:ind w:left="360"/>
      </w:pPr>
      <w:r w:rsidRPr="00560627">
        <w:t>None.</w:t>
      </w:r>
    </w:p>
    <w:p w:rsidR="007F7B4B" w:rsidRPr="00560627" w:rsidRDefault="007F7B4B" w:rsidP="007844D2">
      <w:pPr>
        <w:pStyle w:val="Requirement"/>
        <w:numPr>
          <w:ilvl w:val="0"/>
          <w:numId w:val="0"/>
        </w:numPr>
        <w:sectPr w:rsidR="007F7B4B" w:rsidRPr="00560627" w:rsidSect="007F7B4B">
          <w:footerReference w:type="default" r:id="rId9"/>
          <w:pgSz w:w="15840" w:h="12240" w:orient="landscape"/>
          <w:pgMar w:top="1440" w:right="1440" w:bottom="1440" w:left="1440" w:header="720" w:footer="720" w:gutter="0"/>
          <w:cols w:space="720"/>
          <w:docGrid w:linePitch="360"/>
        </w:sectPr>
      </w:pPr>
    </w:p>
    <w:p w:rsidR="007F7B4B" w:rsidRPr="00560627" w:rsidRDefault="007F7B4B" w:rsidP="007F7B4B">
      <w:pPr>
        <w:pStyle w:val="Section"/>
        <w:numPr>
          <w:ilvl w:val="0"/>
          <w:numId w:val="0"/>
        </w:numPr>
        <w:rPr>
          <w:rFonts w:ascii="Times New Roman" w:hAnsi="Times New Roman"/>
          <w:color w:val="264D74"/>
        </w:rPr>
      </w:pPr>
      <w:r w:rsidRPr="00560627">
        <w:rPr>
          <w:rFonts w:ascii="Times New Roman" w:hAnsi="Times New Roman"/>
          <w:color w:val="264D74"/>
        </w:rPr>
        <w:lastRenderedPageBreak/>
        <w:t>Guidelines and Technical Basis</w:t>
      </w:r>
    </w:p>
    <w:p w:rsidR="007F7B4B" w:rsidRPr="00560627" w:rsidRDefault="007F7B4B" w:rsidP="007844D2">
      <w:pPr>
        <w:pStyle w:val="Requirement"/>
        <w:numPr>
          <w:ilvl w:val="0"/>
          <w:numId w:val="0"/>
        </w:numPr>
      </w:pPr>
    </w:p>
    <w:p w:rsidR="007F7B4B" w:rsidRPr="00560627" w:rsidRDefault="007F7B4B" w:rsidP="007844D2">
      <w:pPr>
        <w:pStyle w:val="Requirement"/>
        <w:numPr>
          <w:ilvl w:val="0"/>
          <w:numId w:val="0"/>
        </w:numPr>
        <w:rPr>
          <w:b/>
        </w:rPr>
      </w:pPr>
      <w:r w:rsidRPr="00560627">
        <w:rPr>
          <w:b/>
        </w:rPr>
        <w:t xml:space="preserve">Requirement R1: </w:t>
      </w:r>
    </w:p>
    <w:p w:rsidR="007F7B4B" w:rsidRPr="00560627" w:rsidRDefault="007F7B4B" w:rsidP="007844D2">
      <w:pPr>
        <w:pStyle w:val="Requirement"/>
        <w:numPr>
          <w:ilvl w:val="0"/>
          <w:numId w:val="0"/>
        </w:numPr>
      </w:pPr>
    </w:p>
    <w:p w:rsidR="007F7B4B" w:rsidRPr="00560627" w:rsidRDefault="007F7B4B" w:rsidP="007844D2">
      <w:pPr>
        <w:pStyle w:val="Requirement"/>
        <w:numPr>
          <w:ilvl w:val="0"/>
          <w:numId w:val="0"/>
        </w:numPr>
        <w:rPr>
          <w:b/>
        </w:rPr>
      </w:pPr>
      <w:r w:rsidRPr="00560627">
        <w:rPr>
          <w:b/>
        </w:rPr>
        <w:t xml:space="preserve">Requirement R2: </w:t>
      </w:r>
    </w:p>
    <w:p w:rsidR="007F7B4B" w:rsidRPr="00560627" w:rsidRDefault="007F7B4B" w:rsidP="007844D2">
      <w:pPr>
        <w:pStyle w:val="Requirement"/>
        <w:numPr>
          <w:ilvl w:val="0"/>
          <w:numId w:val="0"/>
        </w:numPr>
      </w:pPr>
    </w:p>
    <w:p w:rsidR="007F7B4B" w:rsidRPr="00560627" w:rsidRDefault="007F7B4B" w:rsidP="007844D2">
      <w:pPr>
        <w:pStyle w:val="Requirement"/>
        <w:numPr>
          <w:ilvl w:val="0"/>
          <w:numId w:val="0"/>
        </w:numPr>
        <w:rPr>
          <w:b/>
        </w:rPr>
      </w:pPr>
      <w:r w:rsidRPr="00560627">
        <w:rPr>
          <w:b/>
        </w:rPr>
        <w:t>Requirement R3:</w:t>
      </w:r>
    </w:p>
    <w:sectPr w:rsidR="007F7B4B" w:rsidRPr="00560627" w:rsidSect="007F7B4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EA2" w:rsidRDefault="000F0EA2">
      <w:r>
        <w:separator/>
      </w:r>
    </w:p>
  </w:endnote>
  <w:endnote w:type="continuationSeparator" w:id="0">
    <w:p w:rsidR="000F0EA2" w:rsidRDefault="000F0E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EA2" w:rsidRDefault="000F0EA2" w:rsidP="00386F36">
    <w:pPr>
      <w:pStyle w:val="Footer"/>
      <w:pBdr>
        <w:top w:val="none" w:sz="0" w:space="0" w:color="auto"/>
      </w:pBdr>
      <w:tabs>
        <w:tab w:val="clear" w:pos="4320"/>
        <w:tab w:val="clear" w:pos="8640"/>
        <w:tab w:val="left" w:pos="795"/>
        <w:tab w:val="center" w:pos="9270"/>
        <w:tab w:val="right" w:pos="12960"/>
      </w:tabs>
      <w:spacing w:before="0" w:after="0"/>
      <w:rPr>
        <w:rStyle w:val="PageNumber"/>
      </w:rPr>
    </w:pPr>
    <w:r>
      <w:t xml:space="preserve">Draft #2: </w:t>
    </w:r>
    <w:r>
      <w:rPr>
        <w:rFonts w:hint="eastAsia"/>
      </w:rPr>
      <w:t xml:space="preserve">April </w:t>
    </w:r>
    <w:r w:rsidR="003E6956">
      <w:t>18</w:t>
    </w:r>
    <w:r>
      <w:rPr>
        <w:rFonts w:hint="eastAsia"/>
      </w:rPr>
      <w:t xml:space="preserve"> 2013</w:t>
    </w:r>
    <w:r>
      <w:t xml:space="preserve">  </w:t>
    </w:r>
    <w:r>
      <w:tab/>
      <w:t xml:space="preserve">Page </w:t>
    </w:r>
    <w:r w:rsidR="009E24B5">
      <w:rPr>
        <w:rStyle w:val="PageNumber"/>
      </w:rPr>
      <w:fldChar w:fldCharType="begin"/>
    </w:r>
    <w:r>
      <w:rPr>
        <w:rStyle w:val="PageNumber"/>
      </w:rPr>
      <w:instrText xml:space="preserve"> PAGE </w:instrText>
    </w:r>
    <w:r w:rsidR="009E24B5">
      <w:rPr>
        <w:rStyle w:val="PageNumber"/>
      </w:rPr>
      <w:fldChar w:fldCharType="separate"/>
    </w:r>
    <w:r w:rsidR="003E6956">
      <w:rPr>
        <w:rStyle w:val="PageNumber"/>
        <w:noProof/>
      </w:rPr>
      <w:t>6</w:t>
    </w:r>
    <w:r w:rsidR="009E24B5">
      <w:rPr>
        <w:rStyle w:val="PageNumber"/>
      </w:rPr>
      <w:fldChar w:fldCharType="end"/>
    </w:r>
    <w:r>
      <w:rPr>
        <w:rStyle w:val="PageNumber"/>
      </w:rPr>
      <w:t xml:space="preserve"> of </w:t>
    </w:r>
    <w:r w:rsidR="009E24B5">
      <w:rPr>
        <w:rStyle w:val="PageNumber"/>
      </w:rPr>
      <w:fldChar w:fldCharType="begin"/>
    </w:r>
    <w:r>
      <w:rPr>
        <w:rStyle w:val="PageNumber"/>
      </w:rPr>
      <w:instrText xml:space="preserve"> NUMPAGES </w:instrText>
    </w:r>
    <w:r w:rsidR="009E24B5">
      <w:rPr>
        <w:rStyle w:val="PageNumber"/>
      </w:rPr>
      <w:fldChar w:fldCharType="separate"/>
    </w:r>
    <w:r w:rsidR="003E6956">
      <w:rPr>
        <w:rStyle w:val="PageNumber"/>
        <w:noProof/>
      </w:rPr>
      <w:t>9</w:t>
    </w:r>
    <w:r w:rsidR="009E24B5">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EA2" w:rsidRDefault="000F0EA2" w:rsidP="00386F36">
    <w:pPr>
      <w:pStyle w:val="Footer"/>
      <w:pBdr>
        <w:top w:val="none" w:sz="0" w:space="0" w:color="auto"/>
      </w:pBdr>
      <w:tabs>
        <w:tab w:val="clear" w:pos="4320"/>
        <w:tab w:val="clear" w:pos="8640"/>
        <w:tab w:val="left" w:pos="795"/>
        <w:tab w:val="center" w:pos="12960"/>
      </w:tabs>
      <w:spacing w:before="0" w:after="0"/>
      <w:rPr>
        <w:rStyle w:val="PageNumber"/>
      </w:rPr>
    </w:pPr>
    <w:r>
      <w:t xml:space="preserve">Draft #2: </w:t>
    </w:r>
    <w:r w:rsidR="003E6956">
      <w:t>April 18, 2013</w:t>
    </w:r>
    <w:r>
      <w:t xml:space="preserve">  </w:t>
    </w:r>
    <w:r>
      <w:tab/>
      <w:t xml:space="preserve">Page </w:t>
    </w:r>
    <w:r w:rsidR="009E24B5">
      <w:rPr>
        <w:rStyle w:val="PageNumber"/>
      </w:rPr>
      <w:fldChar w:fldCharType="begin"/>
    </w:r>
    <w:r>
      <w:rPr>
        <w:rStyle w:val="PageNumber"/>
      </w:rPr>
      <w:instrText xml:space="preserve"> PAGE </w:instrText>
    </w:r>
    <w:r w:rsidR="009E24B5">
      <w:rPr>
        <w:rStyle w:val="PageNumber"/>
      </w:rPr>
      <w:fldChar w:fldCharType="separate"/>
    </w:r>
    <w:r w:rsidR="003E6956">
      <w:rPr>
        <w:rStyle w:val="PageNumber"/>
        <w:noProof/>
      </w:rPr>
      <w:t>8</w:t>
    </w:r>
    <w:r w:rsidR="009E24B5">
      <w:rPr>
        <w:rStyle w:val="PageNumber"/>
      </w:rPr>
      <w:fldChar w:fldCharType="end"/>
    </w:r>
    <w:r>
      <w:rPr>
        <w:rStyle w:val="PageNumber"/>
      </w:rPr>
      <w:t xml:space="preserve"> of </w:t>
    </w:r>
    <w:r w:rsidR="009E24B5">
      <w:rPr>
        <w:rStyle w:val="PageNumber"/>
      </w:rPr>
      <w:fldChar w:fldCharType="begin"/>
    </w:r>
    <w:r>
      <w:rPr>
        <w:rStyle w:val="PageNumber"/>
      </w:rPr>
      <w:instrText xml:space="preserve"> NUMPAGES </w:instrText>
    </w:r>
    <w:r w:rsidR="009E24B5">
      <w:rPr>
        <w:rStyle w:val="PageNumber"/>
      </w:rPr>
      <w:fldChar w:fldCharType="separate"/>
    </w:r>
    <w:r w:rsidR="003E6956">
      <w:rPr>
        <w:rStyle w:val="PageNumber"/>
        <w:noProof/>
      </w:rPr>
      <w:t>9</w:t>
    </w:r>
    <w:r w:rsidR="009E24B5">
      <w:rPr>
        <w:rStyle w:val="PageNumber"/>
      </w:rPr>
      <w:fldChar w:fldCharType="end"/>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EA2" w:rsidRDefault="000F0EA2" w:rsidP="00386F36">
    <w:pPr>
      <w:pStyle w:val="Footer"/>
      <w:pBdr>
        <w:top w:val="none" w:sz="0" w:space="0" w:color="auto"/>
      </w:pBdr>
      <w:tabs>
        <w:tab w:val="clear" w:pos="4320"/>
        <w:tab w:val="clear" w:pos="8640"/>
        <w:tab w:val="center" w:pos="9270"/>
        <w:tab w:val="right" w:pos="12960"/>
      </w:tabs>
      <w:spacing w:before="0" w:after="0"/>
      <w:rPr>
        <w:rStyle w:val="PageNumber"/>
      </w:rPr>
    </w:pPr>
    <w:r>
      <w:t xml:space="preserve">Draft #2: May 31, 2010  </w:t>
    </w:r>
    <w:r>
      <w:tab/>
      <w:t xml:space="preserve">Page </w:t>
    </w:r>
    <w:r w:rsidR="009E24B5">
      <w:rPr>
        <w:rStyle w:val="PageNumber"/>
      </w:rPr>
      <w:fldChar w:fldCharType="begin"/>
    </w:r>
    <w:r>
      <w:rPr>
        <w:rStyle w:val="PageNumber"/>
      </w:rPr>
      <w:instrText xml:space="preserve"> PAGE </w:instrText>
    </w:r>
    <w:r w:rsidR="009E24B5">
      <w:rPr>
        <w:rStyle w:val="PageNumber"/>
      </w:rPr>
      <w:fldChar w:fldCharType="separate"/>
    </w:r>
    <w:r w:rsidR="003E6956">
      <w:rPr>
        <w:rStyle w:val="PageNumber"/>
        <w:noProof/>
      </w:rPr>
      <w:t>9</w:t>
    </w:r>
    <w:r w:rsidR="009E24B5">
      <w:rPr>
        <w:rStyle w:val="PageNumber"/>
      </w:rPr>
      <w:fldChar w:fldCharType="end"/>
    </w:r>
    <w:r>
      <w:rPr>
        <w:rStyle w:val="PageNumber"/>
      </w:rPr>
      <w:t xml:space="preserve"> of </w:t>
    </w:r>
    <w:r w:rsidR="009E24B5">
      <w:rPr>
        <w:rStyle w:val="PageNumber"/>
      </w:rPr>
      <w:fldChar w:fldCharType="begin"/>
    </w:r>
    <w:r>
      <w:rPr>
        <w:rStyle w:val="PageNumber"/>
      </w:rPr>
      <w:instrText xml:space="preserve"> NUMPAGES </w:instrText>
    </w:r>
    <w:r w:rsidR="009E24B5">
      <w:rPr>
        <w:rStyle w:val="PageNumber"/>
      </w:rPr>
      <w:fldChar w:fldCharType="separate"/>
    </w:r>
    <w:r w:rsidR="003E6956">
      <w:rPr>
        <w:rStyle w:val="PageNumber"/>
        <w:noProof/>
      </w:rPr>
      <w:t>9</w:t>
    </w:r>
    <w:r w:rsidR="009E24B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EA2" w:rsidRDefault="000F0EA2">
      <w:r>
        <w:separator/>
      </w:r>
    </w:p>
  </w:footnote>
  <w:footnote w:type="continuationSeparator" w:id="0">
    <w:p w:rsidR="000F0EA2" w:rsidRDefault="000F0E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EA2" w:rsidRPr="0097177D" w:rsidRDefault="000F0EA2" w:rsidP="0097177D">
    <w:pPr>
      <w:pStyle w:val="Header"/>
    </w:pPr>
    <w:r>
      <w:t>Standard INT-004-3 — Dynamic Transfers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EA2" w:rsidRPr="007F7B4B" w:rsidRDefault="000F0EA2">
    <w:pPr>
      <w:pStyle w:val="Header"/>
      <w:rPr>
        <w:rFonts w:ascii="Arial" w:hAnsi="Arial" w:cs="Arial"/>
        <w:sz w:val="24"/>
      </w:rPr>
    </w:pPr>
    <w:r w:rsidRPr="007F7B4B">
      <w:rPr>
        <w:rFonts w:ascii="Arial" w:hAnsi="Arial" w:cs="Arial"/>
        <w:sz w:val="24"/>
      </w:rPr>
      <w:t>Application Guidelines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90D2D0"/>
    <w:lvl w:ilvl="0">
      <w:start w:val="1"/>
      <w:numFmt w:val="decimal"/>
      <w:lvlText w:val="%1."/>
      <w:lvlJc w:val="left"/>
      <w:pPr>
        <w:tabs>
          <w:tab w:val="num" w:pos="360"/>
        </w:tabs>
        <w:ind w:left="360" w:hanging="360"/>
      </w:pPr>
    </w:lvl>
  </w:abstractNum>
  <w:abstractNum w:abstractNumId="1">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12D5337F"/>
    <w:multiLevelType w:val="multilevel"/>
    <w:tmpl w:val="B7C80976"/>
    <w:lvl w:ilvl="0">
      <w:start w:val="1"/>
      <w:numFmt w:val="decimal"/>
      <w:lvlText w:val="%1."/>
      <w:lvlJc w:val="left"/>
      <w:pPr>
        <w:tabs>
          <w:tab w:val="num" w:pos="720"/>
        </w:tabs>
        <w:ind w:left="720" w:hanging="360"/>
      </w:pPr>
    </w:lvl>
    <w:lvl w:ilvl="1">
      <w:start w:val="1"/>
      <w:numFmt w:val="decimal"/>
      <w:isLgl/>
      <w:lvlText w:val="%1.%2"/>
      <w:lvlJc w:val="left"/>
      <w:pPr>
        <w:tabs>
          <w:tab w:val="num" w:pos="1350"/>
        </w:tabs>
        <w:ind w:left="135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90"/>
        </w:tabs>
        <w:ind w:left="279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690"/>
        </w:tabs>
        <w:ind w:left="3690" w:hanging="1440"/>
      </w:pPr>
      <w:rPr>
        <w:rFonts w:hint="default"/>
      </w:rPr>
    </w:lvl>
    <w:lvl w:ilvl="8">
      <w:start w:val="1"/>
      <w:numFmt w:val="decimal"/>
      <w:isLgl/>
      <w:lvlText w:val="%1.%2.%3.%4.%5.%6.%7.%8.%9"/>
      <w:lvlJc w:val="left"/>
      <w:pPr>
        <w:tabs>
          <w:tab w:val="num" w:pos="4320"/>
        </w:tabs>
        <w:ind w:left="4320" w:hanging="1800"/>
      </w:pPr>
      <w:rPr>
        <w:rFonts w:hint="default"/>
      </w:rPr>
    </w:lvl>
  </w:abstractNum>
  <w:abstractNum w:abstractNumId="3">
    <w:nsid w:val="30BE268B"/>
    <w:multiLevelType w:val="hybridMultilevel"/>
    <w:tmpl w:val="B934A20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03329F"/>
    <w:multiLevelType w:val="multilevel"/>
    <w:tmpl w:val="A9DCE24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0C1811"/>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5BCF7066"/>
    <w:multiLevelType w:val="hybridMultilevel"/>
    <w:tmpl w:val="8F2043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74D4754"/>
    <w:multiLevelType w:val="multilevel"/>
    <w:tmpl w:val="5B727804"/>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bullet"/>
      <w:lvlText w:val=""/>
      <w:lvlJc w:val="left"/>
      <w:pPr>
        <w:tabs>
          <w:tab w:val="num" w:pos="864"/>
        </w:tabs>
        <w:ind w:left="864" w:hanging="360"/>
      </w:pPr>
      <w:rPr>
        <w:rFonts w:ascii="Symbol" w:hAnsi="Symbol"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656"/>
        </w:tabs>
        <w:ind w:left="1656" w:hanging="648"/>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10">
    <w:nsid w:val="6A964333"/>
    <w:multiLevelType w:val="multilevel"/>
    <w:tmpl w:val="E33ADAB8"/>
    <w:lvl w:ilvl="0">
      <w:start w:val="1"/>
      <w:numFmt w:val="decimal"/>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1">
    <w:nsid w:val="6D896B19"/>
    <w:multiLevelType w:val="multilevel"/>
    <w:tmpl w:val="F22E7434"/>
    <w:lvl w:ilvl="0">
      <w:start w:val="4"/>
      <w:numFmt w:val="decimal"/>
      <w:lvlText w:val="%1."/>
      <w:lvlJc w:val="left"/>
      <w:pPr>
        <w:tabs>
          <w:tab w:val="num" w:pos="1440"/>
        </w:tabs>
        <w:ind w:left="1800" w:hanging="360"/>
      </w:pPr>
      <w:rPr>
        <w:rFonts w:hint="default"/>
        <w:b/>
      </w:rPr>
    </w:lvl>
    <w:lvl w:ilvl="1">
      <w:start w:val="1"/>
      <w:numFmt w:val="decimal"/>
      <w:lvlText w:val="4.%2."/>
      <w:lvlJc w:val="left"/>
      <w:pPr>
        <w:tabs>
          <w:tab w:val="num" w:pos="1440"/>
        </w:tabs>
        <w:ind w:left="2592" w:hanging="792"/>
      </w:pPr>
      <w:rPr>
        <w:rFonts w:ascii="Arial,Bold" w:hAnsi="Arial,Bold" w:hint="default"/>
        <w:b/>
        <w:i w:val="0"/>
        <w:color w:val="auto"/>
        <w:sz w:val="24"/>
      </w:rPr>
    </w:lvl>
    <w:lvl w:ilvl="2">
      <w:start w:val="1"/>
      <w:numFmt w:val="decimal"/>
      <w:lvlText w:val="%1.%2.%3."/>
      <w:lvlJc w:val="left"/>
      <w:pPr>
        <w:tabs>
          <w:tab w:val="num" w:pos="1440"/>
        </w:tabs>
        <w:ind w:left="2664" w:hanging="504"/>
      </w:pPr>
      <w:rPr>
        <w:rFonts w:hint="default"/>
        <w:b/>
      </w:rPr>
    </w:lvl>
    <w:lvl w:ilvl="3">
      <w:start w:val="1"/>
      <w:numFmt w:val="decimal"/>
      <w:lvlText w:val="%1.%2.%3.%4."/>
      <w:lvlJc w:val="left"/>
      <w:pPr>
        <w:tabs>
          <w:tab w:val="num" w:pos="1440"/>
        </w:tabs>
        <w:ind w:left="3168" w:hanging="648"/>
      </w:pPr>
      <w:rPr>
        <w:rFonts w:hint="default"/>
        <w:b/>
      </w:rPr>
    </w:lvl>
    <w:lvl w:ilvl="4">
      <w:start w:val="1"/>
      <w:numFmt w:val="decimal"/>
      <w:lvlText w:val="%1.%2.%3.%4.%5."/>
      <w:lvlJc w:val="left"/>
      <w:pPr>
        <w:tabs>
          <w:tab w:val="num" w:pos="1440"/>
        </w:tabs>
        <w:ind w:left="3672" w:hanging="792"/>
      </w:pPr>
      <w:rPr>
        <w:rFonts w:hint="default"/>
      </w:rPr>
    </w:lvl>
    <w:lvl w:ilvl="5">
      <w:start w:val="1"/>
      <w:numFmt w:val="decimal"/>
      <w:lvlText w:val="%1.%2.%3.%4.%5.%6."/>
      <w:lvlJc w:val="left"/>
      <w:pPr>
        <w:tabs>
          <w:tab w:val="num" w:pos="1440"/>
        </w:tabs>
        <w:ind w:left="4176" w:hanging="936"/>
      </w:pPr>
      <w:rPr>
        <w:rFonts w:hint="default"/>
      </w:rPr>
    </w:lvl>
    <w:lvl w:ilvl="6">
      <w:start w:val="1"/>
      <w:numFmt w:val="decimal"/>
      <w:lvlText w:val="%1.%2.%3.%4.%5.%6.%7."/>
      <w:lvlJc w:val="left"/>
      <w:pPr>
        <w:tabs>
          <w:tab w:val="num" w:pos="1440"/>
        </w:tabs>
        <w:ind w:left="4680" w:hanging="1080"/>
      </w:pPr>
      <w:rPr>
        <w:rFonts w:hint="default"/>
      </w:rPr>
    </w:lvl>
    <w:lvl w:ilvl="7">
      <w:start w:val="1"/>
      <w:numFmt w:val="decimal"/>
      <w:lvlText w:val="%1.%2.%3.%4.%5.%6.%7.%8."/>
      <w:lvlJc w:val="left"/>
      <w:pPr>
        <w:tabs>
          <w:tab w:val="num" w:pos="1440"/>
        </w:tabs>
        <w:ind w:left="5184" w:hanging="1224"/>
      </w:pPr>
      <w:rPr>
        <w:rFonts w:hint="default"/>
      </w:rPr>
    </w:lvl>
    <w:lvl w:ilvl="8">
      <w:start w:val="1"/>
      <w:numFmt w:val="decimal"/>
      <w:lvlText w:val="%1.%2.%3.%4.%5.%6.%7.%8.%9."/>
      <w:lvlJc w:val="left"/>
      <w:pPr>
        <w:tabs>
          <w:tab w:val="num" w:pos="1440"/>
        </w:tabs>
        <w:ind w:left="5760" w:hanging="1440"/>
      </w:pPr>
      <w:rPr>
        <w:rFonts w:hint="default"/>
      </w:rPr>
    </w:lvl>
  </w:abstractNum>
  <w:abstractNum w:abstractNumId="12">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3">
    <w:nsid w:val="6F4F71BF"/>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656"/>
        </w:tabs>
        <w:ind w:left="1656" w:hanging="648"/>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7EFF55FE"/>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5">
    <w:nsid w:val="7F856CD2"/>
    <w:multiLevelType w:val="multilevel"/>
    <w:tmpl w:val="F22E7434"/>
    <w:lvl w:ilvl="0">
      <w:start w:val="4"/>
      <w:numFmt w:val="decimal"/>
      <w:lvlText w:val="%1."/>
      <w:lvlJc w:val="left"/>
      <w:pPr>
        <w:tabs>
          <w:tab w:val="num" w:pos="936"/>
        </w:tabs>
        <w:ind w:left="1296" w:hanging="360"/>
      </w:pPr>
      <w:rPr>
        <w:rFonts w:hint="default"/>
        <w:b/>
      </w:rPr>
    </w:lvl>
    <w:lvl w:ilvl="1">
      <w:start w:val="1"/>
      <w:numFmt w:val="decimal"/>
      <w:lvlText w:val="4.%2."/>
      <w:lvlJc w:val="left"/>
      <w:pPr>
        <w:tabs>
          <w:tab w:val="num" w:pos="936"/>
        </w:tabs>
        <w:ind w:left="2088" w:hanging="792"/>
      </w:pPr>
      <w:rPr>
        <w:rFonts w:ascii="Arial,Bold" w:hAnsi="Arial,Bold" w:hint="default"/>
        <w:b/>
        <w:i w:val="0"/>
        <w:color w:val="auto"/>
        <w:sz w:val="24"/>
      </w:rPr>
    </w:lvl>
    <w:lvl w:ilvl="2">
      <w:start w:val="1"/>
      <w:numFmt w:val="decimal"/>
      <w:lvlText w:val="%1.%2.%3."/>
      <w:lvlJc w:val="left"/>
      <w:pPr>
        <w:tabs>
          <w:tab w:val="num" w:pos="936"/>
        </w:tabs>
        <w:ind w:left="2160" w:hanging="504"/>
      </w:pPr>
      <w:rPr>
        <w:rFonts w:hint="default"/>
        <w:b/>
      </w:rPr>
    </w:lvl>
    <w:lvl w:ilvl="3">
      <w:start w:val="1"/>
      <w:numFmt w:val="decimal"/>
      <w:lvlText w:val="%1.%2.%3.%4."/>
      <w:lvlJc w:val="left"/>
      <w:pPr>
        <w:tabs>
          <w:tab w:val="num" w:pos="936"/>
        </w:tabs>
        <w:ind w:left="2664" w:hanging="648"/>
      </w:pPr>
      <w:rPr>
        <w:rFonts w:hint="default"/>
        <w:b/>
      </w:rPr>
    </w:lvl>
    <w:lvl w:ilvl="4">
      <w:start w:val="1"/>
      <w:numFmt w:val="decimal"/>
      <w:lvlText w:val="%1.%2.%3.%4.%5."/>
      <w:lvlJc w:val="left"/>
      <w:pPr>
        <w:tabs>
          <w:tab w:val="num" w:pos="936"/>
        </w:tabs>
        <w:ind w:left="3168" w:hanging="792"/>
      </w:pPr>
      <w:rPr>
        <w:rFonts w:hint="default"/>
      </w:rPr>
    </w:lvl>
    <w:lvl w:ilvl="5">
      <w:start w:val="1"/>
      <w:numFmt w:val="decimal"/>
      <w:lvlText w:val="%1.%2.%3.%4.%5.%6."/>
      <w:lvlJc w:val="left"/>
      <w:pPr>
        <w:tabs>
          <w:tab w:val="num" w:pos="936"/>
        </w:tabs>
        <w:ind w:left="3672" w:hanging="936"/>
      </w:pPr>
      <w:rPr>
        <w:rFonts w:hint="default"/>
      </w:rPr>
    </w:lvl>
    <w:lvl w:ilvl="6">
      <w:start w:val="1"/>
      <w:numFmt w:val="decimal"/>
      <w:lvlText w:val="%1.%2.%3.%4.%5.%6.%7."/>
      <w:lvlJc w:val="left"/>
      <w:pPr>
        <w:tabs>
          <w:tab w:val="num" w:pos="936"/>
        </w:tabs>
        <w:ind w:left="4176" w:hanging="1080"/>
      </w:pPr>
      <w:rPr>
        <w:rFonts w:hint="default"/>
      </w:rPr>
    </w:lvl>
    <w:lvl w:ilvl="7">
      <w:start w:val="1"/>
      <w:numFmt w:val="decimal"/>
      <w:lvlText w:val="%1.%2.%3.%4.%5.%6.%7.%8."/>
      <w:lvlJc w:val="left"/>
      <w:pPr>
        <w:tabs>
          <w:tab w:val="num" w:pos="936"/>
        </w:tabs>
        <w:ind w:left="4680" w:hanging="1224"/>
      </w:pPr>
      <w:rPr>
        <w:rFonts w:hint="default"/>
      </w:rPr>
    </w:lvl>
    <w:lvl w:ilvl="8">
      <w:start w:val="1"/>
      <w:numFmt w:val="decimal"/>
      <w:lvlText w:val="%1.%2.%3.%4.%5.%6.%7.%8.%9."/>
      <w:lvlJc w:val="left"/>
      <w:pPr>
        <w:tabs>
          <w:tab w:val="num" w:pos="936"/>
        </w:tabs>
        <w:ind w:left="5256" w:hanging="1440"/>
      </w:pPr>
      <w:rPr>
        <w:rFonts w:hint="default"/>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0"/>
  </w:num>
  <w:num w:numId="7">
    <w:abstractNumId w:val="2"/>
  </w:num>
  <w:num w:numId="8">
    <w:abstractNumId w:val="6"/>
  </w:num>
  <w:num w:numId="9">
    <w:abstractNumId w:val="15"/>
  </w:num>
  <w:num w:numId="10">
    <w:abstractNumId w:val="11"/>
  </w:num>
  <w:num w:numId="11">
    <w:abstractNumId w:val="14"/>
  </w:num>
  <w:num w:numId="12">
    <w:abstractNumId w:val="3"/>
  </w:num>
  <w:num w:numId="13">
    <w:abstractNumId w:val="1"/>
  </w:num>
  <w:num w:numId="14">
    <w:abstractNumId w:val="10"/>
  </w:num>
  <w:num w:numId="15">
    <w:abstractNumId w:val="9"/>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
  </w:num>
  <w:num w:numId="20">
    <w:abstractNumId w:val="1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4009D"/>
    <w:rsid w:val="0001473D"/>
    <w:rsid w:val="00014F9E"/>
    <w:rsid w:val="00025DF4"/>
    <w:rsid w:val="00041EB8"/>
    <w:rsid w:val="00057754"/>
    <w:rsid w:val="00082E43"/>
    <w:rsid w:val="000A02BC"/>
    <w:rsid w:val="000A100D"/>
    <w:rsid w:val="000B7282"/>
    <w:rsid w:val="000C1061"/>
    <w:rsid w:val="000E1C65"/>
    <w:rsid w:val="000F0EA2"/>
    <w:rsid w:val="000F6A7E"/>
    <w:rsid w:val="0013102A"/>
    <w:rsid w:val="00162ACC"/>
    <w:rsid w:val="0018350A"/>
    <w:rsid w:val="001A1126"/>
    <w:rsid w:val="001A61DB"/>
    <w:rsid w:val="001C5185"/>
    <w:rsid w:val="001D1F04"/>
    <w:rsid w:val="001E188E"/>
    <w:rsid w:val="001E1E5A"/>
    <w:rsid w:val="001E40D2"/>
    <w:rsid w:val="001E5878"/>
    <w:rsid w:val="0020164E"/>
    <w:rsid w:val="00224637"/>
    <w:rsid w:val="0023603B"/>
    <w:rsid w:val="0023786A"/>
    <w:rsid w:val="00253F19"/>
    <w:rsid w:val="00266625"/>
    <w:rsid w:val="002717CA"/>
    <w:rsid w:val="002750FF"/>
    <w:rsid w:val="002A65A4"/>
    <w:rsid w:val="002B6D4C"/>
    <w:rsid w:val="002C7985"/>
    <w:rsid w:val="002D144E"/>
    <w:rsid w:val="002F3B98"/>
    <w:rsid w:val="00307D68"/>
    <w:rsid w:val="003203EF"/>
    <w:rsid w:val="003355BE"/>
    <w:rsid w:val="00341BEF"/>
    <w:rsid w:val="00351D47"/>
    <w:rsid w:val="00357B9A"/>
    <w:rsid w:val="00372401"/>
    <w:rsid w:val="00381F9C"/>
    <w:rsid w:val="00386F36"/>
    <w:rsid w:val="003A5706"/>
    <w:rsid w:val="003B7530"/>
    <w:rsid w:val="003C3695"/>
    <w:rsid w:val="003D0688"/>
    <w:rsid w:val="003D291F"/>
    <w:rsid w:val="003D344F"/>
    <w:rsid w:val="003D7336"/>
    <w:rsid w:val="003E6956"/>
    <w:rsid w:val="00412B16"/>
    <w:rsid w:val="00435BE8"/>
    <w:rsid w:val="00436061"/>
    <w:rsid w:val="004368CB"/>
    <w:rsid w:val="004570C8"/>
    <w:rsid w:val="004627EC"/>
    <w:rsid w:val="00471038"/>
    <w:rsid w:val="00476E8E"/>
    <w:rsid w:val="00486746"/>
    <w:rsid w:val="00487975"/>
    <w:rsid w:val="00491144"/>
    <w:rsid w:val="004B60E0"/>
    <w:rsid w:val="004D4106"/>
    <w:rsid w:val="004E42BE"/>
    <w:rsid w:val="004F34AD"/>
    <w:rsid w:val="00511113"/>
    <w:rsid w:val="0051274D"/>
    <w:rsid w:val="0051758D"/>
    <w:rsid w:val="00520864"/>
    <w:rsid w:val="00523A1C"/>
    <w:rsid w:val="0054009D"/>
    <w:rsid w:val="0055118F"/>
    <w:rsid w:val="005523BA"/>
    <w:rsid w:val="00560627"/>
    <w:rsid w:val="00564796"/>
    <w:rsid w:val="005730A6"/>
    <w:rsid w:val="00574D40"/>
    <w:rsid w:val="005B09F6"/>
    <w:rsid w:val="005B22B4"/>
    <w:rsid w:val="005B7BC3"/>
    <w:rsid w:val="005F0A19"/>
    <w:rsid w:val="0060718C"/>
    <w:rsid w:val="00617E00"/>
    <w:rsid w:val="006242FB"/>
    <w:rsid w:val="00645249"/>
    <w:rsid w:val="006564CE"/>
    <w:rsid w:val="0066042C"/>
    <w:rsid w:val="0066353A"/>
    <w:rsid w:val="00672C07"/>
    <w:rsid w:val="00674658"/>
    <w:rsid w:val="00676499"/>
    <w:rsid w:val="006A063C"/>
    <w:rsid w:val="006C175D"/>
    <w:rsid w:val="006C3FD2"/>
    <w:rsid w:val="006C44BB"/>
    <w:rsid w:val="006D4521"/>
    <w:rsid w:val="006D5F13"/>
    <w:rsid w:val="006E0BF4"/>
    <w:rsid w:val="007159DB"/>
    <w:rsid w:val="007560BE"/>
    <w:rsid w:val="007844D2"/>
    <w:rsid w:val="007A6CDF"/>
    <w:rsid w:val="007B4680"/>
    <w:rsid w:val="007F7B4B"/>
    <w:rsid w:val="00826736"/>
    <w:rsid w:val="00833D1C"/>
    <w:rsid w:val="00840F36"/>
    <w:rsid w:val="008434AF"/>
    <w:rsid w:val="00843587"/>
    <w:rsid w:val="008540BC"/>
    <w:rsid w:val="008556D8"/>
    <w:rsid w:val="00884458"/>
    <w:rsid w:val="0089585B"/>
    <w:rsid w:val="008A2211"/>
    <w:rsid w:val="008C49CE"/>
    <w:rsid w:val="008D5EFB"/>
    <w:rsid w:val="008F6E84"/>
    <w:rsid w:val="00901427"/>
    <w:rsid w:val="009015B4"/>
    <w:rsid w:val="009027C8"/>
    <w:rsid w:val="009068D2"/>
    <w:rsid w:val="00906A53"/>
    <w:rsid w:val="009103D4"/>
    <w:rsid w:val="00933E6C"/>
    <w:rsid w:val="0095322C"/>
    <w:rsid w:val="009619AF"/>
    <w:rsid w:val="0097177D"/>
    <w:rsid w:val="00971EDD"/>
    <w:rsid w:val="009A4DBC"/>
    <w:rsid w:val="009B7331"/>
    <w:rsid w:val="009C2375"/>
    <w:rsid w:val="009C2646"/>
    <w:rsid w:val="009E24B5"/>
    <w:rsid w:val="009E6830"/>
    <w:rsid w:val="009E7FFA"/>
    <w:rsid w:val="00A02571"/>
    <w:rsid w:val="00A036E0"/>
    <w:rsid w:val="00A048AD"/>
    <w:rsid w:val="00A15913"/>
    <w:rsid w:val="00A233EF"/>
    <w:rsid w:val="00A32728"/>
    <w:rsid w:val="00A32E55"/>
    <w:rsid w:val="00A3727F"/>
    <w:rsid w:val="00A41318"/>
    <w:rsid w:val="00A428E1"/>
    <w:rsid w:val="00A66DE9"/>
    <w:rsid w:val="00A800DE"/>
    <w:rsid w:val="00A83317"/>
    <w:rsid w:val="00A9197A"/>
    <w:rsid w:val="00AC63F2"/>
    <w:rsid w:val="00AD7B8C"/>
    <w:rsid w:val="00AE09CA"/>
    <w:rsid w:val="00AE63BB"/>
    <w:rsid w:val="00AF0EFF"/>
    <w:rsid w:val="00AF3D62"/>
    <w:rsid w:val="00B339EB"/>
    <w:rsid w:val="00B365BB"/>
    <w:rsid w:val="00B52FE1"/>
    <w:rsid w:val="00B73DB0"/>
    <w:rsid w:val="00B8344A"/>
    <w:rsid w:val="00B90728"/>
    <w:rsid w:val="00BA0E96"/>
    <w:rsid w:val="00BA4C9B"/>
    <w:rsid w:val="00BC001D"/>
    <w:rsid w:val="00BC1312"/>
    <w:rsid w:val="00BC26FC"/>
    <w:rsid w:val="00BD7287"/>
    <w:rsid w:val="00BE75A6"/>
    <w:rsid w:val="00BE7D3B"/>
    <w:rsid w:val="00BF1C59"/>
    <w:rsid w:val="00C2356B"/>
    <w:rsid w:val="00C45178"/>
    <w:rsid w:val="00C70E93"/>
    <w:rsid w:val="00C81534"/>
    <w:rsid w:val="00CC6C44"/>
    <w:rsid w:val="00CF4BEA"/>
    <w:rsid w:val="00D002FE"/>
    <w:rsid w:val="00D05FCA"/>
    <w:rsid w:val="00D126E7"/>
    <w:rsid w:val="00D13D7E"/>
    <w:rsid w:val="00D37F12"/>
    <w:rsid w:val="00D515E0"/>
    <w:rsid w:val="00D76CB0"/>
    <w:rsid w:val="00D81A01"/>
    <w:rsid w:val="00D902C5"/>
    <w:rsid w:val="00DA4451"/>
    <w:rsid w:val="00DB26FD"/>
    <w:rsid w:val="00DB3463"/>
    <w:rsid w:val="00DF5FBC"/>
    <w:rsid w:val="00E054F2"/>
    <w:rsid w:val="00E10BAF"/>
    <w:rsid w:val="00E1757C"/>
    <w:rsid w:val="00E44457"/>
    <w:rsid w:val="00E60AD7"/>
    <w:rsid w:val="00E62F69"/>
    <w:rsid w:val="00E735F5"/>
    <w:rsid w:val="00E867D0"/>
    <w:rsid w:val="00E917FF"/>
    <w:rsid w:val="00EA7136"/>
    <w:rsid w:val="00EB41F9"/>
    <w:rsid w:val="00EF01A8"/>
    <w:rsid w:val="00EF4F72"/>
    <w:rsid w:val="00F01474"/>
    <w:rsid w:val="00F12542"/>
    <w:rsid w:val="00F5419D"/>
    <w:rsid w:val="00F54AAC"/>
    <w:rsid w:val="00F919C4"/>
    <w:rsid w:val="00FA3AE9"/>
    <w:rsid w:val="00FC17BC"/>
    <w:rsid w:val="00FC2240"/>
    <w:rsid w:val="00FD7781"/>
    <w:rsid w:val="00FD7D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colormru v:ext="edit" colors="#d3dce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52FE1"/>
    <w:pPr>
      <w:keepNext/>
      <w:spacing w:before="240" w:after="60"/>
      <w:outlineLvl w:val="2"/>
    </w:pPr>
    <w:rPr>
      <w:rFonts w:ascii="Cambria" w:hAnsi="Cambria"/>
      <w:b/>
      <w:bCs/>
      <w:sz w:val="26"/>
      <w:szCs w:val="26"/>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A65A4"/>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5523BA"/>
    <w:pPr>
      <w:numPr>
        <w:numId w:val="2"/>
      </w:numPr>
      <w:tabs>
        <w:tab w:val="left" w:pos="1080"/>
      </w:tabs>
    </w:pPr>
    <w:rPr>
      <w:rFonts w:ascii="Arial" w:hAnsi="Arial"/>
      <w:b/>
    </w:rPr>
  </w:style>
  <w:style w:type="paragraph" w:customStyle="1" w:styleId="Requirement">
    <w:name w:val="Requirement"/>
    <w:basedOn w:val="List2"/>
    <w:rsid w:val="00971EDD"/>
    <w:pPr>
      <w:numPr>
        <w:numId w:val="5"/>
      </w:numPr>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table" w:styleId="TableGrid">
    <w:name w:val="Table Grid"/>
    <w:basedOn w:val="TableNormal"/>
    <w:rsid w:val="00F12542"/>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52FE1"/>
    <w:rPr>
      <w:rFonts w:ascii="Cambria" w:eastAsia="Times New Roman" w:hAnsi="Cambria" w:cs="Times New Roman"/>
      <w:b/>
      <w:bCs/>
      <w:sz w:val="26"/>
      <w:szCs w:val="26"/>
    </w:rPr>
  </w:style>
  <w:style w:type="paragraph" w:styleId="TOC1">
    <w:name w:val="toc 1"/>
    <w:basedOn w:val="Normal"/>
    <w:next w:val="Normal"/>
    <w:autoRedefine/>
    <w:rsid w:val="00B52FE1"/>
    <w:pPr>
      <w:tabs>
        <w:tab w:val="right" w:leader="dot" w:pos="9350"/>
      </w:tabs>
    </w:pPr>
  </w:style>
  <w:style w:type="character" w:customStyle="1" w:styleId="HeaderChar">
    <w:name w:val="Header Char"/>
    <w:basedOn w:val="DefaultParagraphFont"/>
    <w:link w:val="Header"/>
    <w:uiPriority w:val="99"/>
    <w:rsid w:val="007F7B4B"/>
    <w:rPr>
      <w:rFonts w:ascii="Arial Bold" w:hAnsi="Arial Bold"/>
      <w:b/>
      <w:sz w:val="22"/>
      <w:szCs w:val="24"/>
    </w:rPr>
  </w:style>
  <w:style w:type="paragraph" w:styleId="ListBullet2">
    <w:name w:val="List Bullet 2"/>
    <w:basedOn w:val="Normal"/>
    <w:rsid w:val="00307D68"/>
    <w:pPr>
      <w:numPr>
        <w:ilvl w:val="1"/>
        <w:numId w:val="20"/>
      </w:numPr>
    </w:pPr>
    <w:rPr>
      <w:sz w:val="22"/>
    </w:rPr>
  </w:style>
  <w:style w:type="paragraph" w:styleId="FootnoteText">
    <w:name w:val="footnote text"/>
    <w:basedOn w:val="Normal"/>
    <w:link w:val="FootnoteTextChar"/>
    <w:rsid w:val="00BE75A6"/>
    <w:rPr>
      <w:sz w:val="20"/>
      <w:szCs w:val="20"/>
    </w:rPr>
  </w:style>
  <w:style w:type="character" w:customStyle="1" w:styleId="FootnoteTextChar">
    <w:name w:val="Footnote Text Char"/>
    <w:basedOn w:val="DefaultParagraphFont"/>
    <w:link w:val="FootnoteText"/>
    <w:rsid w:val="00BE75A6"/>
  </w:style>
  <w:style w:type="character" w:styleId="FootnoteReference">
    <w:name w:val="footnote reference"/>
    <w:basedOn w:val="DefaultParagraphFont"/>
    <w:rsid w:val="00BE75A6"/>
    <w:rPr>
      <w:vertAlign w:val="superscript"/>
    </w:rPr>
  </w:style>
  <w:style w:type="character" w:customStyle="1" w:styleId="BoxText">
    <w:name w:val="Box Text"/>
    <w:basedOn w:val="DefaultParagraphFont"/>
    <w:rsid w:val="00162ACC"/>
    <w:rPr>
      <w:rFonts w:ascii="Arial" w:hAnsi="Arial"/>
      <w:b/>
      <w:sz w:val="20"/>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1218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8037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long</dc:creator>
  <cp:keywords/>
  <dc:description/>
  <cp:lastModifiedBy>Stephen Crutchfield</cp:lastModifiedBy>
  <cp:revision>7</cp:revision>
  <cp:lastPrinted>2006-12-15T17:38:00Z</cp:lastPrinted>
  <dcterms:created xsi:type="dcterms:W3CDTF">2013-04-09T14:46:00Z</dcterms:created>
  <dcterms:modified xsi:type="dcterms:W3CDTF">2013-04-18T15:52:00Z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