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821E7A" w:rsidRDefault="00B52FE1" w:rsidP="00B52FE1">
      <w:pPr>
        <w:pStyle w:val="Heading1"/>
        <w:rPr>
          <w:bCs w:val="0"/>
          <w:color w:val="264D74"/>
          <w:sz w:val="24"/>
        </w:rPr>
      </w:pPr>
      <w:bookmarkStart w:id="0" w:name="_Toc253051398"/>
      <w:r w:rsidRPr="00821E7A">
        <w:rPr>
          <w:bCs w:val="0"/>
          <w:color w:val="264D74"/>
          <w:sz w:val="24"/>
        </w:rPr>
        <w:t xml:space="preserve">Standard Development </w:t>
      </w:r>
      <w:bookmarkEnd w:id="0"/>
      <w:r w:rsidRPr="00821E7A">
        <w:rPr>
          <w:bCs w:val="0"/>
          <w:color w:val="264D74"/>
          <w:sz w:val="24"/>
        </w:rPr>
        <w:t>Timeline</w:t>
      </w:r>
    </w:p>
    <w:p w:rsidR="00B52FE1" w:rsidRPr="00821E7A" w:rsidRDefault="009C641C" w:rsidP="00B52FE1">
      <w:pPr>
        <w:pStyle w:val="Heading1"/>
        <w:tabs>
          <w:tab w:val="left" w:pos="837"/>
        </w:tabs>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noProof/>
        </w:rPr>
        <w:pict>
          <v:rect id="_x0000_s1027"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821E7A">
        <w:tab/>
      </w:r>
    </w:p>
    <w:p w:rsidR="00B52FE1" w:rsidRPr="00821E7A" w:rsidRDefault="00B52FE1" w:rsidP="00B52FE1">
      <w:pPr>
        <w:rPr>
          <w:i/>
        </w:rPr>
      </w:pPr>
      <w:r w:rsidRPr="00821E7A">
        <w:rPr>
          <w:i/>
        </w:rPr>
        <w:t xml:space="preserve">This section is maintained by the drafting team during the development of the standard and will be removed when the standard becomes effective.  </w:t>
      </w:r>
    </w:p>
    <w:p w:rsidR="00B52FE1" w:rsidRPr="00821E7A" w:rsidRDefault="00B52FE1" w:rsidP="00B52FE1">
      <w:pPr>
        <w:rPr>
          <w:rFonts w:ascii="Arial" w:hAnsi="Arial" w:cs="Arial"/>
          <w:b/>
        </w:rPr>
      </w:pPr>
    </w:p>
    <w:p w:rsidR="00B52FE1" w:rsidRPr="00821E7A" w:rsidRDefault="00B52FE1" w:rsidP="00B52FE1">
      <w:pPr>
        <w:pStyle w:val="Heading3"/>
        <w:rPr>
          <w:rFonts w:ascii="Arial" w:hAnsi="Arial" w:cs="Arial"/>
          <w:sz w:val="24"/>
          <w:szCs w:val="24"/>
        </w:rPr>
      </w:pPr>
      <w:bookmarkStart w:id="20" w:name="_Toc253051400"/>
      <w:r w:rsidRPr="00821E7A">
        <w:rPr>
          <w:rFonts w:ascii="Arial" w:hAnsi="Arial" w:cs="Arial"/>
          <w:sz w:val="24"/>
          <w:szCs w:val="24"/>
        </w:rPr>
        <w:t>Development Steps Completed</w:t>
      </w:r>
      <w:bookmarkEnd w:id="20"/>
    </w:p>
    <w:p w:rsidR="00B52FE1" w:rsidRPr="00821E7A" w:rsidRDefault="00B52FE1" w:rsidP="00B52FE1">
      <w:pPr>
        <w:numPr>
          <w:ilvl w:val="0"/>
          <w:numId w:val="7"/>
        </w:numPr>
      </w:pPr>
      <w:r w:rsidRPr="00821E7A">
        <w:t>SAR posted for comment</w:t>
      </w:r>
      <w:r w:rsidR="00901427" w:rsidRPr="00821E7A">
        <w:t xml:space="preserve"> (July 2, 2008</w:t>
      </w:r>
      <w:r w:rsidR="00B14BB7" w:rsidRPr="00821E7A">
        <w:t xml:space="preserve"> </w:t>
      </w:r>
      <w:r w:rsidR="00901427" w:rsidRPr="00821E7A">
        <w:t xml:space="preserve">through </w:t>
      </w:r>
      <w:r w:rsidR="00705939" w:rsidRPr="00821E7A">
        <w:t>J</w:t>
      </w:r>
      <w:r w:rsidR="00901427" w:rsidRPr="00821E7A">
        <w:t>uly 31, 2008).</w:t>
      </w:r>
    </w:p>
    <w:p w:rsidR="00901427" w:rsidRPr="00821E7A" w:rsidRDefault="00901427" w:rsidP="00B52FE1">
      <w:pPr>
        <w:numPr>
          <w:ilvl w:val="0"/>
          <w:numId w:val="7"/>
        </w:numPr>
      </w:pPr>
      <w:r w:rsidRPr="00821E7A">
        <w:rPr>
          <w:szCs w:val="22"/>
        </w:rPr>
        <w:t>Revised SAR and response to comments posted (December 1, 2008).</w:t>
      </w:r>
    </w:p>
    <w:p w:rsidR="00B52FE1" w:rsidRPr="00821E7A" w:rsidRDefault="00B52FE1" w:rsidP="00B52FE1">
      <w:pPr>
        <w:numPr>
          <w:ilvl w:val="0"/>
          <w:numId w:val="7"/>
        </w:numPr>
      </w:pPr>
      <w:r w:rsidRPr="00821E7A">
        <w:t>SC authorized moving the SAR forward to standard development (</w:t>
      </w:r>
      <w:r w:rsidR="00901427" w:rsidRPr="00821E7A">
        <w:rPr>
          <w:szCs w:val="22"/>
        </w:rPr>
        <w:t>December 16–17, 2008).</w:t>
      </w:r>
    </w:p>
    <w:p w:rsidR="00901427" w:rsidRPr="00821E7A" w:rsidRDefault="00901427" w:rsidP="00901427">
      <w:pPr>
        <w:numPr>
          <w:ilvl w:val="0"/>
          <w:numId w:val="7"/>
        </w:numPr>
        <w:rPr>
          <w:szCs w:val="22"/>
        </w:rPr>
      </w:pPr>
      <w:r w:rsidRPr="00821E7A">
        <w:rPr>
          <w:szCs w:val="22"/>
        </w:rPr>
        <w:t xml:space="preserve">SDT appointed on (February 12, 2009). </w:t>
      </w:r>
    </w:p>
    <w:p w:rsidR="00901427" w:rsidRPr="00821E7A" w:rsidRDefault="00901427" w:rsidP="00901427">
      <w:pPr>
        <w:numPr>
          <w:ilvl w:val="0"/>
          <w:numId w:val="7"/>
        </w:numPr>
        <w:rPr>
          <w:szCs w:val="22"/>
        </w:rPr>
      </w:pPr>
      <w:r w:rsidRPr="00821E7A">
        <w:rPr>
          <w:szCs w:val="22"/>
        </w:rPr>
        <w:t>First draft of proposed standard posted (November 10, 2009).</w:t>
      </w:r>
    </w:p>
    <w:p w:rsidR="00901427" w:rsidRPr="00821E7A" w:rsidRDefault="00901427" w:rsidP="00901427">
      <w:pPr>
        <w:numPr>
          <w:ilvl w:val="0"/>
          <w:numId w:val="7"/>
        </w:numPr>
        <w:rPr>
          <w:szCs w:val="22"/>
        </w:rPr>
      </w:pPr>
      <w:r w:rsidRPr="00821E7A">
        <w:rPr>
          <w:szCs w:val="22"/>
        </w:rPr>
        <w:t xml:space="preserve">Second draft of proposed standard posted (May 31, 2010).   </w:t>
      </w:r>
    </w:p>
    <w:p w:rsidR="00B52FE1" w:rsidRPr="00821E7A" w:rsidRDefault="00B52FE1" w:rsidP="00B52FE1">
      <w:r w:rsidRPr="00821E7A">
        <w:t xml:space="preserve"> </w:t>
      </w:r>
    </w:p>
    <w:p w:rsidR="00B52FE1" w:rsidRPr="00821E7A" w:rsidRDefault="00B52FE1" w:rsidP="00B52FE1">
      <w:pPr>
        <w:pStyle w:val="Heading3"/>
        <w:rPr>
          <w:rFonts w:ascii="Arial" w:hAnsi="Arial" w:cs="Arial"/>
          <w:sz w:val="24"/>
          <w:szCs w:val="24"/>
        </w:rPr>
      </w:pPr>
      <w:bookmarkStart w:id="21" w:name="_Toc253051401"/>
      <w:r w:rsidRPr="00821E7A">
        <w:rPr>
          <w:rFonts w:ascii="Arial" w:hAnsi="Arial" w:cs="Arial"/>
          <w:sz w:val="24"/>
          <w:szCs w:val="24"/>
        </w:rPr>
        <w:t>Description of Current Draft</w:t>
      </w:r>
      <w:bookmarkEnd w:id="21"/>
    </w:p>
    <w:p w:rsidR="00901427" w:rsidRPr="00821E7A" w:rsidRDefault="00901427" w:rsidP="00901427">
      <w:r w:rsidRPr="00821E7A">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821E7A"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821E7A" w:rsidTr="00B52FE1">
        <w:tc>
          <w:tcPr>
            <w:tcW w:w="6948" w:type="dxa"/>
            <w:shd w:val="clear" w:color="auto" w:fill="264D74"/>
          </w:tcPr>
          <w:p w:rsidR="00B52FE1" w:rsidRPr="00821E7A" w:rsidRDefault="00B52FE1" w:rsidP="00B52FE1">
            <w:pPr>
              <w:spacing w:before="120"/>
              <w:jc w:val="center"/>
              <w:rPr>
                <w:rFonts w:ascii="Arial" w:hAnsi="Arial" w:cs="Arial"/>
                <w:b/>
                <w:color w:val="FFFFFF"/>
              </w:rPr>
            </w:pPr>
            <w:r w:rsidRPr="00821E7A">
              <w:rPr>
                <w:rFonts w:ascii="Arial" w:hAnsi="Arial" w:cs="Arial"/>
                <w:b/>
                <w:color w:val="FFFFFF"/>
              </w:rPr>
              <w:t>Anticipated Actions</w:t>
            </w:r>
          </w:p>
        </w:tc>
        <w:tc>
          <w:tcPr>
            <w:tcW w:w="2232" w:type="dxa"/>
            <w:shd w:val="clear" w:color="auto" w:fill="264D74"/>
          </w:tcPr>
          <w:p w:rsidR="00B52FE1" w:rsidRPr="00821E7A" w:rsidRDefault="00B52FE1" w:rsidP="00B52FE1">
            <w:pPr>
              <w:spacing w:before="120"/>
              <w:jc w:val="center"/>
              <w:rPr>
                <w:rFonts w:ascii="Arial" w:hAnsi="Arial" w:cs="Arial"/>
                <w:b/>
                <w:color w:val="FFFFFF"/>
              </w:rPr>
            </w:pPr>
            <w:r w:rsidRPr="00821E7A">
              <w:rPr>
                <w:rFonts w:ascii="Arial" w:hAnsi="Arial" w:cs="Arial"/>
                <w:b/>
                <w:color w:val="FFFFFF"/>
              </w:rPr>
              <w:t>Anticipated Date</w:t>
            </w:r>
          </w:p>
        </w:tc>
      </w:tr>
      <w:tr w:rsidR="00901427" w:rsidRPr="00821E7A" w:rsidTr="00B52FE1">
        <w:tc>
          <w:tcPr>
            <w:tcW w:w="6948" w:type="dxa"/>
          </w:tcPr>
          <w:p w:rsidR="00901427" w:rsidRPr="00821E7A" w:rsidRDefault="00901427" w:rsidP="00B52FE1">
            <w:pPr>
              <w:spacing w:before="60"/>
            </w:pPr>
            <w:r w:rsidRPr="00821E7A">
              <w:t>30-day Formal Comment Period</w:t>
            </w:r>
          </w:p>
        </w:tc>
        <w:tc>
          <w:tcPr>
            <w:tcW w:w="2232" w:type="dxa"/>
          </w:tcPr>
          <w:p w:rsidR="00901427" w:rsidRPr="00821E7A" w:rsidRDefault="00901427" w:rsidP="00901427">
            <w:pPr>
              <w:spacing w:before="60"/>
            </w:pPr>
            <w:r w:rsidRPr="00821E7A">
              <w:t>September 2010</w:t>
            </w:r>
          </w:p>
        </w:tc>
      </w:tr>
      <w:tr w:rsidR="00901427" w:rsidRPr="00821E7A" w:rsidTr="00B52FE1">
        <w:tc>
          <w:tcPr>
            <w:tcW w:w="6948" w:type="dxa"/>
          </w:tcPr>
          <w:p w:rsidR="00901427" w:rsidRPr="00821E7A" w:rsidRDefault="00901427" w:rsidP="00B52FE1">
            <w:pPr>
              <w:spacing w:before="60"/>
            </w:pPr>
            <w:r w:rsidRPr="00821E7A">
              <w:t>45-day Formal Comment Period with Parallel Initial Ballot</w:t>
            </w:r>
          </w:p>
        </w:tc>
        <w:tc>
          <w:tcPr>
            <w:tcW w:w="2232" w:type="dxa"/>
          </w:tcPr>
          <w:p w:rsidR="00901427" w:rsidRPr="00821E7A" w:rsidRDefault="00901427" w:rsidP="00901427">
            <w:pPr>
              <w:spacing w:before="60"/>
            </w:pPr>
            <w:r w:rsidRPr="00821E7A">
              <w:t>October 2010</w:t>
            </w:r>
          </w:p>
        </w:tc>
      </w:tr>
      <w:tr w:rsidR="00901427" w:rsidRPr="00821E7A" w:rsidTr="00B52FE1">
        <w:tc>
          <w:tcPr>
            <w:tcW w:w="6948" w:type="dxa"/>
          </w:tcPr>
          <w:p w:rsidR="00901427" w:rsidRPr="00821E7A" w:rsidRDefault="00901427" w:rsidP="00B52FE1">
            <w:pPr>
              <w:spacing w:before="60"/>
            </w:pPr>
            <w:r w:rsidRPr="00821E7A">
              <w:t>30-day Formal Comment Period with Parallel Successive Ballot</w:t>
            </w:r>
          </w:p>
        </w:tc>
        <w:tc>
          <w:tcPr>
            <w:tcW w:w="2232" w:type="dxa"/>
          </w:tcPr>
          <w:p w:rsidR="00901427" w:rsidRPr="00821E7A" w:rsidDel="00D463E3" w:rsidRDefault="00901427" w:rsidP="00901427">
            <w:pPr>
              <w:spacing w:before="60"/>
            </w:pPr>
            <w:r w:rsidRPr="00821E7A">
              <w:t>December 2010</w:t>
            </w:r>
          </w:p>
        </w:tc>
      </w:tr>
      <w:tr w:rsidR="00901427" w:rsidRPr="00821E7A" w:rsidTr="00B52FE1">
        <w:tc>
          <w:tcPr>
            <w:tcW w:w="6948" w:type="dxa"/>
          </w:tcPr>
          <w:p w:rsidR="00901427" w:rsidRPr="00821E7A" w:rsidRDefault="00901427" w:rsidP="00B52FE1">
            <w:pPr>
              <w:spacing w:before="60"/>
            </w:pPr>
            <w:r w:rsidRPr="00821E7A">
              <w:t>Recirculation ballot</w:t>
            </w:r>
          </w:p>
        </w:tc>
        <w:tc>
          <w:tcPr>
            <w:tcW w:w="2232" w:type="dxa"/>
          </w:tcPr>
          <w:p w:rsidR="00901427" w:rsidRPr="00821E7A" w:rsidRDefault="00901427" w:rsidP="00901427">
            <w:pPr>
              <w:spacing w:before="60"/>
            </w:pPr>
            <w:r w:rsidRPr="00821E7A">
              <w:t>December 2010</w:t>
            </w:r>
          </w:p>
        </w:tc>
      </w:tr>
      <w:tr w:rsidR="00901427" w:rsidRPr="00821E7A" w:rsidTr="00B52FE1">
        <w:tc>
          <w:tcPr>
            <w:tcW w:w="6948" w:type="dxa"/>
          </w:tcPr>
          <w:p w:rsidR="00901427" w:rsidRPr="00821E7A" w:rsidRDefault="00901427" w:rsidP="00B52FE1">
            <w:pPr>
              <w:spacing w:before="60"/>
            </w:pPr>
            <w:r w:rsidRPr="00821E7A">
              <w:t>BOT adoption</w:t>
            </w:r>
          </w:p>
        </w:tc>
        <w:tc>
          <w:tcPr>
            <w:tcW w:w="2232" w:type="dxa"/>
          </w:tcPr>
          <w:p w:rsidR="00901427" w:rsidRPr="00821E7A" w:rsidRDefault="00901427" w:rsidP="00901427">
            <w:pPr>
              <w:spacing w:before="60"/>
            </w:pPr>
            <w:r w:rsidRPr="00821E7A">
              <w:t>December 2010</w:t>
            </w:r>
          </w:p>
        </w:tc>
      </w:tr>
      <w:tr w:rsidR="00901427" w:rsidRPr="00821E7A" w:rsidTr="00B52FE1">
        <w:tc>
          <w:tcPr>
            <w:tcW w:w="6948" w:type="dxa"/>
          </w:tcPr>
          <w:p w:rsidR="00901427" w:rsidRPr="00821E7A" w:rsidRDefault="00901427" w:rsidP="00B52FE1">
            <w:pPr>
              <w:spacing w:before="60"/>
            </w:pPr>
            <w:r w:rsidRPr="00821E7A">
              <w:t>File standard with regulatory authorities.</w:t>
            </w:r>
          </w:p>
        </w:tc>
        <w:tc>
          <w:tcPr>
            <w:tcW w:w="2232" w:type="dxa"/>
          </w:tcPr>
          <w:p w:rsidR="00901427" w:rsidRPr="00821E7A" w:rsidRDefault="00901427" w:rsidP="00901427">
            <w:pPr>
              <w:spacing w:before="60"/>
            </w:pPr>
            <w:r w:rsidRPr="00821E7A">
              <w:t>February 2011</w:t>
            </w:r>
          </w:p>
        </w:tc>
      </w:tr>
    </w:tbl>
    <w:p w:rsidR="00B52FE1" w:rsidRPr="00821E7A" w:rsidRDefault="00B52FE1" w:rsidP="00B52FE1">
      <w:r w:rsidRPr="00821E7A">
        <w:t xml:space="preserve"> </w:t>
      </w:r>
    </w:p>
    <w:p w:rsidR="00B52FE1" w:rsidRPr="00821E7A" w:rsidRDefault="00B52FE1" w:rsidP="00B52FE1">
      <w:pPr>
        <w:pStyle w:val="Heading1"/>
        <w:rPr>
          <w:bCs w:val="0"/>
          <w:color w:val="264D74"/>
          <w:sz w:val="24"/>
        </w:rPr>
      </w:pPr>
      <w:r w:rsidRPr="00821E7A">
        <w:rPr>
          <w:b w:val="0"/>
        </w:rPr>
        <w:br w:type="page"/>
      </w:r>
      <w:r w:rsidRPr="00821E7A">
        <w:rPr>
          <w:bCs w:val="0"/>
          <w:color w:val="264D74"/>
          <w:sz w:val="24"/>
        </w:rPr>
        <w:lastRenderedPageBreak/>
        <w:t>Effective Dates</w:t>
      </w:r>
    </w:p>
    <w:p w:rsidR="00B52FE1" w:rsidRPr="00821E7A" w:rsidRDefault="00901427" w:rsidP="00B52FE1">
      <w:r w:rsidRPr="00821E7A">
        <w:rPr>
          <w:szCs w:val="22"/>
        </w:rPr>
        <w:t xml:space="preserve">First day of the second calendar quarter following the date this standard is approved by applicable regulatory </w:t>
      </w:r>
      <w:proofErr w:type="gramStart"/>
      <w:r w:rsidRPr="00821E7A">
        <w:rPr>
          <w:szCs w:val="22"/>
        </w:rPr>
        <w:t>authorities,</w:t>
      </w:r>
      <w:proofErr w:type="gramEnd"/>
      <w:r w:rsidRPr="00821E7A">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821E7A" w:rsidRDefault="00B52FE1" w:rsidP="00B52FE1">
      <w:pPr>
        <w:pStyle w:val="Heading1"/>
        <w:rPr>
          <w:bCs w:val="0"/>
          <w:color w:val="264D74"/>
          <w:sz w:val="24"/>
        </w:rPr>
      </w:pPr>
      <w:r w:rsidRPr="00821E7A">
        <w:rPr>
          <w:bCs w:val="0"/>
          <w:color w:val="264D74"/>
          <w:sz w:val="24"/>
        </w:rPr>
        <w:t>Version History</w:t>
      </w:r>
    </w:p>
    <w:p w:rsidR="00B52FE1" w:rsidRPr="00821E7A"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821E7A" w:rsidTr="00386F36">
        <w:tc>
          <w:tcPr>
            <w:tcW w:w="1609" w:type="dxa"/>
            <w:shd w:val="clear" w:color="auto" w:fill="5D85A9"/>
          </w:tcPr>
          <w:p w:rsidR="00B52FE1" w:rsidRPr="00821E7A" w:rsidRDefault="00B52FE1" w:rsidP="00B52FE1">
            <w:pPr>
              <w:spacing w:before="120"/>
              <w:jc w:val="center"/>
              <w:rPr>
                <w:rFonts w:ascii="Arial" w:hAnsi="Arial" w:cs="Arial"/>
                <w:b/>
                <w:color w:val="FFFFFF"/>
                <w:szCs w:val="22"/>
              </w:rPr>
            </w:pPr>
            <w:r w:rsidRPr="00821E7A">
              <w:rPr>
                <w:rFonts w:ascii="Arial" w:hAnsi="Arial" w:cs="Arial"/>
                <w:b/>
                <w:color w:val="FFFFFF"/>
                <w:szCs w:val="22"/>
              </w:rPr>
              <w:t>Version</w:t>
            </w:r>
          </w:p>
        </w:tc>
        <w:tc>
          <w:tcPr>
            <w:tcW w:w="1717" w:type="dxa"/>
            <w:shd w:val="clear" w:color="auto" w:fill="5D85A9"/>
          </w:tcPr>
          <w:p w:rsidR="00B52FE1" w:rsidRPr="00821E7A" w:rsidRDefault="00B52FE1" w:rsidP="00B52FE1">
            <w:pPr>
              <w:spacing w:before="120"/>
              <w:jc w:val="center"/>
              <w:rPr>
                <w:rFonts w:ascii="Arial" w:hAnsi="Arial" w:cs="Arial"/>
                <w:b/>
                <w:color w:val="FFFFFF"/>
                <w:szCs w:val="22"/>
              </w:rPr>
            </w:pPr>
            <w:r w:rsidRPr="00821E7A">
              <w:rPr>
                <w:rFonts w:ascii="Arial" w:hAnsi="Arial" w:cs="Arial"/>
                <w:b/>
                <w:color w:val="FFFFFF"/>
                <w:szCs w:val="22"/>
              </w:rPr>
              <w:t>Date</w:t>
            </w:r>
          </w:p>
        </w:tc>
        <w:tc>
          <w:tcPr>
            <w:tcW w:w="4144" w:type="dxa"/>
            <w:shd w:val="clear" w:color="auto" w:fill="5D85A9"/>
          </w:tcPr>
          <w:p w:rsidR="00B52FE1" w:rsidRPr="00821E7A" w:rsidRDefault="00B52FE1" w:rsidP="00B52FE1">
            <w:pPr>
              <w:spacing w:before="120"/>
              <w:jc w:val="center"/>
              <w:rPr>
                <w:rFonts w:ascii="Arial" w:hAnsi="Arial" w:cs="Arial"/>
                <w:b/>
                <w:color w:val="FFFFFF"/>
                <w:szCs w:val="22"/>
              </w:rPr>
            </w:pPr>
            <w:r w:rsidRPr="00821E7A">
              <w:rPr>
                <w:rFonts w:ascii="Arial" w:hAnsi="Arial" w:cs="Arial"/>
                <w:b/>
                <w:color w:val="FFFFFF"/>
                <w:szCs w:val="22"/>
              </w:rPr>
              <w:t>Action</w:t>
            </w:r>
          </w:p>
        </w:tc>
        <w:tc>
          <w:tcPr>
            <w:tcW w:w="1980" w:type="dxa"/>
            <w:shd w:val="clear" w:color="auto" w:fill="5D85A9"/>
          </w:tcPr>
          <w:p w:rsidR="00B52FE1" w:rsidRPr="00821E7A" w:rsidRDefault="00B52FE1" w:rsidP="00B52FE1">
            <w:pPr>
              <w:spacing w:before="120"/>
              <w:jc w:val="center"/>
              <w:rPr>
                <w:rFonts w:ascii="Arial" w:hAnsi="Arial" w:cs="Arial"/>
                <w:b/>
                <w:color w:val="FFFFFF"/>
                <w:szCs w:val="22"/>
              </w:rPr>
            </w:pPr>
            <w:r w:rsidRPr="00821E7A">
              <w:rPr>
                <w:rFonts w:ascii="Arial" w:hAnsi="Arial" w:cs="Arial"/>
                <w:b/>
                <w:color w:val="FFFFFF"/>
                <w:szCs w:val="22"/>
              </w:rPr>
              <w:t>Change Tracking</w:t>
            </w:r>
          </w:p>
        </w:tc>
      </w:tr>
      <w:tr w:rsidR="00901427" w:rsidRPr="00821E7A" w:rsidTr="00386F36">
        <w:tc>
          <w:tcPr>
            <w:tcW w:w="1609" w:type="dxa"/>
          </w:tcPr>
          <w:p w:rsidR="00901427" w:rsidRPr="00821E7A" w:rsidRDefault="00901427" w:rsidP="00901427">
            <w:pPr>
              <w:pStyle w:val="Table"/>
              <w:jc w:val="center"/>
              <w:rPr>
                <w:szCs w:val="24"/>
              </w:rPr>
            </w:pPr>
          </w:p>
        </w:tc>
        <w:tc>
          <w:tcPr>
            <w:tcW w:w="1717" w:type="dxa"/>
          </w:tcPr>
          <w:p w:rsidR="00901427" w:rsidRPr="00821E7A" w:rsidRDefault="00901427" w:rsidP="00901427">
            <w:pPr>
              <w:pStyle w:val="Table"/>
              <w:rPr>
                <w:szCs w:val="24"/>
              </w:rPr>
            </w:pPr>
          </w:p>
        </w:tc>
        <w:tc>
          <w:tcPr>
            <w:tcW w:w="4144" w:type="dxa"/>
          </w:tcPr>
          <w:p w:rsidR="00901427" w:rsidRPr="00821E7A" w:rsidRDefault="00901427" w:rsidP="00901427">
            <w:pPr>
              <w:pStyle w:val="Table"/>
              <w:rPr>
                <w:szCs w:val="24"/>
              </w:rPr>
            </w:pPr>
          </w:p>
        </w:tc>
        <w:tc>
          <w:tcPr>
            <w:tcW w:w="1980" w:type="dxa"/>
          </w:tcPr>
          <w:p w:rsidR="00901427" w:rsidRPr="00821E7A" w:rsidRDefault="00901427" w:rsidP="00901427">
            <w:pPr>
              <w:pStyle w:val="Table"/>
              <w:rPr>
                <w:szCs w:val="24"/>
              </w:rPr>
            </w:pPr>
          </w:p>
        </w:tc>
      </w:tr>
      <w:tr w:rsidR="00901427" w:rsidRPr="00821E7A" w:rsidTr="00386F36">
        <w:tc>
          <w:tcPr>
            <w:tcW w:w="1609" w:type="dxa"/>
          </w:tcPr>
          <w:p w:rsidR="00901427" w:rsidRPr="00821E7A" w:rsidRDefault="00901427" w:rsidP="00B52FE1">
            <w:pPr>
              <w:jc w:val="center"/>
            </w:pPr>
          </w:p>
        </w:tc>
        <w:tc>
          <w:tcPr>
            <w:tcW w:w="1717" w:type="dxa"/>
          </w:tcPr>
          <w:p w:rsidR="00901427" w:rsidRPr="00821E7A" w:rsidRDefault="00901427" w:rsidP="00B52FE1"/>
        </w:tc>
        <w:tc>
          <w:tcPr>
            <w:tcW w:w="4144" w:type="dxa"/>
          </w:tcPr>
          <w:p w:rsidR="00901427" w:rsidRPr="00821E7A" w:rsidRDefault="00901427" w:rsidP="00B52FE1"/>
        </w:tc>
        <w:tc>
          <w:tcPr>
            <w:tcW w:w="1980" w:type="dxa"/>
          </w:tcPr>
          <w:p w:rsidR="00901427" w:rsidRPr="00821E7A" w:rsidRDefault="00901427" w:rsidP="00B52FE1"/>
        </w:tc>
      </w:tr>
      <w:tr w:rsidR="00901427" w:rsidRPr="00821E7A" w:rsidTr="00386F36">
        <w:tc>
          <w:tcPr>
            <w:tcW w:w="1609" w:type="dxa"/>
          </w:tcPr>
          <w:p w:rsidR="00901427" w:rsidRPr="00821E7A" w:rsidRDefault="00901427" w:rsidP="00B52FE1">
            <w:pPr>
              <w:jc w:val="center"/>
            </w:pPr>
          </w:p>
        </w:tc>
        <w:tc>
          <w:tcPr>
            <w:tcW w:w="1717" w:type="dxa"/>
          </w:tcPr>
          <w:p w:rsidR="00901427" w:rsidRPr="00821E7A" w:rsidRDefault="00901427" w:rsidP="00B52FE1"/>
        </w:tc>
        <w:tc>
          <w:tcPr>
            <w:tcW w:w="4144" w:type="dxa"/>
          </w:tcPr>
          <w:p w:rsidR="00901427" w:rsidRPr="00821E7A" w:rsidRDefault="00901427" w:rsidP="00B52FE1"/>
        </w:tc>
        <w:tc>
          <w:tcPr>
            <w:tcW w:w="1980" w:type="dxa"/>
          </w:tcPr>
          <w:p w:rsidR="00901427" w:rsidRPr="00821E7A" w:rsidRDefault="00901427" w:rsidP="00B52FE1"/>
        </w:tc>
      </w:tr>
    </w:tbl>
    <w:p w:rsidR="00B52FE1" w:rsidRPr="00821E7A" w:rsidRDefault="00B52FE1" w:rsidP="00B52FE1"/>
    <w:p w:rsidR="00B52FE1" w:rsidRPr="00821E7A" w:rsidRDefault="00B52FE1" w:rsidP="00B52FE1">
      <w:pPr>
        <w:pStyle w:val="Heading1"/>
        <w:rPr>
          <w:bCs w:val="0"/>
          <w:color w:val="264D74"/>
          <w:sz w:val="24"/>
        </w:rPr>
      </w:pPr>
      <w:r w:rsidRPr="00821E7A">
        <w:br w:type="page"/>
      </w:r>
      <w:bookmarkStart w:id="22" w:name="_Toc253051403"/>
      <w:r w:rsidRPr="00821E7A">
        <w:rPr>
          <w:bCs w:val="0"/>
          <w:color w:val="264D74"/>
          <w:sz w:val="24"/>
        </w:rPr>
        <w:lastRenderedPageBreak/>
        <w:t>Definitions of Terms Used in Standard</w:t>
      </w:r>
      <w:bookmarkEnd w:id="22"/>
    </w:p>
    <w:p w:rsidR="00B52FE1" w:rsidRPr="00821E7A" w:rsidRDefault="00B52FE1" w:rsidP="00B52FE1">
      <w:pPr>
        <w:spacing w:before="120"/>
        <w:rPr>
          <w:i/>
        </w:rPr>
      </w:pPr>
      <w:r w:rsidRPr="00821E7A">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901427" w:rsidRPr="00821E7A" w:rsidRDefault="00901427" w:rsidP="00901427">
      <w:pPr>
        <w:autoSpaceDE w:val="0"/>
        <w:autoSpaceDN w:val="0"/>
        <w:adjustRightInd w:val="0"/>
        <w:spacing w:after="0"/>
      </w:pPr>
    </w:p>
    <w:p w:rsidR="00901427" w:rsidRPr="00821E7A" w:rsidRDefault="00EF4A99" w:rsidP="00901427">
      <w:pPr>
        <w:autoSpaceDE w:val="0"/>
        <w:autoSpaceDN w:val="0"/>
        <w:adjustRightInd w:val="0"/>
        <w:spacing w:after="0"/>
      </w:pPr>
      <w:r w:rsidRPr="00821E7A">
        <w:rPr>
          <w:b/>
        </w:rPr>
        <w:t>Attaining Balancing Authority:</w:t>
      </w:r>
      <w:r w:rsidRPr="00821E7A">
        <w:t xml:space="preserve"> </w:t>
      </w:r>
      <w:r w:rsidR="00901427" w:rsidRPr="00821E7A">
        <w:t xml:space="preserve">A Balancing Authority bringing generation or load into its effective control boundaries through a dynamic transfer from the Native Balancing area.  </w:t>
      </w:r>
    </w:p>
    <w:p w:rsidR="00901427" w:rsidRPr="00821E7A" w:rsidRDefault="00901427" w:rsidP="00901427">
      <w:pPr>
        <w:autoSpaceDE w:val="0"/>
        <w:autoSpaceDN w:val="0"/>
        <w:adjustRightInd w:val="0"/>
        <w:spacing w:after="0"/>
      </w:pPr>
    </w:p>
    <w:p w:rsidR="00901427" w:rsidRPr="00821E7A" w:rsidRDefault="00EF4A99" w:rsidP="00901427">
      <w:pPr>
        <w:autoSpaceDE w:val="0"/>
        <w:autoSpaceDN w:val="0"/>
        <w:adjustRightInd w:val="0"/>
        <w:spacing w:after="0"/>
      </w:pPr>
      <w:r w:rsidRPr="00821E7A">
        <w:rPr>
          <w:b/>
        </w:rPr>
        <w:t>Native Balancing Area:</w:t>
      </w:r>
      <w:r w:rsidRPr="00821E7A">
        <w:t xml:space="preserve"> </w:t>
      </w:r>
      <w:r w:rsidR="00901427" w:rsidRPr="00821E7A">
        <w:t xml:space="preserve">A Balancing Authority from which a portion of its physically interconnected generation and/or load is transferred from its effective control boundaries to the attaining balancing area through a dynamic transfer. </w:t>
      </w:r>
    </w:p>
    <w:p w:rsidR="00901427" w:rsidRPr="00821E7A" w:rsidRDefault="00901427" w:rsidP="00901427">
      <w:pPr>
        <w:autoSpaceDE w:val="0"/>
        <w:autoSpaceDN w:val="0"/>
        <w:adjustRightInd w:val="0"/>
        <w:spacing w:after="0"/>
      </w:pPr>
    </w:p>
    <w:p w:rsidR="00B14BB7" w:rsidRPr="00821E7A" w:rsidRDefault="00EF4A99" w:rsidP="00B14BB7">
      <w:pPr>
        <w:autoSpaceDE w:val="0"/>
        <w:autoSpaceDN w:val="0"/>
        <w:adjustRightInd w:val="0"/>
        <w:spacing w:after="0"/>
      </w:pPr>
      <w:r w:rsidRPr="00821E7A">
        <w:rPr>
          <w:b/>
        </w:rPr>
        <w:t>Pseudo</w:t>
      </w:r>
      <w:r w:rsidRPr="00821E7A">
        <w:t>-</w:t>
      </w:r>
      <w:r w:rsidRPr="00821E7A">
        <w:rPr>
          <w:b/>
        </w:rPr>
        <w:t>tie:</w:t>
      </w:r>
      <w:r w:rsidRPr="00821E7A">
        <w:t xml:space="preserve"> </w:t>
      </w:r>
      <w:r w:rsidR="00B14BB7" w:rsidRPr="00821E7A">
        <w:t>A time</w:t>
      </w:r>
      <w:r w:rsidR="00B14BB7" w:rsidRPr="00821E7A">
        <w:rPr>
          <w:b/>
        </w:rPr>
        <w:t>-</w:t>
      </w:r>
      <w:r w:rsidR="00B14BB7" w:rsidRPr="00821E7A">
        <w:t xml:space="preserve">varying energy transfer that is updated in real time and included in the Net Interchange Actual term in the same manner as a Tie Line in the affected Balancing Authorities’ control ACE equations (or alternate control processes).  </w:t>
      </w:r>
    </w:p>
    <w:p w:rsidR="000A02BC" w:rsidRPr="00821E7A" w:rsidRDefault="00B52FE1" w:rsidP="000A02BC">
      <w:pPr>
        <w:spacing w:before="120"/>
        <w:rPr>
          <w:i/>
        </w:rPr>
      </w:pPr>
      <w:r w:rsidRPr="00821E7A">
        <w:br w:type="page"/>
      </w:r>
      <w:r w:rsidR="000A02BC" w:rsidRPr="00821E7A">
        <w:rPr>
          <w:i/>
        </w:rPr>
        <w:lastRenderedPageBreak/>
        <w:t>When this standard has received ballot approval, the text boxes will be moved to the Application Guidelines Section of the Standard.</w:t>
      </w:r>
    </w:p>
    <w:p w:rsidR="000A02BC" w:rsidRPr="00821E7A" w:rsidRDefault="000A02BC" w:rsidP="000A02BC">
      <w:pPr>
        <w:pStyle w:val="Section"/>
        <w:numPr>
          <w:ilvl w:val="0"/>
          <w:numId w:val="0"/>
        </w:numPr>
        <w:rPr>
          <w:color w:val="264D74"/>
        </w:rPr>
      </w:pPr>
    </w:p>
    <w:p w:rsidR="00A41318" w:rsidRPr="00821E7A" w:rsidRDefault="00E1757C" w:rsidP="00B52FE1">
      <w:pPr>
        <w:pStyle w:val="Section"/>
        <w:rPr>
          <w:color w:val="264D74"/>
        </w:rPr>
      </w:pPr>
      <w:r w:rsidRPr="00821E7A">
        <w:rPr>
          <w:color w:val="264D74"/>
        </w:rPr>
        <w:t>Introduction</w:t>
      </w:r>
    </w:p>
    <w:p w:rsidR="00E1757C" w:rsidRPr="00821E7A" w:rsidRDefault="00E1757C" w:rsidP="00E1757C">
      <w:pPr>
        <w:pStyle w:val="ListNumber"/>
        <w:rPr>
          <w:b/>
        </w:rPr>
      </w:pPr>
      <w:r w:rsidRPr="00821E7A">
        <w:rPr>
          <w:b/>
        </w:rPr>
        <w:t>Title:</w:t>
      </w:r>
      <w:r w:rsidR="00901427" w:rsidRPr="00821E7A">
        <w:rPr>
          <w:b/>
        </w:rPr>
        <w:tab/>
      </w:r>
      <w:r w:rsidR="00B14BB7" w:rsidRPr="00821E7A">
        <w:rPr>
          <w:b/>
        </w:rPr>
        <w:t>Implementation of Pseudo-ties</w:t>
      </w:r>
      <w:r w:rsidR="0001473D" w:rsidRPr="00821E7A">
        <w:rPr>
          <w:b/>
        </w:rPr>
        <w:tab/>
      </w:r>
      <w:r w:rsidR="00A15913" w:rsidRPr="00821E7A">
        <w:rPr>
          <w:b/>
        </w:rPr>
        <w:tab/>
      </w:r>
    </w:p>
    <w:p w:rsidR="00E1757C" w:rsidRPr="00821E7A" w:rsidRDefault="00E1757C" w:rsidP="00E1757C">
      <w:pPr>
        <w:pStyle w:val="ListNumber"/>
        <w:rPr>
          <w:b/>
        </w:rPr>
      </w:pPr>
      <w:r w:rsidRPr="00821E7A">
        <w:rPr>
          <w:b/>
        </w:rPr>
        <w:t>Number:</w:t>
      </w:r>
      <w:r w:rsidR="00A15913" w:rsidRPr="00821E7A">
        <w:rPr>
          <w:b/>
        </w:rPr>
        <w:tab/>
      </w:r>
      <w:r w:rsidR="00B14BB7" w:rsidRPr="00821E7A">
        <w:t>INT-014-1</w:t>
      </w:r>
    </w:p>
    <w:p w:rsidR="00B14BB7" w:rsidRPr="00821E7A" w:rsidRDefault="00E1757C" w:rsidP="00B14BB7">
      <w:pPr>
        <w:pStyle w:val="ListNumber"/>
      </w:pPr>
      <w:r w:rsidRPr="00821E7A">
        <w:rPr>
          <w:b/>
        </w:rPr>
        <w:t>Purpose</w:t>
      </w:r>
      <w:r w:rsidR="00A15913" w:rsidRPr="00821E7A">
        <w:rPr>
          <w:b/>
        </w:rPr>
        <w:t>:</w:t>
      </w:r>
      <w:r w:rsidR="00A15913" w:rsidRPr="00821E7A">
        <w:rPr>
          <w:b/>
        </w:rPr>
        <w:tab/>
      </w:r>
      <w:r w:rsidR="00B14BB7" w:rsidRPr="00821E7A">
        <w:t>To describe responsibilities and actions necessary to reliably implement Pseudo-ties.</w:t>
      </w:r>
    </w:p>
    <w:p w:rsidR="00E1757C" w:rsidRPr="00821E7A" w:rsidRDefault="00E1757C" w:rsidP="00E1757C">
      <w:pPr>
        <w:pStyle w:val="ListNumber"/>
        <w:rPr>
          <w:b/>
        </w:rPr>
      </w:pPr>
      <w:r w:rsidRPr="00821E7A">
        <w:rPr>
          <w:b/>
        </w:rPr>
        <w:t>Applicability:</w:t>
      </w:r>
    </w:p>
    <w:p w:rsidR="00B52FE1" w:rsidRPr="00821E7A" w:rsidRDefault="00B52FE1" w:rsidP="00B52FE1">
      <w:pPr>
        <w:pStyle w:val="Heading3"/>
        <w:keepNext w:val="0"/>
        <w:numPr>
          <w:ilvl w:val="1"/>
          <w:numId w:val="1"/>
        </w:numPr>
        <w:spacing w:before="0" w:after="120"/>
      </w:pPr>
      <w:r w:rsidRPr="00821E7A">
        <w:rPr>
          <w:rFonts w:ascii="Times New Roman" w:hAnsi="Times New Roman"/>
          <w:sz w:val="24"/>
          <w:szCs w:val="24"/>
        </w:rPr>
        <w:t>Functional Entities</w:t>
      </w:r>
      <w:r w:rsidRPr="00821E7A">
        <w:t>:</w:t>
      </w:r>
    </w:p>
    <w:p w:rsidR="00901427" w:rsidRPr="00821E7A" w:rsidRDefault="00901427" w:rsidP="00901427">
      <w:pPr>
        <w:pStyle w:val="ListNumber"/>
        <w:numPr>
          <w:ilvl w:val="0"/>
          <w:numId w:val="0"/>
        </w:numPr>
        <w:ind w:left="1440"/>
        <w:rPr>
          <w:b/>
        </w:rPr>
      </w:pPr>
      <w:r w:rsidRPr="00821E7A">
        <w:t xml:space="preserve">Balancing Authority </w:t>
      </w:r>
    </w:p>
    <w:p w:rsidR="00B52FE1" w:rsidRPr="00821E7A" w:rsidRDefault="00B52FE1" w:rsidP="006E0BF4">
      <w:pPr>
        <w:pStyle w:val="Heading3"/>
        <w:keepNext w:val="0"/>
        <w:numPr>
          <w:ilvl w:val="1"/>
          <w:numId w:val="1"/>
        </w:numPr>
        <w:spacing w:before="0" w:after="120"/>
        <w:rPr>
          <w:rFonts w:ascii="Times New Roman" w:hAnsi="Times New Roman"/>
          <w:sz w:val="24"/>
          <w:szCs w:val="24"/>
        </w:rPr>
      </w:pPr>
      <w:r w:rsidRPr="00821E7A">
        <w:rPr>
          <w:rFonts w:ascii="Times New Roman" w:hAnsi="Times New Roman"/>
          <w:sz w:val="24"/>
          <w:szCs w:val="24"/>
        </w:rPr>
        <w:t>Facilities:</w:t>
      </w:r>
    </w:p>
    <w:p w:rsidR="006E0BF4" w:rsidRPr="00821E7A" w:rsidRDefault="006E0BF4" w:rsidP="006E0BF4"/>
    <w:p w:rsidR="00B52FE1" w:rsidRPr="00821E7A" w:rsidRDefault="00B52FE1" w:rsidP="00B52FE1">
      <w:pPr>
        <w:pStyle w:val="ListNumber"/>
        <w:rPr>
          <w:b/>
        </w:rPr>
      </w:pPr>
      <w:r w:rsidRPr="00821E7A">
        <w:rPr>
          <w:b/>
        </w:rPr>
        <w:t>Background:</w:t>
      </w:r>
    </w:p>
    <w:p w:rsidR="00B52FE1" w:rsidRPr="00821E7A" w:rsidRDefault="00B52FE1" w:rsidP="00B52FE1">
      <w:pPr>
        <w:pStyle w:val="BodyIndent2"/>
        <w:ind w:left="936"/>
      </w:pPr>
      <w:r w:rsidRPr="00821E7A">
        <w:t>Text</w:t>
      </w:r>
    </w:p>
    <w:p w:rsidR="00B52FE1" w:rsidRPr="00821E7A" w:rsidRDefault="00B52FE1" w:rsidP="00B52FE1">
      <w:pPr>
        <w:pStyle w:val="ListNumber"/>
        <w:numPr>
          <w:ilvl w:val="0"/>
          <w:numId w:val="0"/>
        </w:numPr>
        <w:ind w:left="360"/>
        <w:rPr>
          <w:b/>
        </w:rPr>
      </w:pPr>
    </w:p>
    <w:p w:rsidR="00E1757C" w:rsidRPr="00821E7A" w:rsidRDefault="00E1757C" w:rsidP="00E1757C">
      <w:pPr>
        <w:pStyle w:val="Section"/>
        <w:rPr>
          <w:color w:val="264D74"/>
        </w:rPr>
      </w:pPr>
      <w:r w:rsidRPr="00821E7A">
        <w:rPr>
          <w:color w:val="264D74"/>
        </w:rPr>
        <w:t>Requirements</w:t>
      </w:r>
      <w:r w:rsidR="00B52FE1" w:rsidRPr="00821E7A">
        <w:rPr>
          <w:color w:val="264D74"/>
        </w:rPr>
        <w:t xml:space="preserve"> and Measures</w:t>
      </w:r>
    </w:p>
    <w:p w:rsidR="008F4ED0" w:rsidRPr="00821E7A" w:rsidRDefault="009C641C" w:rsidP="008F4ED0">
      <w:pPr>
        <w:pStyle w:val="Requirement"/>
        <w:tabs>
          <w:tab w:val="left" w:pos="2592"/>
          <w:tab w:val="left" w:pos="3240"/>
        </w:tabs>
      </w:pPr>
      <w:r>
        <w:rPr>
          <w:noProof/>
        </w:rPr>
        <w:pict>
          <v:rect id="_x0000_s1028" style="position:absolute;left:0;text-align:left;margin-left:310.5pt;margin-top:12.8pt;width:177pt;height:1in;z-index:251655168" fillcolor="#d3dce9" stroked="f">
            <v:textbox style="mso-next-textbox:#_x0000_s1028">
              <w:txbxContent>
                <w:p w:rsidR="008F4ED0" w:rsidRPr="00821E7A" w:rsidRDefault="008F4ED0">
                  <w:r w:rsidRPr="00821E7A">
                    <w:t>Rationale for R1:</w:t>
                  </w:r>
                </w:p>
              </w:txbxContent>
            </v:textbox>
            <w10:wrap type="square"/>
          </v:rect>
        </w:pict>
      </w:r>
      <w:r w:rsidR="008F4ED0" w:rsidRPr="00821E7A">
        <w:t xml:space="preserve">For Balancing Authorities participating in a Pseudo-Tie, the Source Balancing Authority and Sink Balancing Authority shall use agreed upon values to account for the Pseudo-Tie in the Net Interchange Actual term of its control ACE (or alternate control process). </w:t>
      </w:r>
    </w:p>
    <w:p w:rsidR="00E1757C" w:rsidRPr="00821E7A" w:rsidRDefault="008F4ED0" w:rsidP="008F4ED0">
      <w:pPr>
        <w:pStyle w:val="Requirement"/>
        <w:numPr>
          <w:ilvl w:val="0"/>
          <w:numId w:val="0"/>
        </w:numPr>
        <w:tabs>
          <w:tab w:val="left" w:pos="2592"/>
          <w:tab w:val="left" w:pos="3240"/>
        </w:tabs>
        <w:ind w:left="936"/>
      </w:pPr>
      <w:r w:rsidRPr="00821E7A">
        <w:rPr>
          <w:i/>
        </w:rPr>
        <w:t xml:space="preserve"> </w:t>
      </w:r>
      <w:r w:rsidR="009B7331" w:rsidRPr="00821E7A">
        <w:rPr>
          <w:i/>
        </w:rPr>
        <w:t>[Violati</w:t>
      </w:r>
      <w:r w:rsidR="00E02C90" w:rsidRPr="00821E7A">
        <w:rPr>
          <w:i/>
        </w:rPr>
        <w:t>on Risk Factor:] [Time Horizon:</w:t>
      </w:r>
      <w:r w:rsidR="009B7331" w:rsidRPr="00821E7A">
        <w:rPr>
          <w:i/>
        </w:rPr>
        <w:t>]</w:t>
      </w:r>
    </w:p>
    <w:p w:rsidR="00341BEF" w:rsidRPr="00821E7A" w:rsidRDefault="00341BEF" w:rsidP="00341BEF">
      <w:pPr>
        <w:pStyle w:val="Requirement"/>
        <w:numPr>
          <w:ilvl w:val="1"/>
          <w:numId w:val="5"/>
        </w:numPr>
        <w:tabs>
          <w:tab w:val="clear" w:pos="1440"/>
          <w:tab w:val="num" w:pos="1728"/>
          <w:tab w:val="left" w:pos="2592"/>
          <w:tab w:val="left" w:pos="3240"/>
        </w:tabs>
        <w:ind w:left="1728" w:hanging="792"/>
      </w:pPr>
      <w:r w:rsidRPr="00821E7A">
        <w:t xml:space="preserve">Under normal operations, each Balancing Authority shall use a dynamic value that emanates from an agreed upon common source. </w:t>
      </w:r>
    </w:p>
    <w:p w:rsidR="00341BEF" w:rsidRPr="00821E7A" w:rsidRDefault="00341BEF" w:rsidP="00341BEF">
      <w:pPr>
        <w:pStyle w:val="Requirement"/>
        <w:numPr>
          <w:ilvl w:val="1"/>
          <w:numId w:val="5"/>
        </w:numPr>
        <w:tabs>
          <w:tab w:val="clear" w:pos="1440"/>
          <w:tab w:val="num" w:pos="1728"/>
          <w:tab w:val="left" w:pos="2592"/>
          <w:tab w:val="left" w:pos="3240"/>
        </w:tabs>
        <w:ind w:left="1728" w:hanging="792"/>
      </w:pPr>
      <w:r w:rsidRPr="00821E7A">
        <w:t>Following any loss of telemetry or loss of communication related to telemetry, each Balancing Authority shall use an agreed upon value until such time as the telemetry or communication is re-established.</w:t>
      </w:r>
    </w:p>
    <w:p w:rsidR="00341BEF" w:rsidRPr="00821E7A" w:rsidRDefault="00E02C90" w:rsidP="00341BEF">
      <w:pPr>
        <w:pStyle w:val="Requirement"/>
        <w:numPr>
          <w:ilvl w:val="1"/>
          <w:numId w:val="5"/>
        </w:numPr>
        <w:tabs>
          <w:tab w:val="clear" w:pos="1440"/>
          <w:tab w:val="num" w:pos="1728"/>
          <w:tab w:val="left" w:pos="2592"/>
          <w:tab w:val="left" w:pos="3240"/>
        </w:tabs>
        <w:ind w:left="1728" w:hanging="792"/>
      </w:pPr>
      <w:r w:rsidRPr="00821E7A">
        <w:t>Any</w:t>
      </w:r>
      <w:r w:rsidR="00341BEF" w:rsidRPr="00821E7A">
        <w:t xml:space="preserve"> </w:t>
      </w:r>
      <w:r w:rsidRPr="00821E7A">
        <w:t>Intermediate Balancing Authority that schedules in-kind losses in real-time related to the Pseudo-Tie must create an additional Pseudo-Tie to account for those losses.</w:t>
      </w:r>
    </w:p>
    <w:p w:rsidR="00B52FE1" w:rsidRPr="00821E7A" w:rsidRDefault="00CE7BCA" w:rsidP="00B52FE1">
      <w:pPr>
        <w:pStyle w:val="Measure"/>
      </w:pPr>
      <w:r w:rsidRPr="00560627">
        <w:t xml:space="preserve">The </w:t>
      </w:r>
      <w:r>
        <w:t>Balancing Authority</w:t>
      </w:r>
      <w:r w:rsidRPr="00560627">
        <w:t xml:space="preserve"> </w:t>
      </w:r>
      <w:r>
        <w:t>must</w:t>
      </w:r>
      <w:r w:rsidRPr="00560627">
        <w:t xml:space="preserve"> have evidence (such as dated and time-stamped electronic logs or other evidence) that </w:t>
      </w:r>
      <w:r>
        <w:t xml:space="preserve">it </w:t>
      </w:r>
      <w:r w:rsidRPr="00821E7A">
        <w:t>use</w:t>
      </w:r>
      <w:r>
        <w:t>s</w:t>
      </w:r>
      <w:r w:rsidRPr="00821E7A">
        <w:t xml:space="preserve"> agreed upon values to account for the Pseudo-Tie in the Net Interchange Actual term of its control ACE (or alternate control process)</w:t>
      </w:r>
      <w:r w:rsidRPr="00560627">
        <w:t>. (R1)</w:t>
      </w:r>
    </w:p>
    <w:p w:rsidR="00B52FE1" w:rsidRPr="00821E7A" w:rsidRDefault="00B52FE1" w:rsidP="00B52FE1">
      <w:pPr>
        <w:pStyle w:val="Measure"/>
        <w:numPr>
          <w:ilvl w:val="0"/>
          <w:numId w:val="0"/>
        </w:numPr>
        <w:ind w:left="936" w:hanging="576"/>
      </w:pPr>
    </w:p>
    <w:p w:rsidR="00B52FE1" w:rsidRPr="00821E7A" w:rsidRDefault="00B52FE1" w:rsidP="00B52FE1">
      <w:pPr>
        <w:pStyle w:val="Measure"/>
        <w:numPr>
          <w:ilvl w:val="0"/>
          <w:numId w:val="0"/>
        </w:numPr>
        <w:ind w:left="936" w:hanging="576"/>
      </w:pPr>
    </w:p>
    <w:p w:rsidR="00B52FE1" w:rsidRPr="00821E7A" w:rsidRDefault="00B52FE1" w:rsidP="00B52FE1">
      <w:pPr>
        <w:pStyle w:val="Measure"/>
        <w:numPr>
          <w:ilvl w:val="0"/>
          <w:numId w:val="0"/>
        </w:numPr>
        <w:ind w:left="936" w:hanging="576"/>
      </w:pPr>
    </w:p>
    <w:p w:rsidR="00341BEF" w:rsidRPr="00821E7A" w:rsidRDefault="009C641C" w:rsidP="00341BEF">
      <w:pPr>
        <w:pStyle w:val="Requirement"/>
        <w:tabs>
          <w:tab w:val="left" w:pos="2592"/>
          <w:tab w:val="left" w:pos="3240"/>
        </w:tabs>
      </w:pPr>
      <w:r>
        <w:rPr>
          <w:noProof/>
        </w:rPr>
        <w:pict>
          <v:rect id="_x0000_s1029" style="position:absolute;left:0;text-align:left;margin-left:310.5pt;margin-top:3.25pt;width:177pt;height:1in;z-index:251656192" fillcolor="#d3dce9" stroked="f">
            <v:textbox style="mso-next-textbox:#_x0000_s1029">
              <w:txbxContent>
                <w:p w:rsidR="008F5B1F" w:rsidRPr="00D91AB6" w:rsidRDefault="008F4ED0" w:rsidP="008F5B1F">
                  <w:r w:rsidRPr="00821E7A">
                    <w:t>Rationale for R2:</w:t>
                  </w:r>
                  <w:r w:rsidR="008F5B1F" w:rsidRPr="008F5B1F">
                    <w:t xml:space="preserve"> </w:t>
                  </w:r>
                  <w:r w:rsidR="008F5B1F">
                    <w:t xml:space="preserve"> Load forecast goes into SDX which feeds models.</w:t>
                  </w:r>
                </w:p>
                <w:p w:rsidR="008F4ED0" w:rsidRPr="00821E7A" w:rsidRDefault="008F4ED0" w:rsidP="00B52FE1"/>
              </w:txbxContent>
            </v:textbox>
            <w10:wrap type="square"/>
          </v:rect>
        </w:pict>
      </w:r>
      <w:r w:rsidR="00341BEF" w:rsidRPr="00821E7A">
        <w:t xml:space="preserve">The </w:t>
      </w:r>
      <w:r w:rsidR="00E02C90" w:rsidRPr="00821E7A">
        <w:t>Attaining Balancing Authority shall include in its load forecast any load it attained via a Pseudo-Tie.</w:t>
      </w:r>
    </w:p>
    <w:p w:rsidR="00B52FE1" w:rsidRPr="00821E7A" w:rsidRDefault="00EF6C0F" w:rsidP="00EF6C0F">
      <w:pPr>
        <w:pStyle w:val="Measure"/>
        <w:tabs>
          <w:tab w:val="clear" w:pos="540"/>
          <w:tab w:val="num" w:pos="360"/>
        </w:tabs>
        <w:ind w:left="936"/>
      </w:pPr>
      <w:r w:rsidRPr="00560627">
        <w:t xml:space="preserve">The </w:t>
      </w:r>
      <w:r>
        <w:t>Native Balancing Authority sh</w:t>
      </w:r>
      <w:r w:rsidRPr="00560627">
        <w:t>all have evidence (such as dated and time-stamped electronic logs or other evidence) that</w:t>
      </w:r>
      <w:r>
        <w:t xml:space="preserve"> it</w:t>
      </w:r>
      <w:r w:rsidRPr="00F36D47">
        <w:t xml:space="preserve"> </w:t>
      </w:r>
      <w:r w:rsidRPr="00D91AB6">
        <w:t xml:space="preserve">include in its load forecast any Load in its Balancing Area being served by a </w:t>
      </w:r>
      <w:r>
        <w:t>Pseudo-Tie</w:t>
      </w:r>
      <w:r w:rsidRPr="00560627">
        <w:t>. (R</w:t>
      </w:r>
      <w:r>
        <w:t>2</w:t>
      </w:r>
      <w:r w:rsidRPr="00560627">
        <w:t>)</w:t>
      </w:r>
    </w:p>
    <w:p w:rsidR="00B52FE1" w:rsidRPr="00821E7A" w:rsidRDefault="009C641C" w:rsidP="00B52FE1">
      <w:pPr>
        <w:pStyle w:val="Measure"/>
        <w:numPr>
          <w:ilvl w:val="0"/>
          <w:numId w:val="0"/>
        </w:numPr>
        <w:ind w:left="936" w:hanging="576"/>
      </w:pPr>
      <w:r>
        <w:rPr>
          <w:noProof/>
        </w:rPr>
        <w:pict>
          <v:rect id="_x0000_s1030" style="position:absolute;left:0;text-align:left;margin-left:310.5pt;margin-top:15.25pt;width:177pt;height:1in;z-index:251657216" fillcolor="#d3dce9" stroked="f">
            <v:textbox style="mso-next-textbox:#_x0000_s1030">
              <w:txbxContent>
                <w:p w:rsidR="008F5B1F" w:rsidRPr="00D91AB6" w:rsidRDefault="008F4ED0" w:rsidP="008F5B1F">
                  <w:r w:rsidRPr="00821E7A">
                    <w:t>Rationale for R3:</w:t>
                  </w:r>
                  <w:r w:rsidR="008F5B1F">
                    <w:t xml:space="preserve"> BAL-002 implications</w:t>
                  </w:r>
                </w:p>
                <w:p w:rsidR="008F4ED0" w:rsidRPr="00821E7A" w:rsidRDefault="008F4ED0" w:rsidP="00B52FE1"/>
              </w:txbxContent>
            </v:textbox>
            <w10:wrap type="square"/>
          </v:rect>
        </w:pict>
      </w:r>
    </w:p>
    <w:p w:rsidR="00B52FE1" w:rsidRPr="00821E7A" w:rsidRDefault="00341BEF" w:rsidP="00341BEF">
      <w:pPr>
        <w:pStyle w:val="Requirement"/>
        <w:tabs>
          <w:tab w:val="left" w:pos="2592"/>
          <w:tab w:val="left" w:pos="3240"/>
        </w:tabs>
      </w:pPr>
      <w:r w:rsidRPr="00821E7A">
        <w:t xml:space="preserve">Each Attaining Balancing Authority shall </w:t>
      </w:r>
      <w:r w:rsidR="00E02C90" w:rsidRPr="00821E7A">
        <w:t>incorporate resources attained via Pseudo-Ties into its processes for establishing Contingency Reserve requirements, as well as for the purposes of measuring Contingency Reserve response.</w:t>
      </w:r>
    </w:p>
    <w:p w:rsidR="005F0A19" w:rsidRPr="00821E7A" w:rsidRDefault="00EF6C0F" w:rsidP="00E1757C">
      <w:pPr>
        <w:pStyle w:val="Measure"/>
      </w:pPr>
      <w:r w:rsidRPr="00560627">
        <w:t xml:space="preserve">The </w:t>
      </w:r>
      <w:r>
        <w:t>Attaining Balancing Authority sh</w:t>
      </w:r>
      <w:r w:rsidRPr="00560627">
        <w:t>all have evidence (such as dated and time-stamped electronic logs or other evidence) that</w:t>
      </w:r>
      <w:r>
        <w:t xml:space="preserve"> </w:t>
      </w:r>
      <w:r w:rsidRPr="00D91AB6">
        <w:t xml:space="preserve">incorporate resources attained via </w:t>
      </w:r>
      <w:r>
        <w:t>Pseudo-Tie</w:t>
      </w:r>
      <w:r w:rsidRPr="00D91AB6">
        <w:t xml:space="preserve"> into its processes for establishing Contingency Reserve requirements, as well as for the purposes of measuring Contingency Reserve response</w:t>
      </w:r>
      <w:r>
        <w:t>.</w:t>
      </w:r>
      <w:r w:rsidRPr="00560627">
        <w:t xml:space="preserve"> (R</w:t>
      </w:r>
      <w:r>
        <w:t>3</w:t>
      </w:r>
      <w:r w:rsidRPr="00560627">
        <w:t>)</w:t>
      </w:r>
    </w:p>
    <w:p w:rsidR="00B52FE1" w:rsidRPr="00821E7A" w:rsidRDefault="00B52FE1" w:rsidP="00B52FE1">
      <w:pPr>
        <w:pStyle w:val="Measure"/>
        <w:numPr>
          <w:ilvl w:val="0"/>
          <w:numId w:val="0"/>
        </w:numPr>
        <w:ind w:left="936" w:hanging="576"/>
      </w:pPr>
    </w:p>
    <w:p w:rsidR="00341BEF" w:rsidRPr="00821E7A" w:rsidRDefault="009C641C" w:rsidP="00E02C90">
      <w:pPr>
        <w:pStyle w:val="Requirement"/>
      </w:pPr>
      <w:r>
        <w:rPr>
          <w:noProof/>
        </w:rPr>
        <w:pict>
          <v:rect id="_x0000_s1031" style="position:absolute;left:0;text-align:left;margin-left:310.5pt;margin-top:3.25pt;width:177pt;height:1in;z-index:251658240" fillcolor="#d3dce9" stroked="f">
            <v:textbox>
              <w:txbxContent>
                <w:p w:rsidR="008F5B1F" w:rsidRPr="00D91AB6" w:rsidRDefault="008F4ED0" w:rsidP="008F5B1F">
                  <w:r w:rsidRPr="00821E7A">
                    <w:t>Rationale for R4:</w:t>
                  </w:r>
                  <w:r w:rsidR="008F5B1F">
                    <w:t xml:space="preserve">  ACE or control algorithm uses frequency bias in controlling load / generation balance.</w:t>
                  </w:r>
                </w:p>
                <w:p w:rsidR="008F4ED0" w:rsidRDefault="008F4ED0" w:rsidP="00564796"/>
              </w:txbxContent>
            </v:textbox>
            <w10:wrap type="square"/>
          </v:rect>
        </w:pict>
      </w:r>
      <w:r w:rsidR="00341BEF" w:rsidRPr="00821E7A">
        <w:t xml:space="preserve">When </w:t>
      </w:r>
      <w:r w:rsidR="00E02C90" w:rsidRPr="00821E7A">
        <w:t>calculating peak load for use in the determination of minimum frequency bias setting, each Attaining Balancing Authority shall include any load attained via Pseudo-Ties.</w:t>
      </w:r>
    </w:p>
    <w:p w:rsidR="00EF6C0F" w:rsidRPr="00D91AB6" w:rsidRDefault="00EF6C0F" w:rsidP="00EF6C0F">
      <w:pPr>
        <w:pStyle w:val="Measure"/>
        <w:tabs>
          <w:tab w:val="clear" w:pos="540"/>
          <w:tab w:val="num" w:pos="360"/>
        </w:tabs>
        <w:ind w:left="936"/>
      </w:pPr>
      <w:r w:rsidRPr="00560627">
        <w:t xml:space="preserve">The </w:t>
      </w:r>
      <w:r>
        <w:t>Balancing Authority sh</w:t>
      </w:r>
      <w:r w:rsidRPr="00560627">
        <w:t>all have evidence (such as dated and time-stamped electronic logs or other evidence) that</w:t>
      </w:r>
      <w:r>
        <w:t xml:space="preserve"> it</w:t>
      </w:r>
      <w:r w:rsidRPr="00F36D47">
        <w:t xml:space="preserve"> </w:t>
      </w:r>
      <w:r w:rsidRPr="00D91AB6">
        <w:t xml:space="preserve">include Load in its Balancing Area being served by </w:t>
      </w:r>
      <w:r>
        <w:t>Pseudo</w:t>
      </w:r>
      <w:r w:rsidR="00FE0AD1">
        <w:t>-T</w:t>
      </w:r>
      <w:r>
        <w:t>ie</w:t>
      </w:r>
      <w:r w:rsidRPr="00D91AB6">
        <w:t xml:space="preserve"> in its peak load calculation</w:t>
      </w:r>
      <w:r w:rsidRPr="00193D08">
        <w:t xml:space="preserve"> </w:t>
      </w:r>
      <w:r>
        <w:t>w</w:t>
      </w:r>
      <w:r w:rsidRPr="00D91AB6">
        <w:t>hen determining the minimum frequency bias setting</w:t>
      </w:r>
      <w:r w:rsidRPr="00560627">
        <w:t>. (R</w:t>
      </w:r>
      <w:r>
        <w:t>4</w:t>
      </w:r>
      <w:r w:rsidRPr="00560627">
        <w:t>)</w:t>
      </w:r>
    </w:p>
    <w:p w:rsidR="00E02C90" w:rsidRPr="00821E7A" w:rsidRDefault="00E02C90" w:rsidP="00E02C90">
      <w:pPr>
        <w:pStyle w:val="Measure"/>
        <w:numPr>
          <w:ilvl w:val="0"/>
          <w:numId w:val="0"/>
        </w:numPr>
        <w:ind w:left="1116"/>
      </w:pPr>
    </w:p>
    <w:p w:rsidR="00E02C90" w:rsidRPr="00821E7A" w:rsidRDefault="009C641C" w:rsidP="00E02C90">
      <w:pPr>
        <w:pStyle w:val="Requirement"/>
        <w:tabs>
          <w:tab w:val="left" w:pos="2592"/>
          <w:tab w:val="left" w:pos="3240"/>
        </w:tabs>
      </w:pPr>
      <w:r>
        <w:rPr>
          <w:noProof/>
        </w:rPr>
        <w:pict>
          <v:rect id="_x0000_s1033" style="position:absolute;left:0;text-align:left;margin-left:312.9pt;margin-top:1.75pt;width:177pt;height:1in;z-index:251659264" fillcolor="#d3dce9" stroked="f">
            <v:textbox>
              <w:txbxContent>
                <w:p w:rsidR="00E02C90" w:rsidRPr="00821E7A" w:rsidRDefault="00E02C90" w:rsidP="00E02C90">
                  <w:r w:rsidRPr="00821E7A">
                    <w:t>Rationale for R5:</w:t>
                  </w:r>
                </w:p>
              </w:txbxContent>
            </v:textbox>
            <w10:wrap type="square"/>
          </v:rect>
        </w:pict>
      </w:r>
      <w:r w:rsidR="00E02C90" w:rsidRPr="00821E7A">
        <w:t>In order to provide congestion management capabilities, each Balancing Authority shall only imple</w:t>
      </w:r>
      <w:r w:rsidR="00FE0AD1">
        <w:t xml:space="preserve">ment a </w:t>
      </w:r>
      <w:r w:rsidR="00E02C90" w:rsidRPr="00821E7A">
        <w:t xml:space="preserve">Pseudo-Tie if </w:t>
      </w:r>
      <w:r w:rsidR="00E02C90" w:rsidRPr="00821E7A">
        <w:rPr>
          <w:rStyle w:val="FootnoteReference"/>
        </w:rPr>
        <w:footnoteReference w:id="1"/>
      </w:r>
      <w:r w:rsidR="00E02C90" w:rsidRPr="00821E7A">
        <w:t xml:space="preserve">: </w:t>
      </w:r>
    </w:p>
    <w:p w:rsidR="00E02C90" w:rsidRPr="00821E7A" w:rsidRDefault="00E02C90" w:rsidP="00E02C90">
      <w:pPr>
        <w:pStyle w:val="Requirement"/>
        <w:numPr>
          <w:ilvl w:val="1"/>
          <w:numId w:val="5"/>
        </w:numPr>
        <w:tabs>
          <w:tab w:val="clear" w:pos="1440"/>
          <w:tab w:val="num" w:pos="1728"/>
          <w:tab w:val="left" w:pos="2592"/>
          <w:tab w:val="left" w:pos="3240"/>
        </w:tabs>
        <w:ind w:left="1728" w:hanging="792"/>
      </w:pPr>
      <w:r w:rsidRPr="00821E7A">
        <w:t>In the Eastern Interconnection, each of the Balancing Authority’s associated Reliability Coordinators has confirmed sufficient information to reliably manage the implementation of the Pseudo-Tie has been provided.</w:t>
      </w:r>
    </w:p>
    <w:p w:rsidR="00E02C90" w:rsidRPr="00821E7A" w:rsidRDefault="00E02C90" w:rsidP="00E02C90">
      <w:pPr>
        <w:pStyle w:val="Requirement"/>
        <w:numPr>
          <w:ilvl w:val="1"/>
          <w:numId w:val="5"/>
        </w:numPr>
        <w:tabs>
          <w:tab w:val="clear" w:pos="1440"/>
          <w:tab w:val="num" w:pos="1728"/>
          <w:tab w:val="left" w:pos="2592"/>
          <w:tab w:val="left" w:pos="3240"/>
        </w:tabs>
        <w:ind w:left="1728" w:hanging="792"/>
      </w:pPr>
      <w:r w:rsidRPr="00821E7A">
        <w:lastRenderedPageBreak/>
        <w:t>In the Western Interconnection, each of the Balancing Authority’s associated Transmission Operators has confirmed sufficient information to reliably manage the implementation of the Pseudo-Tie has been provided.</w:t>
      </w:r>
    </w:p>
    <w:p w:rsidR="00EF6C0F" w:rsidRPr="00D91AB6" w:rsidRDefault="00EF6C0F" w:rsidP="00EF6C0F">
      <w:pPr>
        <w:pStyle w:val="Measure"/>
        <w:tabs>
          <w:tab w:val="clear" w:pos="540"/>
          <w:tab w:val="num" w:pos="360"/>
        </w:tabs>
        <w:ind w:left="936"/>
      </w:pPr>
      <w:r w:rsidRPr="00560627">
        <w:t xml:space="preserve">The </w:t>
      </w:r>
      <w:r>
        <w:t>Balancing Authority sh</w:t>
      </w:r>
      <w:r w:rsidRPr="00560627">
        <w:t>all have evidence (such as dated and time-stamped electronic logs or other evidence) that</w:t>
      </w:r>
      <w:r>
        <w:t xml:space="preserve"> it</w:t>
      </w:r>
      <w:r w:rsidRPr="00F36D47">
        <w:t xml:space="preserve"> </w:t>
      </w:r>
      <w:r>
        <w:t xml:space="preserve">implemented a Pseudo-Tie in accordance with Parts 5.1 or 5.2.  </w:t>
      </w:r>
      <w:r w:rsidRPr="00560627">
        <w:t>(R</w:t>
      </w:r>
      <w:r>
        <w:t>5</w:t>
      </w:r>
      <w:r w:rsidRPr="00560627">
        <w:t>)</w:t>
      </w:r>
    </w:p>
    <w:p w:rsidR="00E02C90" w:rsidRPr="00821E7A" w:rsidRDefault="00E02C90" w:rsidP="00EF6C0F">
      <w:pPr>
        <w:pStyle w:val="Measure"/>
        <w:numPr>
          <w:ilvl w:val="0"/>
          <w:numId w:val="0"/>
        </w:numPr>
        <w:ind w:left="1116" w:hanging="576"/>
      </w:pPr>
    </w:p>
    <w:p w:rsidR="00E1757C" w:rsidRPr="00821E7A" w:rsidRDefault="00E1757C" w:rsidP="00E1757C">
      <w:pPr>
        <w:pStyle w:val="Section"/>
        <w:rPr>
          <w:color w:val="264D74"/>
        </w:rPr>
      </w:pPr>
      <w:r w:rsidRPr="00821E7A">
        <w:rPr>
          <w:color w:val="264D74"/>
        </w:rPr>
        <w:t>Compliance</w:t>
      </w:r>
    </w:p>
    <w:p w:rsidR="009C2375" w:rsidRPr="00821E7A" w:rsidRDefault="009C2375" w:rsidP="009C2375">
      <w:pPr>
        <w:pStyle w:val="ListNumber"/>
        <w:numPr>
          <w:ilvl w:val="0"/>
          <w:numId w:val="3"/>
        </w:numPr>
        <w:rPr>
          <w:b/>
        </w:rPr>
      </w:pPr>
      <w:r w:rsidRPr="00821E7A">
        <w:rPr>
          <w:b/>
        </w:rPr>
        <w:t>Compliance Monitoring Process</w:t>
      </w:r>
    </w:p>
    <w:p w:rsidR="0023786A" w:rsidRPr="00821E7A" w:rsidRDefault="0023786A" w:rsidP="0023786A">
      <w:pPr>
        <w:pStyle w:val="ListNumber"/>
        <w:numPr>
          <w:ilvl w:val="1"/>
          <w:numId w:val="3"/>
        </w:numPr>
        <w:rPr>
          <w:b/>
        </w:rPr>
      </w:pPr>
      <w:r w:rsidRPr="00821E7A">
        <w:rPr>
          <w:b/>
        </w:rPr>
        <w:t xml:space="preserve">Compliance </w:t>
      </w:r>
      <w:r w:rsidR="00F12542" w:rsidRPr="00821E7A">
        <w:rPr>
          <w:b/>
        </w:rPr>
        <w:t>Enforcement Authority</w:t>
      </w:r>
    </w:p>
    <w:p w:rsidR="0023786A" w:rsidRPr="00821E7A" w:rsidRDefault="007F7B4B" w:rsidP="007F7B4B">
      <w:pPr>
        <w:pStyle w:val="BodyIndent2"/>
      </w:pPr>
      <w:r w:rsidRPr="00821E7A">
        <w:t>Regional Entity</w:t>
      </w:r>
    </w:p>
    <w:p w:rsidR="0023786A" w:rsidRPr="00821E7A" w:rsidRDefault="00B52FE1" w:rsidP="0023786A">
      <w:pPr>
        <w:pStyle w:val="ListNumber"/>
        <w:numPr>
          <w:ilvl w:val="1"/>
          <w:numId w:val="1"/>
        </w:numPr>
        <w:rPr>
          <w:b/>
        </w:rPr>
      </w:pPr>
      <w:r w:rsidRPr="00821E7A">
        <w:rPr>
          <w:b/>
        </w:rPr>
        <w:t>Evidence</w:t>
      </w:r>
      <w:r w:rsidR="0023786A" w:rsidRPr="00821E7A">
        <w:rPr>
          <w:b/>
        </w:rPr>
        <w:t xml:space="preserve"> Retention</w:t>
      </w:r>
    </w:p>
    <w:p w:rsidR="0023786A" w:rsidRPr="00821E7A" w:rsidRDefault="00341BEF" w:rsidP="00A428E1">
      <w:pPr>
        <w:pStyle w:val="BodyIndent2"/>
      </w:pPr>
      <w:r w:rsidRPr="00821E7A">
        <w:t>TBD</w:t>
      </w:r>
    </w:p>
    <w:p w:rsidR="00F12542" w:rsidRPr="00821E7A" w:rsidRDefault="00F12542" w:rsidP="0023786A">
      <w:pPr>
        <w:pStyle w:val="ListNumber"/>
        <w:numPr>
          <w:ilvl w:val="1"/>
          <w:numId w:val="1"/>
        </w:numPr>
        <w:rPr>
          <w:b/>
        </w:rPr>
      </w:pPr>
      <w:r w:rsidRPr="00821E7A">
        <w:rPr>
          <w:b/>
        </w:rPr>
        <w:t>Compliance Monitoring and Assessment Processes</w:t>
      </w:r>
      <w:r w:rsidR="007F7B4B" w:rsidRPr="00821E7A">
        <w:rPr>
          <w:b/>
        </w:rPr>
        <w:t>:</w:t>
      </w:r>
    </w:p>
    <w:p w:rsidR="007F7B4B" w:rsidRPr="00821E7A" w:rsidRDefault="007F7B4B" w:rsidP="007F7B4B">
      <w:pPr>
        <w:pStyle w:val="ListNumber"/>
        <w:numPr>
          <w:ilvl w:val="0"/>
          <w:numId w:val="0"/>
        </w:numPr>
        <w:ind w:left="1440"/>
      </w:pPr>
      <w:r w:rsidRPr="00821E7A">
        <w:t>Compliance Audits</w:t>
      </w:r>
    </w:p>
    <w:p w:rsidR="007F7B4B" w:rsidRPr="00821E7A" w:rsidRDefault="007F7B4B" w:rsidP="007F7B4B">
      <w:pPr>
        <w:pStyle w:val="ListNumber"/>
        <w:numPr>
          <w:ilvl w:val="0"/>
          <w:numId w:val="0"/>
        </w:numPr>
        <w:ind w:left="1440"/>
      </w:pPr>
      <w:r w:rsidRPr="00821E7A">
        <w:t>Self-Certifications</w:t>
      </w:r>
    </w:p>
    <w:p w:rsidR="007F7B4B" w:rsidRPr="00821E7A" w:rsidRDefault="007F7B4B" w:rsidP="007F7B4B">
      <w:pPr>
        <w:pStyle w:val="ListNumber"/>
        <w:numPr>
          <w:ilvl w:val="0"/>
          <w:numId w:val="0"/>
        </w:numPr>
        <w:ind w:left="1440"/>
      </w:pPr>
      <w:r w:rsidRPr="00821E7A">
        <w:t>Spot Checking</w:t>
      </w:r>
    </w:p>
    <w:p w:rsidR="007F7B4B" w:rsidRPr="00821E7A" w:rsidRDefault="007F7B4B" w:rsidP="007F7B4B">
      <w:pPr>
        <w:pStyle w:val="ListNumber"/>
        <w:numPr>
          <w:ilvl w:val="0"/>
          <w:numId w:val="0"/>
        </w:numPr>
        <w:ind w:left="1440"/>
      </w:pPr>
      <w:r w:rsidRPr="00821E7A">
        <w:t>Compliance Violation Investigations</w:t>
      </w:r>
    </w:p>
    <w:p w:rsidR="007F7B4B" w:rsidRPr="00821E7A" w:rsidRDefault="007F7B4B" w:rsidP="007F7B4B">
      <w:pPr>
        <w:pStyle w:val="ListNumber"/>
        <w:numPr>
          <w:ilvl w:val="0"/>
          <w:numId w:val="0"/>
        </w:numPr>
        <w:ind w:left="1440"/>
      </w:pPr>
      <w:r w:rsidRPr="00821E7A">
        <w:t>Self-Reporting</w:t>
      </w:r>
    </w:p>
    <w:p w:rsidR="00F12542" w:rsidRPr="00821E7A" w:rsidRDefault="007F7B4B" w:rsidP="007F7B4B">
      <w:pPr>
        <w:pStyle w:val="BodyIndent2"/>
      </w:pPr>
      <w:r w:rsidRPr="00821E7A">
        <w:t xml:space="preserve">Complaints </w:t>
      </w:r>
    </w:p>
    <w:p w:rsidR="0023786A" w:rsidRPr="00821E7A" w:rsidRDefault="0023786A" w:rsidP="0023786A">
      <w:pPr>
        <w:pStyle w:val="ListNumber"/>
        <w:numPr>
          <w:ilvl w:val="1"/>
          <w:numId w:val="1"/>
        </w:numPr>
        <w:rPr>
          <w:b/>
        </w:rPr>
      </w:pPr>
      <w:r w:rsidRPr="00821E7A">
        <w:rPr>
          <w:b/>
        </w:rPr>
        <w:t>Additional Compliance Information</w:t>
      </w:r>
    </w:p>
    <w:p w:rsidR="0023786A" w:rsidRPr="00821E7A" w:rsidRDefault="007F7B4B" w:rsidP="00A428E1">
      <w:pPr>
        <w:pStyle w:val="BodyIndent2"/>
      </w:pPr>
      <w:r w:rsidRPr="00821E7A">
        <w:t>None</w:t>
      </w:r>
    </w:p>
    <w:p w:rsidR="007F7B4B" w:rsidRPr="00821E7A" w:rsidRDefault="007F7B4B" w:rsidP="009C2375">
      <w:pPr>
        <w:pStyle w:val="ListNumber"/>
        <w:numPr>
          <w:ilvl w:val="0"/>
          <w:numId w:val="3"/>
        </w:numPr>
        <w:rPr>
          <w:b/>
        </w:rPr>
        <w:sectPr w:rsidR="007F7B4B" w:rsidRPr="00821E7A" w:rsidSect="00F54AAC">
          <w:headerReference w:type="default" r:id="rId7"/>
          <w:footerReference w:type="default" r:id="rId8"/>
          <w:pgSz w:w="12240" w:h="15840"/>
          <w:pgMar w:top="1440" w:right="1440" w:bottom="1440" w:left="1440" w:header="720" w:footer="720" w:gutter="0"/>
          <w:cols w:space="720"/>
          <w:docGrid w:linePitch="360"/>
        </w:sectPr>
      </w:pPr>
    </w:p>
    <w:p w:rsidR="009C2375" w:rsidRPr="00821E7A" w:rsidRDefault="000A02BC" w:rsidP="00386F36">
      <w:pPr>
        <w:pStyle w:val="ListNumber"/>
        <w:numPr>
          <w:ilvl w:val="0"/>
          <w:numId w:val="0"/>
        </w:numPr>
        <w:rPr>
          <w:rFonts w:ascii="Arial" w:hAnsi="Arial" w:cs="Arial"/>
          <w:b/>
          <w:color w:val="264D74"/>
        </w:rPr>
      </w:pPr>
      <w:r w:rsidRPr="00821E7A">
        <w:rPr>
          <w:rFonts w:ascii="Arial" w:hAnsi="Arial" w:cs="Arial"/>
          <w:b/>
          <w:color w:val="264D74"/>
        </w:rPr>
        <w:lastRenderedPageBreak/>
        <w:t>Table of Compliance Elements</w:t>
      </w:r>
    </w:p>
    <w:tbl>
      <w:tblPr>
        <w:tblW w:w="12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821E7A" w:rsidTr="00386F36">
        <w:tc>
          <w:tcPr>
            <w:tcW w:w="573" w:type="dxa"/>
            <w:vMerge w:val="restart"/>
            <w:shd w:val="clear" w:color="auto" w:fill="264D74"/>
          </w:tcPr>
          <w:p w:rsidR="00386F36" w:rsidRPr="00821E7A" w:rsidRDefault="00386F36" w:rsidP="00386F36">
            <w:pPr>
              <w:pStyle w:val="ListNumber"/>
              <w:numPr>
                <w:ilvl w:val="0"/>
                <w:numId w:val="0"/>
              </w:numPr>
              <w:spacing w:before="120"/>
              <w:ind w:left="-171"/>
              <w:jc w:val="center"/>
              <w:rPr>
                <w:rFonts w:ascii="Arial" w:hAnsi="Arial" w:cs="Arial"/>
                <w:b/>
                <w:color w:val="FFFFFF"/>
                <w:sz w:val="20"/>
                <w:szCs w:val="20"/>
              </w:rPr>
            </w:pPr>
            <w:r w:rsidRPr="00821E7A">
              <w:rPr>
                <w:rFonts w:ascii="Arial" w:hAnsi="Arial" w:cs="Arial"/>
                <w:b/>
                <w:color w:val="FFFFFF"/>
                <w:sz w:val="20"/>
                <w:szCs w:val="20"/>
              </w:rPr>
              <w:t>R #</w:t>
            </w:r>
          </w:p>
        </w:tc>
        <w:tc>
          <w:tcPr>
            <w:tcW w:w="1445" w:type="dxa"/>
            <w:vMerge w:val="restart"/>
            <w:shd w:val="clear" w:color="auto" w:fill="264D74"/>
          </w:tcPr>
          <w:p w:rsidR="00386F36" w:rsidRPr="00821E7A" w:rsidRDefault="00386F36" w:rsidP="00386F36">
            <w:pPr>
              <w:pStyle w:val="ListNumber"/>
              <w:numPr>
                <w:ilvl w:val="0"/>
                <w:numId w:val="0"/>
              </w:numPr>
              <w:tabs>
                <w:tab w:val="clear" w:pos="2160"/>
              </w:tabs>
              <w:spacing w:before="120"/>
              <w:jc w:val="center"/>
              <w:rPr>
                <w:rFonts w:ascii="Arial" w:hAnsi="Arial" w:cs="Arial"/>
                <w:b/>
                <w:bCs/>
                <w:color w:val="FFFFFF"/>
                <w:sz w:val="20"/>
                <w:szCs w:val="20"/>
              </w:rPr>
            </w:pPr>
            <w:r w:rsidRPr="00821E7A">
              <w:rPr>
                <w:rFonts w:ascii="Arial" w:hAnsi="Arial" w:cs="Arial"/>
                <w:b/>
                <w:bCs/>
                <w:color w:val="FFFFFF"/>
                <w:sz w:val="20"/>
                <w:szCs w:val="20"/>
              </w:rPr>
              <w:t>Time Horizon</w:t>
            </w:r>
          </w:p>
        </w:tc>
        <w:tc>
          <w:tcPr>
            <w:tcW w:w="1019" w:type="dxa"/>
            <w:vMerge w:val="restart"/>
            <w:shd w:val="clear" w:color="auto" w:fill="264D74"/>
          </w:tcPr>
          <w:p w:rsidR="00386F36" w:rsidRPr="00821E7A" w:rsidRDefault="00386F36" w:rsidP="00386F36">
            <w:pPr>
              <w:pStyle w:val="ListNumber"/>
              <w:numPr>
                <w:ilvl w:val="0"/>
                <w:numId w:val="0"/>
              </w:numPr>
              <w:tabs>
                <w:tab w:val="clear" w:pos="2160"/>
              </w:tabs>
              <w:spacing w:before="120"/>
              <w:jc w:val="center"/>
              <w:rPr>
                <w:rFonts w:ascii="Arial" w:hAnsi="Arial" w:cs="Arial"/>
                <w:b/>
                <w:bCs/>
                <w:color w:val="FFFFFF"/>
                <w:sz w:val="20"/>
                <w:szCs w:val="20"/>
              </w:rPr>
            </w:pPr>
            <w:r w:rsidRPr="00821E7A">
              <w:rPr>
                <w:rFonts w:ascii="Arial" w:hAnsi="Arial" w:cs="Arial"/>
                <w:b/>
                <w:bCs/>
                <w:color w:val="FFFFFF"/>
                <w:sz w:val="20"/>
                <w:szCs w:val="20"/>
              </w:rPr>
              <w:t>VRF</w:t>
            </w:r>
          </w:p>
        </w:tc>
        <w:tc>
          <w:tcPr>
            <w:tcW w:w="9923" w:type="dxa"/>
            <w:gridSpan w:val="4"/>
            <w:shd w:val="clear" w:color="auto" w:fill="264D74"/>
            <w:vAlign w:val="center"/>
          </w:tcPr>
          <w:p w:rsidR="00386F36" w:rsidRPr="00821E7A" w:rsidRDefault="00386F36" w:rsidP="007F7B4B">
            <w:pPr>
              <w:pStyle w:val="ListNumber"/>
              <w:numPr>
                <w:ilvl w:val="0"/>
                <w:numId w:val="0"/>
              </w:numPr>
              <w:spacing w:before="120"/>
              <w:jc w:val="center"/>
              <w:rPr>
                <w:rFonts w:ascii="Arial" w:hAnsi="Arial" w:cs="Arial"/>
                <w:b/>
                <w:color w:val="FFFFFF"/>
                <w:sz w:val="22"/>
                <w:szCs w:val="22"/>
              </w:rPr>
            </w:pPr>
            <w:r w:rsidRPr="00821E7A">
              <w:rPr>
                <w:rFonts w:ascii="Arial" w:hAnsi="Arial" w:cs="Arial"/>
                <w:b/>
                <w:color w:val="FFFFFF"/>
                <w:sz w:val="22"/>
                <w:szCs w:val="22"/>
              </w:rPr>
              <w:t>Violation Severity Levels</w:t>
            </w:r>
          </w:p>
        </w:tc>
      </w:tr>
      <w:tr w:rsidR="00386F36" w:rsidRPr="00821E7A" w:rsidTr="00386F36">
        <w:tc>
          <w:tcPr>
            <w:tcW w:w="573" w:type="dxa"/>
            <w:vMerge/>
            <w:shd w:val="clear" w:color="auto" w:fill="264D74"/>
          </w:tcPr>
          <w:p w:rsidR="00386F36" w:rsidRPr="00821E7A" w:rsidRDefault="00386F36" w:rsidP="007F7B4B">
            <w:pPr>
              <w:pStyle w:val="ListNumber"/>
              <w:numPr>
                <w:ilvl w:val="0"/>
                <w:numId w:val="0"/>
              </w:numPr>
              <w:spacing w:before="120"/>
              <w:jc w:val="center"/>
              <w:rPr>
                <w:rFonts w:ascii="Arial" w:hAnsi="Arial" w:cs="Arial"/>
                <w:b/>
                <w:color w:val="FFFFFF"/>
                <w:sz w:val="20"/>
                <w:szCs w:val="20"/>
              </w:rPr>
            </w:pPr>
          </w:p>
        </w:tc>
        <w:tc>
          <w:tcPr>
            <w:tcW w:w="1445" w:type="dxa"/>
            <w:vMerge/>
            <w:shd w:val="clear" w:color="auto" w:fill="264D74"/>
          </w:tcPr>
          <w:p w:rsidR="00386F36" w:rsidRPr="00821E7A" w:rsidRDefault="00386F36" w:rsidP="007F7B4B">
            <w:pPr>
              <w:pStyle w:val="ListNumber"/>
              <w:numPr>
                <w:ilvl w:val="0"/>
                <w:numId w:val="0"/>
              </w:numPr>
              <w:spacing w:before="120"/>
              <w:jc w:val="center"/>
              <w:rPr>
                <w:rFonts w:ascii="Arial" w:hAnsi="Arial" w:cs="Arial"/>
                <w:b/>
                <w:bCs/>
                <w:color w:val="FFFFFF"/>
                <w:sz w:val="20"/>
                <w:szCs w:val="20"/>
              </w:rPr>
            </w:pPr>
          </w:p>
        </w:tc>
        <w:tc>
          <w:tcPr>
            <w:tcW w:w="1019" w:type="dxa"/>
            <w:vMerge/>
            <w:shd w:val="clear" w:color="auto" w:fill="264D74"/>
          </w:tcPr>
          <w:p w:rsidR="00386F36" w:rsidRPr="00821E7A" w:rsidRDefault="00386F36" w:rsidP="007F7B4B">
            <w:pPr>
              <w:pStyle w:val="ListNumber"/>
              <w:numPr>
                <w:ilvl w:val="0"/>
                <w:numId w:val="0"/>
              </w:numPr>
              <w:spacing w:before="120"/>
              <w:jc w:val="center"/>
              <w:rPr>
                <w:rFonts w:ascii="Arial" w:hAnsi="Arial" w:cs="Arial"/>
                <w:b/>
                <w:bCs/>
                <w:color w:val="FFFFFF"/>
                <w:sz w:val="20"/>
                <w:szCs w:val="20"/>
              </w:rPr>
            </w:pPr>
          </w:p>
        </w:tc>
        <w:tc>
          <w:tcPr>
            <w:tcW w:w="2480" w:type="dxa"/>
            <w:shd w:val="clear" w:color="auto" w:fill="5D85A9"/>
            <w:vAlign w:val="center"/>
          </w:tcPr>
          <w:p w:rsidR="00386F36" w:rsidRPr="00821E7A" w:rsidRDefault="00386F36" w:rsidP="007F7B4B">
            <w:pPr>
              <w:pStyle w:val="ListNumber"/>
              <w:numPr>
                <w:ilvl w:val="0"/>
                <w:numId w:val="0"/>
              </w:numPr>
              <w:spacing w:before="120"/>
              <w:jc w:val="center"/>
              <w:rPr>
                <w:rFonts w:ascii="Arial" w:hAnsi="Arial" w:cs="Arial"/>
                <w:b/>
                <w:color w:val="FFFFFF"/>
                <w:sz w:val="20"/>
                <w:szCs w:val="20"/>
              </w:rPr>
            </w:pPr>
            <w:r w:rsidRPr="00821E7A">
              <w:rPr>
                <w:rFonts w:ascii="Arial" w:hAnsi="Arial" w:cs="Arial"/>
                <w:b/>
                <w:bCs/>
                <w:color w:val="FFFFFF"/>
                <w:sz w:val="20"/>
                <w:szCs w:val="20"/>
              </w:rPr>
              <w:t>Lower VSL</w:t>
            </w:r>
          </w:p>
        </w:tc>
        <w:tc>
          <w:tcPr>
            <w:tcW w:w="2481" w:type="dxa"/>
            <w:shd w:val="clear" w:color="auto" w:fill="5D85A9"/>
            <w:vAlign w:val="center"/>
          </w:tcPr>
          <w:p w:rsidR="00386F36" w:rsidRPr="00821E7A" w:rsidRDefault="00386F36" w:rsidP="007F7B4B">
            <w:pPr>
              <w:pStyle w:val="ListNumber"/>
              <w:numPr>
                <w:ilvl w:val="0"/>
                <w:numId w:val="0"/>
              </w:numPr>
              <w:spacing w:before="120"/>
              <w:jc w:val="center"/>
              <w:rPr>
                <w:rFonts w:ascii="Arial" w:hAnsi="Arial" w:cs="Arial"/>
                <w:b/>
                <w:color w:val="FFFFFF"/>
                <w:sz w:val="20"/>
                <w:szCs w:val="20"/>
              </w:rPr>
            </w:pPr>
            <w:r w:rsidRPr="00821E7A">
              <w:rPr>
                <w:rFonts w:ascii="Arial" w:hAnsi="Arial" w:cs="Arial"/>
                <w:b/>
                <w:bCs/>
                <w:color w:val="FFFFFF"/>
                <w:sz w:val="20"/>
                <w:szCs w:val="20"/>
              </w:rPr>
              <w:t>Moderate VSL</w:t>
            </w:r>
          </w:p>
        </w:tc>
        <w:tc>
          <w:tcPr>
            <w:tcW w:w="2481" w:type="dxa"/>
            <w:shd w:val="clear" w:color="auto" w:fill="5D85A9"/>
            <w:vAlign w:val="center"/>
          </w:tcPr>
          <w:p w:rsidR="00386F36" w:rsidRPr="00821E7A" w:rsidRDefault="00386F36" w:rsidP="007F7B4B">
            <w:pPr>
              <w:pStyle w:val="ListNumber"/>
              <w:numPr>
                <w:ilvl w:val="0"/>
                <w:numId w:val="0"/>
              </w:numPr>
              <w:spacing w:before="120"/>
              <w:jc w:val="center"/>
              <w:rPr>
                <w:rFonts w:ascii="Arial" w:hAnsi="Arial" w:cs="Arial"/>
                <w:b/>
                <w:color w:val="FFFFFF"/>
                <w:sz w:val="20"/>
                <w:szCs w:val="20"/>
              </w:rPr>
            </w:pPr>
            <w:r w:rsidRPr="00821E7A">
              <w:rPr>
                <w:rFonts w:ascii="Arial" w:hAnsi="Arial" w:cs="Arial"/>
                <w:b/>
                <w:bCs/>
                <w:color w:val="FFFFFF"/>
                <w:sz w:val="20"/>
                <w:szCs w:val="20"/>
              </w:rPr>
              <w:t>High VSL</w:t>
            </w:r>
          </w:p>
        </w:tc>
        <w:tc>
          <w:tcPr>
            <w:tcW w:w="2481" w:type="dxa"/>
            <w:shd w:val="clear" w:color="auto" w:fill="5D85A9"/>
            <w:vAlign w:val="center"/>
          </w:tcPr>
          <w:p w:rsidR="00386F36" w:rsidRPr="00821E7A" w:rsidRDefault="00386F36" w:rsidP="007F7B4B">
            <w:pPr>
              <w:pStyle w:val="ListNumber"/>
              <w:numPr>
                <w:ilvl w:val="0"/>
                <w:numId w:val="0"/>
              </w:numPr>
              <w:spacing w:before="120"/>
              <w:jc w:val="center"/>
              <w:rPr>
                <w:rFonts w:ascii="Arial" w:hAnsi="Arial" w:cs="Arial"/>
                <w:b/>
                <w:color w:val="FFFFFF"/>
                <w:sz w:val="20"/>
                <w:szCs w:val="20"/>
              </w:rPr>
            </w:pPr>
            <w:r w:rsidRPr="00821E7A">
              <w:rPr>
                <w:rFonts w:ascii="Arial" w:hAnsi="Arial" w:cs="Arial"/>
                <w:b/>
                <w:color w:val="FFFFFF"/>
                <w:sz w:val="20"/>
                <w:szCs w:val="20"/>
              </w:rPr>
              <w:t>Severe VSL</w:t>
            </w:r>
          </w:p>
        </w:tc>
      </w:tr>
      <w:tr w:rsidR="00386F36" w:rsidRPr="00821E7A" w:rsidTr="00386F36">
        <w:tc>
          <w:tcPr>
            <w:tcW w:w="573" w:type="dxa"/>
          </w:tcPr>
          <w:p w:rsidR="007F7B4B" w:rsidRPr="00821E7A" w:rsidRDefault="007F7B4B" w:rsidP="007F7B4B">
            <w:pPr>
              <w:pStyle w:val="ListNumber"/>
              <w:numPr>
                <w:ilvl w:val="0"/>
                <w:numId w:val="0"/>
              </w:numPr>
              <w:spacing w:before="120"/>
              <w:rPr>
                <w:b/>
                <w:sz w:val="22"/>
                <w:szCs w:val="22"/>
              </w:rPr>
            </w:pPr>
            <w:r w:rsidRPr="00821E7A">
              <w:rPr>
                <w:b/>
                <w:sz w:val="22"/>
                <w:szCs w:val="22"/>
              </w:rPr>
              <w:t>R1</w:t>
            </w:r>
          </w:p>
        </w:tc>
        <w:tc>
          <w:tcPr>
            <w:tcW w:w="1445" w:type="dxa"/>
          </w:tcPr>
          <w:p w:rsidR="007F7B4B" w:rsidRPr="00821E7A" w:rsidRDefault="007F7B4B" w:rsidP="00386F36">
            <w:pPr>
              <w:pStyle w:val="ListNumber"/>
              <w:numPr>
                <w:ilvl w:val="0"/>
                <w:numId w:val="0"/>
              </w:numPr>
              <w:tabs>
                <w:tab w:val="clear" w:pos="2160"/>
              </w:tabs>
              <w:spacing w:before="120"/>
              <w:rPr>
                <w:b/>
                <w:sz w:val="22"/>
                <w:szCs w:val="22"/>
              </w:rPr>
            </w:pPr>
          </w:p>
        </w:tc>
        <w:tc>
          <w:tcPr>
            <w:tcW w:w="1019" w:type="dxa"/>
          </w:tcPr>
          <w:p w:rsidR="007F7B4B" w:rsidRPr="00821E7A" w:rsidRDefault="007F7B4B" w:rsidP="007F7B4B">
            <w:pPr>
              <w:pStyle w:val="ListNumber"/>
              <w:numPr>
                <w:ilvl w:val="0"/>
                <w:numId w:val="0"/>
              </w:numPr>
              <w:spacing w:before="120"/>
              <w:rPr>
                <w:b/>
                <w:sz w:val="22"/>
                <w:szCs w:val="22"/>
              </w:rPr>
            </w:pPr>
          </w:p>
        </w:tc>
        <w:tc>
          <w:tcPr>
            <w:tcW w:w="2480"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r>
      <w:tr w:rsidR="00386F36" w:rsidRPr="00821E7A" w:rsidTr="00386F36">
        <w:tc>
          <w:tcPr>
            <w:tcW w:w="573" w:type="dxa"/>
          </w:tcPr>
          <w:p w:rsidR="007F7B4B" w:rsidRPr="00821E7A" w:rsidRDefault="007F7B4B" w:rsidP="007F7B4B">
            <w:pPr>
              <w:pStyle w:val="ListNumber"/>
              <w:numPr>
                <w:ilvl w:val="0"/>
                <w:numId w:val="0"/>
              </w:numPr>
              <w:spacing w:before="120"/>
              <w:rPr>
                <w:b/>
                <w:sz w:val="22"/>
                <w:szCs w:val="22"/>
              </w:rPr>
            </w:pPr>
            <w:r w:rsidRPr="00821E7A">
              <w:rPr>
                <w:b/>
                <w:sz w:val="22"/>
                <w:szCs w:val="22"/>
              </w:rPr>
              <w:t>R2</w:t>
            </w:r>
          </w:p>
        </w:tc>
        <w:tc>
          <w:tcPr>
            <w:tcW w:w="1445" w:type="dxa"/>
          </w:tcPr>
          <w:p w:rsidR="007F7B4B" w:rsidRPr="00821E7A" w:rsidRDefault="007F7B4B" w:rsidP="007F7B4B">
            <w:pPr>
              <w:pStyle w:val="ListNumber"/>
              <w:numPr>
                <w:ilvl w:val="0"/>
                <w:numId w:val="0"/>
              </w:numPr>
              <w:spacing w:before="120"/>
              <w:rPr>
                <w:b/>
                <w:sz w:val="22"/>
                <w:szCs w:val="22"/>
              </w:rPr>
            </w:pPr>
          </w:p>
        </w:tc>
        <w:tc>
          <w:tcPr>
            <w:tcW w:w="1019" w:type="dxa"/>
          </w:tcPr>
          <w:p w:rsidR="007F7B4B" w:rsidRPr="00821E7A" w:rsidRDefault="007F7B4B" w:rsidP="007F7B4B">
            <w:pPr>
              <w:pStyle w:val="ListNumber"/>
              <w:numPr>
                <w:ilvl w:val="0"/>
                <w:numId w:val="0"/>
              </w:numPr>
              <w:spacing w:before="120"/>
              <w:rPr>
                <w:b/>
                <w:sz w:val="22"/>
                <w:szCs w:val="22"/>
              </w:rPr>
            </w:pPr>
          </w:p>
        </w:tc>
        <w:tc>
          <w:tcPr>
            <w:tcW w:w="2480"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r>
      <w:tr w:rsidR="00386F36" w:rsidRPr="00821E7A" w:rsidTr="00386F36">
        <w:tc>
          <w:tcPr>
            <w:tcW w:w="573" w:type="dxa"/>
          </w:tcPr>
          <w:p w:rsidR="007F7B4B" w:rsidRPr="00821E7A" w:rsidRDefault="007F7B4B" w:rsidP="007F7B4B">
            <w:pPr>
              <w:pStyle w:val="ListNumber"/>
              <w:numPr>
                <w:ilvl w:val="0"/>
                <w:numId w:val="0"/>
              </w:numPr>
              <w:spacing w:before="120"/>
              <w:rPr>
                <w:b/>
                <w:sz w:val="22"/>
                <w:szCs w:val="22"/>
              </w:rPr>
            </w:pPr>
            <w:r w:rsidRPr="00821E7A">
              <w:rPr>
                <w:b/>
                <w:sz w:val="22"/>
                <w:szCs w:val="22"/>
              </w:rPr>
              <w:t>R3</w:t>
            </w:r>
          </w:p>
        </w:tc>
        <w:tc>
          <w:tcPr>
            <w:tcW w:w="1445" w:type="dxa"/>
          </w:tcPr>
          <w:p w:rsidR="007F7B4B" w:rsidRPr="00821E7A" w:rsidRDefault="007F7B4B" w:rsidP="007F7B4B">
            <w:pPr>
              <w:pStyle w:val="ListNumber"/>
              <w:numPr>
                <w:ilvl w:val="0"/>
                <w:numId w:val="0"/>
              </w:numPr>
              <w:spacing w:before="120"/>
              <w:rPr>
                <w:b/>
                <w:sz w:val="22"/>
                <w:szCs w:val="22"/>
              </w:rPr>
            </w:pPr>
          </w:p>
        </w:tc>
        <w:tc>
          <w:tcPr>
            <w:tcW w:w="1019" w:type="dxa"/>
          </w:tcPr>
          <w:p w:rsidR="007F7B4B" w:rsidRPr="00821E7A" w:rsidRDefault="007F7B4B" w:rsidP="007F7B4B">
            <w:pPr>
              <w:pStyle w:val="ListNumber"/>
              <w:numPr>
                <w:ilvl w:val="0"/>
                <w:numId w:val="0"/>
              </w:numPr>
              <w:spacing w:before="120"/>
              <w:rPr>
                <w:b/>
                <w:sz w:val="22"/>
                <w:szCs w:val="22"/>
              </w:rPr>
            </w:pPr>
          </w:p>
        </w:tc>
        <w:tc>
          <w:tcPr>
            <w:tcW w:w="2480"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c>
          <w:tcPr>
            <w:tcW w:w="2481" w:type="dxa"/>
          </w:tcPr>
          <w:p w:rsidR="007F7B4B" w:rsidRPr="00821E7A" w:rsidRDefault="007F7B4B" w:rsidP="007F7B4B">
            <w:pPr>
              <w:pStyle w:val="ListNumber"/>
              <w:numPr>
                <w:ilvl w:val="0"/>
                <w:numId w:val="0"/>
              </w:numPr>
              <w:spacing w:before="120"/>
              <w:rPr>
                <w:b/>
                <w:sz w:val="22"/>
                <w:szCs w:val="22"/>
              </w:rPr>
            </w:pPr>
          </w:p>
        </w:tc>
      </w:tr>
      <w:tr w:rsidR="00341BEF" w:rsidRPr="00821E7A" w:rsidTr="00386F36">
        <w:tc>
          <w:tcPr>
            <w:tcW w:w="573" w:type="dxa"/>
          </w:tcPr>
          <w:p w:rsidR="00341BEF" w:rsidRPr="00821E7A" w:rsidRDefault="00341BEF" w:rsidP="007F7B4B">
            <w:pPr>
              <w:pStyle w:val="ListNumber"/>
              <w:numPr>
                <w:ilvl w:val="0"/>
                <w:numId w:val="0"/>
              </w:numPr>
              <w:spacing w:before="120"/>
              <w:rPr>
                <w:b/>
                <w:sz w:val="22"/>
                <w:szCs w:val="22"/>
              </w:rPr>
            </w:pPr>
            <w:r w:rsidRPr="00821E7A">
              <w:rPr>
                <w:b/>
                <w:sz w:val="22"/>
                <w:szCs w:val="22"/>
              </w:rPr>
              <w:t>R4</w:t>
            </w:r>
          </w:p>
        </w:tc>
        <w:tc>
          <w:tcPr>
            <w:tcW w:w="1445" w:type="dxa"/>
          </w:tcPr>
          <w:p w:rsidR="00341BEF" w:rsidRPr="00821E7A" w:rsidRDefault="00341BEF" w:rsidP="007F7B4B">
            <w:pPr>
              <w:pStyle w:val="ListNumber"/>
              <w:numPr>
                <w:ilvl w:val="0"/>
                <w:numId w:val="0"/>
              </w:numPr>
              <w:spacing w:before="120"/>
              <w:rPr>
                <w:b/>
                <w:sz w:val="22"/>
                <w:szCs w:val="22"/>
              </w:rPr>
            </w:pPr>
          </w:p>
        </w:tc>
        <w:tc>
          <w:tcPr>
            <w:tcW w:w="1019" w:type="dxa"/>
          </w:tcPr>
          <w:p w:rsidR="00341BEF" w:rsidRPr="00821E7A" w:rsidRDefault="00341BEF" w:rsidP="007F7B4B">
            <w:pPr>
              <w:pStyle w:val="ListNumber"/>
              <w:numPr>
                <w:ilvl w:val="0"/>
                <w:numId w:val="0"/>
              </w:numPr>
              <w:spacing w:before="120"/>
              <w:rPr>
                <w:b/>
                <w:sz w:val="22"/>
                <w:szCs w:val="22"/>
              </w:rPr>
            </w:pPr>
          </w:p>
        </w:tc>
        <w:tc>
          <w:tcPr>
            <w:tcW w:w="2480" w:type="dxa"/>
          </w:tcPr>
          <w:p w:rsidR="00341BEF" w:rsidRPr="00821E7A" w:rsidRDefault="00341BEF" w:rsidP="007F7B4B">
            <w:pPr>
              <w:pStyle w:val="ListNumber"/>
              <w:numPr>
                <w:ilvl w:val="0"/>
                <w:numId w:val="0"/>
              </w:numPr>
              <w:spacing w:before="120"/>
              <w:rPr>
                <w:b/>
                <w:sz w:val="22"/>
                <w:szCs w:val="22"/>
              </w:rPr>
            </w:pPr>
          </w:p>
        </w:tc>
        <w:tc>
          <w:tcPr>
            <w:tcW w:w="2481" w:type="dxa"/>
          </w:tcPr>
          <w:p w:rsidR="00341BEF" w:rsidRPr="00821E7A" w:rsidRDefault="00341BEF" w:rsidP="007F7B4B">
            <w:pPr>
              <w:pStyle w:val="ListNumber"/>
              <w:numPr>
                <w:ilvl w:val="0"/>
                <w:numId w:val="0"/>
              </w:numPr>
              <w:spacing w:before="120"/>
              <w:rPr>
                <w:b/>
                <w:sz w:val="22"/>
                <w:szCs w:val="22"/>
              </w:rPr>
            </w:pPr>
          </w:p>
        </w:tc>
        <w:tc>
          <w:tcPr>
            <w:tcW w:w="2481" w:type="dxa"/>
          </w:tcPr>
          <w:p w:rsidR="00341BEF" w:rsidRPr="00821E7A" w:rsidRDefault="00341BEF" w:rsidP="007F7B4B">
            <w:pPr>
              <w:pStyle w:val="ListNumber"/>
              <w:numPr>
                <w:ilvl w:val="0"/>
                <w:numId w:val="0"/>
              </w:numPr>
              <w:spacing w:before="120"/>
              <w:rPr>
                <w:b/>
                <w:sz w:val="22"/>
                <w:szCs w:val="22"/>
              </w:rPr>
            </w:pPr>
          </w:p>
        </w:tc>
        <w:tc>
          <w:tcPr>
            <w:tcW w:w="2481" w:type="dxa"/>
          </w:tcPr>
          <w:p w:rsidR="00341BEF" w:rsidRPr="00821E7A" w:rsidRDefault="00341BEF" w:rsidP="007F7B4B">
            <w:pPr>
              <w:pStyle w:val="ListNumber"/>
              <w:numPr>
                <w:ilvl w:val="0"/>
                <w:numId w:val="0"/>
              </w:numPr>
              <w:spacing w:before="120"/>
              <w:rPr>
                <w:b/>
                <w:sz w:val="22"/>
                <w:szCs w:val="22"/>
              </w:rPr>
            </w:pPr>
          </w:p>
        </w:tc>
      </w:tr>
      <w:tr w:rsidR="00E02C90" w:rsidRPr="00821E7A" w:rsidTr="00386F36">
        <w:tc>
          <w:tcPr>
            <w:tcW w:w="573" w:type="dxa"/>
          </w:tcPr>
          <w:p w:rsidR="00E02C90" w:rsidRPr="00821E7A" w:rsidRDefault="00E02C90" w:rsidP="007F7B4B">
            <w:pPr>
              <w:pStyle w:val="ListNumber"/>
              <w:numPr>
                <w:ilvl w:val="0"/>
                <w:numId w:val="0"/>
              </w:numPr>
              <w:spacing w:before="120"/>
              <w:rPr>
                <w:b/>
                <w:sz w:val="22"/>
                <w:szCs w:val="22"/>
              </w:rPr>
            </w:pPr>
            <w:r w:rsidRPr="00821E7A">
              <w:rPr>
                <w:b/>
                <w:sz w:val="22"/>
                <w:szCs w:val="22"/>
              </w:rPr>
              <w:t>R5</w:t>
            </w:r>
          </w:p>
        </w:tc>
        <w:tc>
          <w:tcPr>
            <w:tcW w:w="1445" w:type="dxa"/>
          </w:tcPr>
          <w:p w:rsidR="00E02C90" w:rsidRPr="00821E7A" w:rsidRDefault="00E02C90" w:rsidP="007F7B4B">
            <w:pPr>
              <w:pStyle w:val="ListNumber"/>
              <w:numPr>
                <w:ilvl w:val="0"/>
                <w:numId w:val="0"/>
              </w:numPr>
              <w:spacing w:before="120"/>
              <w:rPr>
                <w:b/>
                <w:sz w:val="22"/>
                <w:szCs w:val="22"/>
              </w:rPr>
            </w:pPr>
          </w:p>
        </w:tc>
        <w:tc>
          <w:tcPr>
            <w:tcW w:w="1019" w:type="dxa"/>
          </w:tcPr>
          <w:p w:rsidR="00E02C90" w:rsidRPr="00821E7A" w:rsidRDefault="00E02C90" w:rsidP="007F7B4B">
            <w:pPr>
              <w:pStyle w:val="ListNumber"/>
              <w:numPr>
                <w:ilvl w:val="0"/>
                <w:numId w:val="0"/>
              </w:numPr>
              <w:spacing w:before="120"/>
              <w:rPr>
                <w:b/>
                <w:sz w:val="22"/>
                <w:szCs w:val="22"/>
              </w:rPr>
            </w:pPr>
          </w:p>
        </w:tc>
        <w:tc>
          <w:tcPr>
            <w:tcW w:w="2480" w:type="dxa"/>
          </w:tcPr>
          <w:p w:rsidR="00E02C90" w:rsidRPr="00821E7A" w:rsidRDefault="00E02C90" w:rsidP="007F7B4B">
            <w:pPr>
              <w:pStyle w:val="ListNumber"/>
              <w:numPr>
                <w:ilvl w:val="0"/>
                <w:numId w:val="0"/>
              </w:numPr>
              <w:spacing w:before="120"/>
              <w:rPr>
                <w:b/>
                <w:sz w:val="22"/>
                <w:szCs w:val="22"/>
              </w:rPr>
            </w:pPr>
          </w:p>
        </w:tc>
        <w:tc>
          <w:tcPr>
            <w:tcW w:w="2481" w:type="dxa"/>
          </w:tcPr>
          <w:p w:rsidR="00E02C90" w:rsidRPr="00821E7A" w:rsidRDefault="00E02C90" w:rsidP="007F7B4B">
            <w:pPr>
              <w:pStyle w:val="ListNumber"/>
              <w:numPr>
                <w:ilvl w:val="0"/>
                <w:numId w:val="0"/>
              </w:numPr>
              <w:spacing w:before="120"/>
              <w:rPr>
                <w:b/>
                <w:sz w:val="22"/>
                <w:szCs w:val="22"/>
              </w:rPr>
            </w:pPr>
          </w:p>
        </w:tc>
        <w:tc>
          <w:tcPr>
            <w:tcW w:w="2481" w:type="dxa"/>
          </w:tcPr>
          <w:p w:rsidR="00E02C90" w:rsidRPr="00821E7A" w:rsidRDefault="00E02C90" w:rsidP="007F7B4B">
            <w:pPr>
              <w:pStyle w:val="ListNumber"/>
              <w:numPr>
                <w:ilvl w:val="0"/>
                <w:numId w:val="0"/>
              </w:numPr>
              <w:spacing w:before="120"/>
              <w:rPr>
                <w:b/>
                <w:sz w:val="22"/>
                <w:szCs w:val="22"/>
              </w:rPr>
            </w:pPr>
          </w:p>
        </w:tc>
        <w:tc>
          <w:tcPr>
            <w:tcW w:w="2481" w:type="dxa"/>
          </w:tcPr>
          <w:p w:rsidR="00E02C90" w:rsidRPr="00821E7A" w:rsidRDefault="00E02C90" w:rsidP="007F7B4B">
            <w:pPr>
              <w:pStyle w:val="ListNumber"/>
              <w:numPr>
                <w:ilvl w:val="0"/>
                <w:numId w:val="0"/>
              </w:numPr>
              <w:spacing w:before="120"/>
              <w:rPr>
                <w:b/>
                <w:sz w:val="22"/>
                <w:szCs w:val="22"/>
              </w:rPr>
            </w:pPr>
          </w:p>
        </w:tc>
      </w:tr>
    </w:tbl>
    <w:p w:rsidR="00F12542" w:rsidRPr="00821E7A" w:rsidRDefault="00F12542" w:rsidP="00F12542">
      <w:pPr>
        <w:pStyle w:val="ListNumber"/>
        <w:numPr>
          <w:ilvl w:val="0"/>
          <w:numId w:val="0"/>
        </w:numPr>
        <w:ind w:left="360"/>
        <w:rPr>
          <w:b/>
        </w:rPr>
      </w:pPr>
    </w:p>
    <w:p w:rsidR="009C2375" w:rsidRPr="00821E7A" w:rsidRDefault="009C2375" w:rsidP="009C2375">
      <w:pPr>
        <w:pStyle w:val="Section"/>
        <w:rPr>
          <w:color w:val="264D74"/>
        </w:rPr>
      </w:pPr>
      <w:r w:rsidRPr="00821E7A">
        <w:rPr>
          <w:color w:val="264D74"/>
        </w:rPr>
        <w:t xml:space="preserve">Regional </w:t>
      </w:r>
      <w:r w:rsidR="001E5878" w:rsidRPr="00821E7A">
        <w:rPr>
          <w:color w:val="264D74"/>
        </w:rPr>
        <w:t>Variances</w:t>
      </w:r>
    </w:p>
    <w:p w:rsidR="009C2375" w:rsidRPr="00821E7A" w:rsidRDefault="009C2375" w:rsidP="00372401">
      <w:pPr>
        <w:pStyle w:val="ListNumber"/>
        <w:numPr>
          <w:ilvl w:val="0"/>
          <w:numId w:val="0"/>
        </w:numPr>
        <w:ind w:left="360"/>
      </w:pPr>
      <w:r w:rsidRPr="00821E7A">
        <w:t>None</w:t>
      </w:r>
      <w:r w:rsidR="005523BA" w:rsidRPr="00821E7A">
        <w:t>.</w:t>
      </w:r>
    </w:p>
    <w:p w:rsidR="007F7B4B" w:rsidRPr="00821E7A" w:rsidRDefault="007F7B4B" w:rsidP="005523BA">
      <w:pPr>
        <w:pStyle w:val="Section"/>
        <w:rPr>
          <w:color w:val="264D74"/>
        </w:rPr>
      </w:pPr>
      <w:r w:rsidRPr="00821E7A">
        <w:rPr>
          <w:color w:val="264D74"/>
        </w:rPr>
        <w:t>Interpretations</w:t>
      </w:r>
    </w:p>
    <w:p w:rsidR="007F7B4B" w:rsidRPr="00821E7A" w:rsidRDefault="007F7B4B" w:rsidP="007F7B4B">
      <w:pPr>
        <w:pStyle w:val="ListNumber"/>
        <w:numPr>
          <w:ilvl w:val="0"/>
          <w:numId w:val="0"/>
        </w:numPr>
        <w:ind w:left="360"/>
      </w:pPr>
      <w:r w:rsidRPr="00821E7A">
        <w:t>None.</w:t>
      </w:r>
    </w:p>
    <w:p w:rsidR="005523BA" w:rsidRPr="00821E7A" w:rsidRDefault="005523BA" w:rsidP="005523BA">
      <w:pPr>
        <w:pStyle w:val="Section"/>
        <w:rPr>
          <w:color w:val="264D74"/>
        </w:rPr>
      </w:pPr>
      <w:r w:rsidRPr="00821E7A">
        <w:rPr>
          <w:color w:val="264D74"/>
        </w:rPr>
        <w:t>Associated Documents</w:t>
      </w:r>
    </w:p>
    <w:p w:rsidR="007F7B4B" w:rsidRPr="00821E7A" w:rsidRDefault="007F7B4B" w:rsidP="007F7B4B">
      <w:pPr>
        <w:pStyle w:val="ListNumber"/>
        <w:numPr>
          <w:ilvl w:val="0"/>
          <w:numId w:val="0"/>
        </w:numPr>
        <w:ind w:left="360"/>
      </w:pPr>
      <w:r w:rsidRPr="00821E7A">
        <w:t>None.</w:t>
      </w:r>
    </w:p>
    <w:p w:rsidR="007F7B4B" w:rsidRPr="00821E7A" w:rsidRDefault="007F7B4B" w:rsidP="007844D2">
      <w:pPr>
        <w:pStyle w:val="Requirement"/>
        <w:numPr>
          <w:ilvl w:val="0"/>
          <w:numId w:val="0"/>
        </w:numPr>
        <w:sectPr w:rsidR="007F7B4B" w:rsidRPr="00821E7A" w:rsidSect="007F7B4B">
          <w:footerReference w:type="default" r:id="rId9"/>
          <w:pgSz w:w="15840" w:h="12240" w:orient="landscape"/>
          <w:pgMar w:top="1440" w:right="1440" w:bottom="1440" w:left="1440" w:header="720" w:footer="720" w:gutter="0"/>
          <w:cols w:space="720"/>
          <w:docGrid w:linePitch="360"/>
        </w:sectPr>
      </w:pPr>
    </w:p>
    <w:p w:rsidR="007F7B4B" w:rsidRPr="00821E7A" w:rsidRDefault="007F7B4B" w:rsidP="007F7B4B">
      <w:pPr>
        <w:pStyle w:val="Section"/>
        <w:numPr>
          <w:ilvl w:val="0"/>
          <w:numId w:val="0"/>
        </w:numPr>
        <w:rPr>
          <w:color w:val="264D74"/>
        </w:rPr>
      </w:pPr>
      <w:r w:rsidRPr="00821E7A">
        <w:rPr>
          <w:color w:val="264D74"/>
        </w:rPr>
        <w:lastRenderedPageBreak/>
        <w:t>Guidelines and Technical Basis</w:t>
      </w:r>
    </w:p>
    <w:p w:rsidR="007F7B4B" w:rsidRPr="00821E7A" w:rsidRDefault="007F7B4B" w:rsidP="007844D2">
      <w:pPr>
        <w:pStyle w:val="Requirement"/>
        <w:numPr>
          <w:ilvl w:val="0"/>
          <w:numId w:val="0"/>
        </w:numPr>
      </w:pPr>
    </w:p>
    <w:p w:rsidR="007F7B4B" w:rsidRPr="00821E7A" w:rsidRDefault="007F7B4B" w:rsidP="007844D2">
      <w:pPr>
        <w:pStyle w:val="Requirement"/>
        <w:numPr>
          <w:ilvl w:val="0"/>
          <w:numId w:val="0"/>
        </w:numPr>
        <w:rPr>
          <w:b/>
        </w:rPr>
      </w:pPr>
      <w:r w:rsidRPr="00821E7A">
        <w:rPr>
          <w:b/>
        </w:rPr>
        <w:t xml:space="preserve">Requirement R1: </w:t>
      </w:r>
    </w:p>
    <w:p w:rsidR="007F7B4B" w:rsidRPr="00821E7A" w:rsidRDefault="007F7B4B" w:rsidP="007844D2">
      <w:pPr>
        <w:pStyle w:val="Requirement"/>
        <w:numPr>
          <w:ilvl w:val="0"/>
          <w:numId w:val="0"/>
        </w:numPr>
      </w:pPr>
    </w:p>
    <w:p w:rsidR="007F7B4B" w:rsidRPr="00821E7A" w:rsidRDefault="007F7B4B" w:rsidP="007844D2">
      <w:pPr>
        <w:pStyle w:val="Requirement"/>
        <w:numPr>
          <w:ilvl w:val="0"/>
          <w:numId w:val="0"/>
        </w:numPr>
        <w:rPr>
          <w:b/>
        </w:rPr>
      </w:pPr>
      <w:r w:rsidRPr="00821E7A">
        <w:rPr>
          <w:b/>
        </w:rPr>
        <w:t xml:space="preserve">Requirement R2: </w:t>
      </w:r>
    </w:p>
    <w:p w:rsidR="007F7B4B" w:rsidRPr="00821E7A" w:rsidRDefault="007F7B4B" w:rsidP="007844D2">
      <w:pPr>
        <w:pStyle w:val="Requirement"/>
        <w:numPr>
          <w:ilvl w:val="0"/>
          <w:numId w:val="0"/>
        </w:numPr>
      </w:pPr>
    </w:p>
    <w:p w:rsidR="007F7B4B" w:rsidRPr="007F7B4B" w:rsidRDefault="007F7B4B" w:rsidP="007844D2">
      <w:pPr>
        <w:pStyle w:val="Requirement"/>
        <w:numPr>
          <w:ilvl w:val="0"/>
          <w:numId w:val="0"/>
        </w:numPr>
        <w:rPr>
          <w:b/>
        </w:rPr>
      </w:pPr>
      <w:r w:rsidRPr="00821E7A">
        <w:rPr>
          <w:b/>
        </w:rPr>
        <w:t>Requirement R3:</w:t>
      </w:r>
    </w:p>
    <w:sectPr w:rsidR="007F7B4B" w:rsidRPr="007F7B4B" w:rsidSect="007F7B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ED0" w:rsidRDefault="008F4ED0">
      <w:r>
        <w:separator/>
      </w:r>
    </w:p>
  </w:endnote>
  <w:endnote w:type="continuationSeparator" w:id="0">
    <w:p w:rsidR="008F4ED0" w:rsidRDefault="008F4E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D0" w:rsidRDefault="00EF4A99"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Draft 1</w:t>
    </w:r>
    <w:r w:rsidR="008F4ED0">
      <w:t xml:space="preserve">: </w:t>
    </w:r>
    <w:r w:rsidR="00C163EE">
      <w:t xml:space="preserve">April </w:t>
    </w:r>
    <w:r w:rsidR="00307F97">
      <w:t>18</w:t>
    </w:r>
    <w:r w:rsidR="00C163EE">
      <w:t>, 2013</w:t>
    </w:r>
    <w:r w:rsidR="008F4ED0">
      <w:t xml:space="preserve"> </w:t>
    </w:r>
    <w:r w:rsidR="008F4ED0">
      <w:tab/>
      <w:t xml:space="preserve">Page </w:t>
    </w:r>
    <w:r w:rsidR="009C641C">
      <w:rPr>
        <w:rStyle w:val="PageNumber"/>
      </w:rPr>
      <w:fldChar w:fldCharType="begin"/>
    </w:r>
    <w:r w:rsidR="008F4ED0">
      <w:rPr>
        <w:rStyle w:val="PageNumber"/>
      </w:rPr>
      <w:instrText xml:space="preserve"> PAGE </w:instrText>
    </w:r>
    <w:r w:rsidR="009C641C">
      <w:rPr>
        <w:rStyle w:val="PageNumber"/>
      </w:rPr>
      <w:fldChar w:fldCharType="separate"/>
    </w:r>
    <w:r w:rsidR="00307F97">
      <w:rPr>
        <w:rStyle w:val="PageNumber"/>
        <w:noProof/>
      </w:rPr>
      <w:t>6</w:t>
    </w:r>
    <w:r w:rsidR="009C641C">
      <w:rPr>
        <w:rStyle w:val="PageNumber"/>
      </w:rPr>
      <w:fldChar w:fldCharType="end"/>
    </w:r>
    <w:r w:rsidR="008F4ED0">
      <w:rPr>
        <w:rStyle w:val="PageNumber"/>
      </w:rPr>
      <w:t xml:space="preserve"> of </w:t>
    </w:r>
    <w:r w:rsidR="009C641C">
      <w:rPr>
        <w:rStyle w:val="PageNumber"/>
      </w:rPr>
      <w:fldChar w:fldCharType="begin"/>
    </w:r>
    <w:r w:rsidR="008F4ED0">
      <w:rPr>
        <w:rStyle w:val="PageNumber"/>
      </w:rPr>
      <w:instrText xml:space="preserve"> NUMPAGES </w:instrText>
    </w:r>
    <w:r w:rsidR="009C641C">
      <w:rPr>
        <w:rStyle w:val="PageNumber"/>
      </w:rPr>
      <w:fldChar w:fldCharType="separate"/>
    </w:r>
    <w:r w:rsidR="00307F97">
      <w:rPr>
        <w:rStyle w:val="PageNumber"/>
        <w:noProof/>
      </w:rPr>
      <w:t>8</w:t>
    </w:r>
    <w:r w:rsidR="009C641C">
      <w:rPr>
        <w:rStyle w:val="PageNumber"/>
      </w:rPr>
      <w:fldChar w:fldCharType="end"/>
    </w:r>
    <w:r w:rsidR="008F4ED0">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D0" w:rsidRDefault="008F4ED0"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 </w:t>
    </w:r>
    <w:r w:rsidR="00307F97">
      <w:t>April 18, 2013</w:t>
    </w:r>
    <w:r>
      <w:t xml:space="preserve">  </w:t>
    </w:r>
    <w:r>
      <w:tab/>
      <w:t xml:space="preserve">Page </w:t>
    </w:r>
    <w:r w:rsidR="009C641C">
      <w:rPr>
        <w:rStyle w:val="PageNumber"/>
      </w:rPr>
      <w:fldChar w:fldCharType="begin"/>
    </w:r>
    <w:r>
      <w:rPr>
        <w:rStyle w:val="PageNumber"/>
      </w:rPr>
      <w:instrText xml:space="preserve"> PAGE </w:instrText>
    </w:r>
    <w:r w:rsidR="009C641C">
      <w:rPr>
        <w:rStyle w:val="PageNumber"/>
      </w:rPr>
      <w:fldChar w:fldCharType="separate"/>
    </w:r>
    <w:r w:rsidR="00307F97">
      <w:rPr>
        <w:rStyle w:val="PageNumber"/>
        <w:noProof/>
      </w:rPr>
      <w:t>7</w:t>
    </w:r>
    <w:r w:rsidR="009C641C">
      <w:rPr>
        <w:rStyle w:val="PageNumber"/>
      </w:rPr>
      <w:fldChar w:fldCharType="end"/>
    </w:r>
    <w:r>
      <w:rPr>
        <w:rStyle w:val="PageNumber"/>
      </w:rPr>
      <w:t xml:space="preserve"> of </w:t>
    </w:r>
    <w:r w:rsidR="009C641C">
      <w:rPr>
        <w:rStyle w:val="PageNumber"/>
      </w:rPr>
      <w:fldChar w:fldCharType="begin"/>
    </w:r>
    <w:r>
      <w:rPr>
        <w:rStyle w:val="PageNumber"/>
      </w:rPr>
      <w:instrText xml:space="preserve"> NUMPAGES </w:instrText>
    </w:r>
    <w:r w:rsidR="009C641C">
      <w:rPr>
        <w:rStyle w:val="PageNumber"/>
      </w:rPr>
      <w:fldChar w:fldCharType="separate"/>
    </w:r>
    <w:r w:rsidR="00307F97">
      <w:rPr>
        <w:rStyle w:val="PageNumber"/>
        <w:noProof/>
      </w:rPr>
      <w:t>8</w:t>
    </w:r>
    <w:r w:rsidR="009C641C">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D0" w:rsidRDefault="008F4ED0" w:rsidP="00386F36">
    <w:pPr>
      <w:pStyle w:val="Footer"/>
      <w:pBdr>
        <w:top w:val="none" w:sz="0" w:space="0" w:color="auto"/>
      </w:pBdr>
      <w:tabs>
        <w:tab w:val="clear" w:pos="4320"/>
        <w:tab w:val="clear" w:pos="8640"/>
        <w:tab w:val="center" w:pos="9270"/>
        <w:tab w:val="right" w:pos="12960"/>
      </w:tabs>
      <w:spacing w:before="0" w:after="0"/>
      <w:rPr>
        <w:rStyle w:val="PageNumber"/>
      </w:rPr>
    </w:pPr>
    <w:r>
      <w:t xml:space="preserve">Draft </w:t>
    </w:r>
    <w:r w:rsidR="00EF4A99">
      <w:t>1</w:t>
    </w:r>
    <w:r>
      <w:t xml:space="preserve">: </w:t>
    </w:r>
    <w:r w:rsidR="00EF4A99">
      <w:t>May 31, 2010</w:t>
    </w:r>
    <w:r>
      <w:tab/>
      <w:t xml:space="preserve">Page </w:t>
    </w:r>
    <w:r w:rsidR="009C641C">
      <w:rPr>
        <w:rStyle w:val="PageNumber"/>
      </w:rPr>
      <w:fldChar w:fldCharType="begin"/>
    </w:r>
    <w:r>
      <w:rPr>
        <w:rStyle w:val="PageNumber"/>
      </w:rPr>
      <w:instrText xml:space="preserve"> PAGE </w:instrText>
    </w:r>
    <w:r w:rsidR="009C641C">
      <w:rPr>
        <w:rStyle w:val="PageNumber"/>
      </w:rPr>
      <w:fldChar w:fldCharType="separate"/>
    </w:r>
    <w:r w:rsidR="00307F97">
      <w:rPr>
        <w:rStyle w:val="PageNumber"/>
        <w:noProof/>
      </w:rPr>
      <w:t>8</w:t>
    </w:r>
    <w:r w:rsidR="009C641C">
      <w:rPr>
        <w:rStyle w:val="PageNumber"/>
      </w:rPr>
      <w:fldChar w:fldCharType="end"/>
    </w:r>
    <w:r>
      <w:rPr>
        <w:rStyle w:val="PageNumber"/>
      </w:rPr>
      <w:t xml:space="preserve"> of </w:t>
    </w:r>
    <w:r w:rsidR="009C641C">
      <w:rPr>
        <w:rStyle w:val="PageNumber"/>
      </w:rPr>
      <w:fldChar w:fldCharType="begin"/>
    </w:r>
    <w:r>
      <w:rPr>
        <w:rStyle w:val="PageNumber"/>
      </w:rPr>
      <w:instrText xml:space="preserve"> NUMPAGES </w:instrText>
    </w:r>
    <w:r w:rsidR="009C641C">
      <w:rPr>
        <w:rStyle w:val="PageNumber"/>
      </w:rPr>
      <w:fldChar w:fldCharType="separate"/>
    </w:r>
    <w:r w:rsidR="00307F97">
      <w:rPr>
        <w:rStyle w:val="PageNumber"/>
        <w:noProof/>
      </w:rPr>
      <w:t>8</w:t>
    </w:r>
    <w:r w:rsidR="009C641C">
      <w:rPr>
        <w:rStyle w:val="PageNumber"/>
      </w:rPr>
      <w:fldChar w:fldCharType="end"/>
    </w:r>
    <w:r>
      <w:rPr>
        <w:rStyle w:val="PageNumber"/>
      </w:rPr>
      <w:tab/>
    </w:r>
  </w:p>
  <w:p w:rsidR="00EF4A99" w:rsidRDefault="00EF4A9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ED0" w:rsidRDefault="008F4ED0">
      <w:r>
        <w:separator/>
      </w:r>
    </w:p>
  </w:footnote>
  <w:footnote w:type="continuationSeparator" w:id="0">
    <w:p w:rsidR="008F4ED0" w:rsidRDefault="008F4ED0">
      <w:r>
        <w:continuationSeparator/>
      </w:r>
    </w:p>
  </w:footnote>
  <w:footnote w:id="1">
    <w:p w:rsidR="00E02C90" w:rsidRDefault="00E02C90" w:rsidP="00E02C90">
      <w:pPr>
        <w:pStyle w:val="FootnoteText"/>
      </w:pPr>
      <w:r>
        <w:rPr>
          <w:rStyle w:val="FootnoteReference"/>
        </w:rPr>
        <w:footnoteRef/>
      </w:r>
      <w:r>
        <w:t xml:space="preserve"> The ERCOT and Hydro Quebec Interconnections have not been included in this requirement, as they are single Balancing Authority Interconnections.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D0" w:rsidRDefault="008F4ED0" w:rsidP="00901427">
    <w:pPr>
      <w:pStyle w:val="Header"/>
      <w:pBdr>
        <w:bottom w:val="single" w:sz="4" w:space="0" w:color="auto"/>
      </w:pBdr>
    </w:pPr>
    <w:r>
      <w:t xml:space="preserve">Standard INT-014-1 </w:t>
    </w:r>
    <w:r>
      <w:rPr>
        <w:rFonts w:hint="eastAsia"/>
      </w:rPr>
      <w:t>—</w:t>
    </w:r>
    <w:r>
      <w:t xml:space="preserve"> Implementation of Pseudo-ties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D0" w:rsidRPr="007F7B4B" w:rsidRDefault="008F4ED0">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540"/>
        </w:tabs>
        <w:ind w:left="111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2"/>
  </w:num>
  <w:num w:numId="10">
    <w:abstractNumId w:val="10"/>
  </w:num>
  <w:num w:numId="11">
    <w:abstractNumId w:val="11"/>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82E43"/>
    <w:rsid w:val="000A02BC"/>
    <w:rsid w:val="000A100D"/>
    <w:rsid w:val="000B7282"/>
    <w:rsid w:val="000C1061"/>
    <w:rsid w:val="000F6A7E"/>
    <w:rsid w:val="0013102A"/>
    <w:rsid w:val="0018350A"/>
    <w:rsid w:val="001A1126"/>
    <w:rsid w:val="001A61DB"/>
    <w:rsid w:val="001C5185"/>
    <w:rsid w:val="001D1F04"/>
    <w:rsid w:val="001E1307"/>
    <w:rsid w:val="001E40D2"/>
    <w:rsid w:val="001E5878"/>
    <w:rsid w:val="0020164E"/>
    <w:rsid w:val="00224637"/>
    <w:rsid w:val="0023786A"/>
    <w:rsid w:val="00253F19"/>
    <w:rsid w:val="002540BA"/>
    <w:rsid w:val="002717CA"/>
    <w:rsid w:val="002774D2"/>
    <w:rsid w:val="002A65A4"/>
    <w:rsid w:val="002B6D4C"/>
    <w:rsid w:val="002C7985"/>
    <w:rsid w:val="002D144E"/>
    <w:rsid w:val="002F3B98"/>
    <w:rsid w:val="00307F97"/>
    <w:rsid w:val="00341BEF"/>
    <w:rsid w:val="00355A23"/>
    <w:rsid w:val="00357B9A"/>
    <w:rsid w:val="00372401"/>
    <w:rsid w:val="00381F9C"/>
    <w:rsid w:val="00386F36"/>
    <w:rsid w:val="003A5706"/>
    <w:rsid w:val="003B7530"/>
    <w:rsid w:val="003C3695"/>
    <w:rsid w:val="003D291F"/>
    <w:rsid w:val="003D7336"/>
    <w:rsid w:val="003E2E3E"/>
    <w:rsid w:val="004368CB"/>
    <w:rsid w:val="00450503"/>
    <w:rsid w:val="004627EC"/>
    <w:rsid w:val="00476E8E"/>
    <w:rsid w:val="00486746"/>
    <w:rsid w:val="00487975"/>
    <w:rsid w:val="004B60E0"/>
    <w:rsid w:val="004D4106"/>
    <w:rsid w:val="004D49F2"/>
    <w:rsid w:val="00511113"/>
    <w:rsid w:val="0051274D"/>
    <w:rsid w:val="0051758D"/>
    <w:rsid w:val="00520864"/>
    <w:rsid w:val="00523A1C"/>
    <w:rsid w:val="0054009D"/>
    <w:rsid w:val="0055118F"/>
    <w:rsid w:val="005523BA"/>
    <w:rsid w:val="00564796"/>
    <w:rsid w:val="005730A6"/>
    <w:rsid w:val="005B09F6"/>
    <w:rsid w:val="005B22B4"/>
    <w:rsid w:val="005F0A19"/>
    <w:rsid w:val="00617E00"/>
    <w:rsid w:val="006242FB"/>
    <w:rsid w:val="00645249"/>
    <w:rsid w:val="006564CE"/>
    <w:rsid w:val="0066353A"/>
    <w:rsid w:val="00672C07"/>
    <w:rsid w:val="00676499"/>
    <w:rsid w:val="006A063C"/>
    <w:rsid w:val="006C3FD2"/>
    <w:rsid w:val="006C44BB"/>
    <w:rsid w:val="006D4521"/>
    <w:rsid w:val="006D5F13"/>
    <w:rsid w:val="006E0BF4"/>
    <w:rsid w:val="00705939"/>
    <w:rsid w:val="007159DB"/>
    <w:rsid w:val="00721EA9"/>
    <w:rsid w:val="007560BE"/>
    <w:rsid w:val="007844D2"/>
    <w:rsid w:val="007A6CDF"/>
    <w:rsid w:val="007B4680"/>
    <w:rsid w:val="007F7B4B"/>
    <w:rsid w:val="00821E7A"/>
    <w:rsid w:val="00826736"/>
    <w:rsid w:val="008434AF"/>
    <w:rsid w:val="00843587"/>
    <w:rsid w:val="008540BC"/>
    <w:rsid w:val="008556D8"/>
    <w:rsid w:val="0088632A"/>
    <w:rsid w:val="008A2211"/>
    <w:rsid w:val="008C49CE"/>
    <w:rsid w:val="008D5EFB"/>
    <w:rsid w:val="008F4ED0"/>
    <w:rsid w:val="008F5B1F"/>
    <w:rsid w:val="008F6E84"/>
    <w:rsid w:val="00901427"/>
    <w:rsid w:val="009015B4"/>
    <w:rsid w:val="009027C8"/>
    <w:rsid w:val="009103D4"/>
    <w:rsid w:val="009619AF"/>
    <w:rsid w:val="00971EDD"/>
    <w:rsid w:val="009A4DBC"/>
    <w:rsid w:val="009B7331"/>
    <w:rsid w:val="009C2375"/>
    <w:rsid w:val="009C2646"/>
    <w:rsid w:val="009C641C"/>
    <w:rsid w:val="009E6830"/>
    <w:rsid w:val="009E7FFA"/>
    <w:rsid w:val="00A036E0"/>
    <w:rsid w:val="00A15913"/>
    <w:rsid w:val="00A233EF"/>
    <w:rsid w:val="00A32728"/>
    <w:rsid w:val="00A32E55"/>
    <w:rsid w:val="00A41318"/>
    <w:rsid w:val="00A428E1"/>
    <w:rsid w:val="00A66DE9"/>
    <w:rsid w:val="00A800DE"/>
    <w:rsid w:val="00A9197A"/>
    <w:rsid w:val="00AC63F2"/>
    <w:rsid w:val="00AD1432"/>
    <w:rsid w:val="00AD7B8C"/>
    <w:rsid w:val="00AE09CA"/>
    <w:rsid w:val="00AE63BB"/>
    <w:rsid w:val="00AF0EFF"/>
    <w:rsid w:val="00B03AE5"/>
    <w:rsid w:val="00B14BB7"/>
    <w:rsid w:val="00B339EB"/>
    <w:rsid w:val="00B365BB"/>
    <w:rsid w:val="00B52FE1"/>
    <w:rsid w:val="00B73DB0"/>
    <w:rsid w:val="00B8344A"/>
    <w:rsid w:val="00B90728"/>
    <w:rsid w:val="00BA4C9B"/>
    <w:rsid w:val="00BC1312"/>
    <w:rsid w:val="00BE7D3B"/>
    <w:rsid w:val="00BF1C59"/>
    <w:rsid w:val="00C163EE"/>
    <w:rsid w:val="00C26898"/>
    <w:rsid w:val="00C70E93"/>
    <w:rsid w:val="00C81534"/>
    <w:rsid w:val="00CC6C44"/>
    <w:rsid w:val="00CE7BCA"/>
    <w:rsid w:val="00CF4BEA"/>
    <w:rsid w:val="00D002FE"/>
    <w:rsid w:val="00D05FCA"/>
    <w:rsid w:val="00D13D7E"/>
    <w:rsid w:val="00D37F12"/>
    <w:rsid w:val="00D81A01"/>
    <w:rsid w:val="00DB26FD"/>
    <w:rsid w:val="00DB3463"/>
    <w:rsid w:val="00DF5FBC"/>
    <w:rsid w:val="00E02C90"/>
    <w:rsid w:val="00E054F2"/>
    <w:rsid w:val="00E1757C"/>
    <w:rsid w:val="00E735F5"/>
    <w:rsid w:val="00E867D0"/>
    <w:rsid w:val="00E917FF"/>
    <w:rsid w:val="00EA7136"/>
    <w:rsid w:val="00EB41F9"/>
    <w:rsid w:val="00EF01A8"/>
    <w:rsid w:val="00EF4A99"/>
    <w:rsid w:val="00EF4F72"/>
    <w:rsid w:val="00EF5D50"/>
    <w:rsid w:val="00EF6C0F"/>
    <w:rsid w:val="00F01474"/>
    <w:rsid w:val="00F12542"/>
    <w:rsid w:val="00F54AAC"/>
    <w:rsid w:val="00F919C4"/>
    <w:rsid w:val="00FA3AE9"/>
    <w:rsid w:val="00FC17BC"/>
    <w:rsid w:val="00FC2240"/>
    <w:rsid w:val="00FD7781"/>
    <w:rsid w:val="00FD7D50"/>
    <w:rsid w:val="00FE0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colormru v:ext="edit" colors="#d3dce9"/>
      <o:colormenu v:ext="edit" fillcolor="#d3dce9"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FootnoteText">
    <w:name w:val="footnote text"/>
    <w:basedOn w:val="Normal"/>
    <w:link w:val="FootnoteTextChar"/>
    <w:rsid w:val="00E02C90"/>
    <w:rPr>
      <w:sz w:val="20"/>
      <w:szCs w:val="20"/>
    </w:rPr>
  </w:style>
  <w:style w:type="character" w:customStyle="1" w:styleId="FootnoteTextChar">
    <w:name w:val="Footnote Text Char"/>
    <w:basedOn w:val="DefaultParagraphFont"/>
    <w:link w:val="FootnoteText"/>
    <w:rsid w:val="00E02C90"/>
  </w:style>
  <w:style w:type="character" w:styleId="FootnoteReference">
    <w:name w:val="footnote reference"/>
    <w:basedOn w:val="DefaultParagraphFont"/>
    <w:rsid w:val="00E02C90"/>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1017</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9</cp:revision>
  <cp:lastPrinted>2013-03-22T16:31:00Z</cp:lastPrinted>
  <dcterms:created xsi:type="dcterms:W3CDTF">2013-04-09T14:52:00Z</dcterms:created>
  <dcterms:modified xsi:type="dcterms:W3CDTF">2013-04-18T15:58:00Z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