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AD" w:rsidRPr="005B17AD" w:rsidRDefault="005B17AD" w:rsidP="00D933A3">
      <w:pPr>
        <w:pStyle w:val="DocumentTitle"/>
        <w:rPr>
          <w:sz w:val="24"/>
          <w:szCs w:val="24"/>
        </w:rPr>
      </w:pPr>
      <w:bookmarkStart w:id="0" w:name="_Toc195946478"/>
      <w:bookmarkStart w:id="1" w:name="_GoBack"/>
      <w:bookmarkEnd w:id="1"/>
    </w:p>
    <w:bookmarkEnd w:id="0"/>
    <w:p w:rsidR="00E70968" w:rsidRPr="00D90ED6" w:rsidRDefault="00E70968" w:rsidP="00E70968">
      <w:pPr>
        <w:pStyle w:val="Title"/>
      </w:pPr>
      <w:r>
        <w:fldChar w:fldCharType="begin"/>
      </w:r>
      <w:r>
        <w:instrText xml:space="preserve"> TITLE   \* MERGEFORMAT </w:instrText>
      </w:r>
      <w:r>
        <w:fldChar w:fldCharType="separate"/>
      </w:r>
      <w:r>
        <w:t>Standards Authorization Request Form</w:t>
      </w:r>
      <w:r>
        <w:fldChar w:fldCharType="end"/>
      </w:r>
    </w:p>
    <w:p w:rsidR="002D7811" w:rsidRDefault="002D7811" w:rsidP="00E70968">
      <w:pPr>
        <w:rPr>
          <w:rFonts w:ascii="Tahoma" w:hAnsi="Tahoma" w:cs="Tahoma"/>
          <w:color w:val="5D85A9" w:themeColor="accent2"/>
        </w:rPr>
      </w:pPr>
      <w:r>
        <w:rPr>
          <w:rFonts w:ascii="Tahoma" w:hAnsi="Tahoma" w:cs="Tahoma"/>
          <w:noProof/>
          <w:color w:val="5D85A9" w:themeColor="accent2"/>
          <w:lang w:bidi="ar-SA"/>
        </w:rPr>
        <mc:AlternateContent>
          <mc:Choice Requires="wps">
            <w:drawing>
              <wp:anchor distT="0" distB="0" distL="114300" distR="114300" simplePos="0" relativeHeight="251658240" behindDoc="1" locked="0" layoutInCell="1" allowOverlap="1" wp14:anchorId="42C7EB3B" wp14:editId="0A98081C">
                <wp:simplePos x="0" y="0"/>
                <wp:positionH relativeFrom="margin">
                  <wp:align>left</wp:align>
                </wp:positionH>
                <wp:positionV relativeFrom="paragraph">
                  <wp:posOffset>36471</wp:posOffset>
                </wp:positionV>
                <wp:extent cx="3049270" cy="1047115"/>
                <wp:effectExtent l="0" t="0" r="55880" b="57785"/>
                <wp:wrapTight wrapText="bothSides">
                  <wp:wrapPolygon edited="0">
                    <wp:start x="0" y="0"/>
                    <wp:lineTo x="0" y="22399"/>
                    <wp:lineTo x="21861" y="22399"/>
                    <wp:lineTo x="21861"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1047115"/>
                        </a:xfrm>
                        <a:prstGeom prst="rect">
                          <a:avLst/>
                        </a:prstGeom>
                        <a:gradFill rotWithShape="1">
                          <a:gsLst>
                            <a:gs pos="0">
                              <a:srgbClr val="D3DCE9"/>
                            </a:gs>
                            <a:gs pos="100000">
                              <a:srgbClr val="D3DCE9">
                                <a:gamma/>
                                <a:tint val="0"/>
                                <a:invGamma/>
                              </a:srgbClr>
                            </a:gs>
                          </a:gsLst>
                          <a:lin ang="5400000" scaled="1"/>
                        </a:gradFill>
                        <a:ln w="9525">
                          <a:solidFill>
                            <a:srgbClr val="000000"/>
                          </a:solidFill>
                          <a:miter lim="800000"/>
                          <a:headEnd/>
                          <a:tailEnd/>
                        </a:ln>
                        <a:effectLst>
                          <a:outerShdw dist="35921" dir="2700000" algn="ctr" rotWithShape="0">
                            <a:srgbClr val="808080"/>
                          </a:outerShdw>
                        </a:effectLst>
                      </wps:spPr>
                      <wps:txbx>
                        <w:txbxContent>
                          <w:p w:rsidR="002D7811" w:rsidRDefault="002D7811" w:rsidP="002D7811">
                            <w:pPr>
                              <w:rPr>
                                <w:rFonts w:ascii="Tahoma" w:hAnsi="Tahoma" w:cs="Tahoma"/>
                                <w:sz w:val="20"/>
                              </w:rPr>
                            </w:pPr>
                            <w:r w:rsidRPr="00AA2B81">
                              <w:rPr>
                                <w:rFonts w:ascii="Tahoma" w:hAnsi="Tahoma" w:cs="Tahoma"/>
                                <w:sz w:val="20"/>
                              </w:rPr>
                              <w:t xml:space="preserve">When completed, email this form to:   </w:t>
                            </w:r>
                            <w:hyperlink r:id="rId11" w:history="1">
                              <w:r>
                                <w:rPr>
                                  <w:rStyle w:val="Hyperlink"/>
                                  <w:rFonts w:ascii="Tahoma" w:hAnsi="Tahoma" w:cs="Tahoma"/>
                                </w:rPr>
                                <w:t>sarcomm</w:t>
                              </w:r>
                              <w:r w:rsidRPr="003D7CCE">
                                <w:rPr>
                                  <w:rStyle w:val="Hyperlink"/>
                                  <w:rFonts w:ascii="Tahoma" w:hAnsi="Tahoma" w:cs="Tahoma"/>
                                </w:rPr>
                                <w:t>@nerc.</w:t>
                              </w:r>
                              <w:r>
                                <w:rPr>
                                  <w:rStyle w:val="Hyperlink"/>
                                  <w:rFonts w:ascii="Tahoma" w:hAnsi="Tahoma" w:cs="Tahoma"/>
                                </w:rPr>
                                <w:t>com</w:t>
                              </w:r>
                            </w:hyperlink>
                            <w:r w:rsidRPr="00AA2B81">
                              <w:rPr>
                                <w:rFonts w:ascii="Tahoma" w:hAnsi="Tahoma" w:cs="Tahoma"/>
                                <w:sz w:val="20"/>
                              </w:rPr>
                              <w:t xml:space="preserve">   </w:t>
                            </w:r>
                          </w:p>
                        </w:txbxContent>
                      </wps:txbx>
                      <wps:bodyPr rot="0" vert="horz" wrap="square" lIns="91440" tIns="45720" rIns="91440" bIns="45720" anchor="t" anchorCtr="0" upright="1">
                        <a:noAutofit/>
                      </wps:bodyPr>
                    </wps:wsp>
                  </a:graphicData>
                </a:graphic>
              </wp:anchor>
            </w:drawing>
          </mc:Choice>
          <mc:Fallback>
            <w:pict>
              <v:shapetype w14:anchorId="42C7EB3B" id="_x0000_t202" coordsize="21600,21600" o:spt="202" path="m,l,21600r21600,l21600,xe">
                <v:stroke joinstyle="miter"/>
                <v:path gradientshapeok="t" o:connecttype="rect"/>
              </v:shapetype>
              <v:shape id="Text Box 3" o:spid="_x0000_s1026" type="#_x0000_t202" style="position:absolute;margin-left:0;margin-top:2.85pt;width:240.1pt;height:82.4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" fillcolor="#d3dce9">
                <v:fill rotate="t" focus="100%" type="gradient"/>
                <v:shadow on="t"/>
                <v:textbox>
                  <w:txbxContent>
                    <w:p w:rsidR="002D7811" w:rsidRDefault="002D7811" w:rsidP="002D7811">
                      <w:pPr>
                        <w:rPr>
                          <w:rFonts w:ascii="Tahoma" w:hAnsi="Tahoma" w:cs="Tahoma"/>
                          <w:sz w:val="20"/>
                        </w:rPr>
                      </w:pPr>
                      <w:r w:rsidRPr="00AA2B81">
                        <w:rPr>
                          <w:rFonts w:ascii="Tahoma" w:hAnsi="Tahoma" w:cs="Tahoma"/>
                          <w:sz w:val="20"/>
                        </w:rPr>
                        <w:t xml:space="preserve">When completed, email this form to:   </w:t>
                      </w:r>
                      <w:hyperlink r:id="rId12" w:history="1">
                        <w:r>
                          <w:rPr>
                            <w:rStyle w:val="Hyperlink"/>
                            <w:rFonts w:ascii="Tahoma" w:hAnsi="Tahoma" w:cs="Tahoma"/>
                          </w:rPr>
                          <w:t>sarcomm</w:t>
                        </w:r>
                        <w:r w:rsidRPr="003D7CCE">
                          <w:rPr>
                            <w:rStyle w:val="Hyperlink"/>
                            <w:rFonts w:ascii="Tahoma" w:hAnsi="Tahoma" w:cs="Tahoma"/>
                          </w:rPr>
                          <w:t>@nerc.</w:t>
                        </w:r>
                        <w:r>
                          <w:rPr>
                            <w:rStyle w:val="Hyperlink"/>
                            <w:rFonts w:ascii="Tahoma" w:hAnsi="Tahoma" w:cs="Tahoma"/>
                          </w:rPr>
                          <w:t>com</w:t>
                        </w:r>
                      </w:hyperlink>
                      <w:r w:rsidRPr="00AA2B81">
                        <w:rPr>
                          <w:rFonts w:ascii="Tahoma" w:hAnsi="Tahoma" w:cs="Tahoma"/>
                          <w:sz w:val="20"/>
                        </w:rPr>
                        <w:t xml:space="preserve">   </w:t>
                      </w:r>
                    </w:p>
                  </w:txbxContent>
                </v:textbox>
                <w10:wrap type="tight" anchorx="margin"/>
              </v:shape>
            </w:pict>
          </mc:Fallback>
        </mc:AlternateContent>
      </w:r>
      <w:r w:rsidRPr="003D77E3">
        <w:rPr>
          <w:szCs w:val="24"/>
        </w:rPr>
        <w:t xml:space="preserve">NERC welcomes suggestions to improve the reliability of the bulk power system through improved reliability standards. Please use this form to submit your </w:t>
      </w:r>
      <w:r>
        <w:rPr>
          <w:szCs w:val="24"/>
        </w:rPr>
        <w:t>request to propose a new or a revision to a NERC’s Reliability Standard.</w:t>
      </w:r>
    </w:p>
    <w:p w:rsidR="002D7811" w:rsidRDefault="002D7811" w:rsidP="00E70968">
      <w:pPr>
        <w:rPr>
          <w:rFonts w:ascii="Tahoma" w:hAnsi="Tahoma" w:cs="Tahoma"/>
          <w:color w:val="5D85A9" w:themeColor="accent2"/>
        </w:rPr>
      </w:pPr>
    </w:p>
    <w:tbl>
      <w:tblPr>
        <w:tblW w:w="10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7"/>
        <w:gridCol w:w="1583"/>
        <w:gridCol w:w="1732"/>
        <w:gridCol w:w="1028"/>
        <w:gridCol w:w="4395"/>
      </w:tblGrid>
      <w:tr w:rsidR="00E70968" w:rsidRPr="00BC27EB" w:rsidTr="00842CB6">
        <w:trPr>
          <w:tblHeader/>
        </w:trPr>
        <w:tc>
          <w:tcPr>
            <w:tcW w:w="10395" w:type="dxa"/>
            <w:gridSpan w:val="5"/>
            <w:shd w:val="clear" w:color="auto" w:fill="204C81"/>
          </w:tcPr>
          <w:p w:rsidR="00E70968" w:rsidRPr="00BC27EB" w:rsidRDefault="00E70968" w:rsidP="00842CB6">
            <w:pPr>
              <w:jc w:val="center"/>
              <w:rPr>
                <w:rFonts w:ascii="Tahoma" w:eastAsia="MS Mincho" w:hAnsi="Tahoma" w:cs="Tahoma"/>
                <w:color w:val="FFFFFF"/>
              </w:rPr>
            </w:pPr>
            <w:bookmarkStart w:id="2" w:name="_Toc195946480"/>
            <w:r w:rsidRPr="00BC27EB">
              <w:rPr>
                <w:rFonts w:ascii="Tahoma" w:eastAsia="MS Mincho" w:hAnsi="Tahoma" w:cs="Tahoma"/>
                <w:color w:val="FFFFFF"/>
              </w:rPr>
              <w:t>Request to propose a new or a revision to a Reliability Standard</w:t>
            </w:r>
          </w:p>
        </w:tc>
      </w:tr>
      <w:tr w:rsidR="00E70968" w:rsidRPr="00BC27EB" w:rsidTr="00842CB6">
        <w:tc>
          <w:tcPr>
            <w:tcW w:w="3240" w:type="dxa"/>
            <w:gridSpan w:val="2"/>
          </w:tcPr>
          <w:p w:rsidR="00E70968" w:rsidRPr="005755E4" w:rsidRDefault="00E70968" w:rsidP="00842CB6">
            <w:pPr>
              <w:rPr>
                <w:rFonts w:ascii="Calibri" w:eastAsia="MS Mincho" w:hAnsi="Calibri" w:cs="Times New Roman"/>
              </w:rPr>
            </w:pPr>
            <w:r w:rsidRPr="005755E4">
              <w:rPr>
                <w:rFonts w:ascii="Calibri" w:eastAsia="MS Mincho" w:hAnsi="Calibri" w:cs="Times New Roman"/>
              </w:rPr>
              <w:t>Title of Proposed Standard</w:t>
            </w:r>
            <w:r>
              <w:rPr>
                <w:rFonts w:ascii="Calibri" w:eastAsia="MS Mincho" w:hAnsi="Calibri" w:cs="Times New Roman"/>
              </w:rPr>
              <w:t>(s)</w:t>
            </w:r>
            <w:r w:rsidRPr="005755E4">
              <w:rPr>
                <w:rFonts w:ascii="Calibri" w:eastAsia="MS Mincho" w:hAnsi="Calibri" w:cs="Times New Roman"/>
              </w:rPr>
              <w:t>:</w:t>
            </w:r>
          </w:p>
        </w:tc>
        <w:tc>
          <w:tcPr>
            <w:tcW w:w="7155" w:type="dxa"/>
            <w:gridSpan w:val="3"/>
          </w:tcPr>
          <w:p w:rsidR="00E70968" w:rsidRPr="00BC27EB" w:rsidRDefault="00E70968" w:rsidP="00842CB6">
            <w:pPr>
              <w:rPr>
                <w:rFonts w:ascii="Calibri" w:eastAsia="MS Mincho" w:hAnsi="Calibri" w:cs="Times New Roman"/>
              </w:rPr>
            </w:pPr>
            <w:r>
              <w:rPr>
                <w:rStyle w:val="BoxText"/>
                <w:rFonts w:ascii="Verdana" w:hAnsi="Verdana"/>
              </w:rPr>
              <w:t>Project 2009-02: Real-time Reliability Monitoring and Analysis Capabilities</w:t>
            </w:r>
          </w:p>
        </w:tc>
      </w:tr>
      <w:tr w:rsidR="00E70968" w:rsidRPr="00BC27EB" w:rsidTr="00842CB6">
        <w:tc>
          <w:tcPr>
            <w:tcW w:w="3240" w:type="dxa"/>
            <w:gridSpan w:val="2"/>
            <w:tcBorders>
              <w:bottom w:val="single" w:sz="4" w:space="0" w:color="auto"/>
            </w:tcBorders>
          </w:tcPr>
          <w:p w:rsidR="00E70968" w:rsidRPr="005755E4" w:rsidRDefault="00E70968" w:rsidP="00842CB6">
            <w:pPr>
              <w:rPr>
                <w:rFonts w:ascii="Calibri" w:eastAsia="MS Mincho" w:hAnsi="Calibri" w:cs="Times New Roman"/>
              </w:rPr>
            </w:pPr>
            <w:r w:rsidRPr="005755E4">
              <w:rPr>
                <w:rFonts w:ascii="Calibri" w:eastAsia="MS Mincho" w:hAnsi="Calibri" w:cs="Times New Roman"/>
              </w:rPr>
              <w:t>Date Submitted:</w:t>
            </w:r>
            <w:r w:rsidRPr="005755E4">
              <w:rPr>
                <w:rFonts w:ascii="Calibri" w:eastAsia="MS Mincho" w:hAnsi="Calibri" w:cs="Times New Roman"/>
              </w:rPr>
              <w:tab/>
            </w:r>
          </w:p>
        </w:tc>
        <w:tc>
          <w:tcPr>
            <w:tcW w:w="7155" w:type="dxa"/>
            <w:gridSpan w:val="3"/>
            <w:tcBorders>
              <w:bottom w:val="single" w:sz="4" w:space="0" w:color="auto"/>
            </w:tcBorders>
          </w:tcPr>
          <w:p w:rsidR="00E70968" w:rsidRPr="00BC27EB" w:rsidRDefault="00E70968" w:rsidP="00987D72">
            <w:pPr>
              <w:rPr>
                <w:rFonts w:ascii="Calibri" w:eastAsia="MS Mincho" w:hAnsi="Calibri" w:cs="Times New Roman"/>
              </w:rPr>
            </w:pPr>
            <w:r>
              <w:rPr>
                <w:rFonts w:ascii="Calibri" w:eastAsia="MS Mincho" w:hAnsi="Calibri" w:cs="Times New Roman"/>
              </w:rPr>
              <w:t xml:space="preserve">June </w:t>
            </w:r>
            <w:r w:rsidR="00987D72">
              <w:rPr>
                <w:rFonts w:ascii="Calibri" w:eastAsia="MS Mincho" w:hAnsi="Calibri" w:cs="Times New Roman"/>
              </w:rPr>
              <w:t>18</w:t>
            </w:r>
            <w:r>
              <w:rPr>
                <w:rFonts w:ascii="Calibri" w:eastAsia="MS Mincho" w:hAnsi="Calibri" w:cs="Times New Roman"/>
              </w:rPr>
              <w:t>, 2015</w:t>
            </w:r>
          </w:p>
        </w:tc>
      </w:tr>
      <w:tr w:rsidR="00E70968" w:rsidRPr="00BC27EB" w:rsidTr="00842CB6">
        <w:tc>
          <w:tcPr>
            <w:tcW w:w="10395" w:type="dxa"/>
            <w:gridSpan w:val="5"/>
            <w:shd w:val="clear" w:color="auto" w:fill="FFFFFF" w:themeFill="text2"/>
          </w:tcPr>
          <w:p w:rsidR="00E70968" w:rsidRPr="005755E4" w:rsidRDefault="00E70968" w:rsidP="00842CB6">
            <w:pPr>
              <w:keepNext/>
              <w:rPr>
                <w:rFonts w:eastAsia="MS Mincho" w:cs="Times New Roman"/>
              </w:rPr>
            </w:pPr>
            <w:r w:rsidRPr="005755E4">
              <w:rPr>
                <w:rFonts w:eastAsia="Times New Roman" w:cs="Tahoma"/>
                <w:szCs w:val="24"/>
              </w:rPr>
              <w:t>SAR Requester Information</w:t>
            </w:r>
          </w:p>
        </w:tc>
      </w:tr>
      <w:tr w:rsidR="00E70968" w:rsidRPr="00BC27EB" w:rsidTr="00842CB6">
        <w:tc>
          <w:tcPr>
            <w:tcW w:w="1657" w:type="dxa"/>
            <w:vAlign w:val="center"/>
          </w:tcPr>
          <w:p w:rsidR="00E70968" w:rsidRPr="005755E4" w:rsidRDefault="00E70968" w:rsidP="00842CB6">
            <w:pPr>
              <w:rPr>
                <w:rFonts w:ascii="Calibri" w:eastAsia="MS Mincho" w:hAnsi="Calibri" w:cs="Times New Roman"/>
              </w:rPr>
            </w:pPr>
            <w:r w:rsidRPr="005755E4">
              <w:rPr>
                <w:rFonts w:ascii="Calibri" w:eastAsia="MS Mincho" w:hAnsi="Calibri" w:cs="Times New Roman"/>
              </w:rPr>
              <w:t>Name:</w:t>
            </w:r>
          </w:p>
        </w:tc>
        <w:tc>
          <w:tcPr>
            <w:tcW w:w="8738" w:type="dxa"/>
            <w:gridSpan w:val="4"/>
            <w:vAlign w:val="center"/>
          </w:tcPr>
          <w:p w:rsidR="00E70968" w:rsidRPr="00BC27EB" w:rsidRDefault="00E70968" w:rsidP="00842CB6">
            <w:pPr>
              <w:rPr>
                <w:rFonts w:ascii="Calibri" w:eastAsia="MS Mincho" w:hAnsi="Calibri" w:cs="Times New Roman"/>
              </w:rPr>
            </w:pPr>
            <w:r>
              <w:rPr>
                <w:rStyle w:val="BoxText"/>
                <w:rFonts w:ascii="Verdana" w:hAnsi="Verdana"/>
              </w:rPr>
              <w:t>Saad Malik</w:t>
            </w:r>
          </w:p>
        </w:tc>
      </w:tr>
      <w:tr w:rsidR="00E70968" w:rsidRPr="00BC27EB" w:rsidTr="00842CB6">
        <w:tc>
          <w:tcPr>
            <w:tcW w:w="1657" w:type="dxa"/>
            <w:vAlign w:val="center"/>
          </w:tcPr>
          <w:p w:rsidR="00E70968" w:rsidRPr="005755E4" w:rsidRDefault="00E70968" w:rsidP="00842CB6">
            <w:pPr>
              <w:rPr>
                <w:rFonts w:ascii="Calibri" w:eastAsia="MS Mincho" w:hAnsi="Calibri" w:cs="Times New Roman"/>
              </w:rPr>
            </w:pPr>
            <w:r w:rsidRPr="005755E4">
              <w:rPr>
                <w:rFonts w:ascii="Calibri" w:eastAsia="MS Mincho" w:hAnsi="Calibri" w:cs="Times New Roman"/>
              </w:rPr>
              <w:t>Organization:</w:t>
            </w:r>
          </w:p>
        </w:tc>
        <w:tc>
          <w:tcPr>
            <w:tcW w:w="8738" w:type="dxa"/>
            <w:gridSpan w:val="4"/>
            <w:vAlign w:val="center"/>
          </w:tcPr>
          <w:p w:rsidR="00E70968" w:rsidRPr="00BC27EB" w:rsidRDefault="00E70968" w:rsidP="00842CB6">
            <w:pPr>
              <w:rPr>
                <w:rFonts w:ascii="Calibri" w:eastAsia="MS Mincho" w:hAnsi="Calibri" w:cs="Times New Roman"/>
              </w:rPr>
            </w:pPr>
            <w:r>
              <w:rPr>
                <w:rStyle w:val="BoxText"/>
                <w:rFonts w:ascii="Verdana" w:hAnsi="Verdana"/>
              </w:rPr>
              <w:t>Peak Reliability</w:t>
            </w:r>
          </w:p>
        </w:tc>
      </w:tr>
      <w:tr w:rsidR="00E70968" w:rsidRPr="00BC27EB" w:rsidTr="00842CB6">
        <w:tc>
          <w:tcPr>
            <w:tcW w:w="1657" w:type="dxa"/>
            <w:tcBorders>
              <w:bottom w:val="single" w:sz="4" w:space="0" w:color="auto"/>
            </w:tcBorders>
            <w:vAlign w:val="center"/>
          </w:tcPr>
          <w:p w:rsidR="00E70968" w:rsidRPr="005755E4" w:rsidRDefault="00E70968" w:rsidP="00842CB6">
            <w:pPr>
              <w:rPr>
                <w:rFonts w:ascii="Calibri" w:eastAsia="MS Mincho" w:hAnsi="Calibri" w:cs="Times New Roman"/>
              </w:rPr>
            </w:pPr>
            <w:r w:rsidRPr="005755E4">
              <w:rPr>
                <w:rFonts w:ascii="Calibri" w:eastAsia="MS Mincho" w:hAnsi="Calibri" w:cs="Times New Roman"/>
              </w:rPr>
              <w:t>Telephone:</w:t>
            </w:r>
          </w:p>
        </w:tc>
        <w:tc>
          <w:tcPr>
            <w:tcW w:w="3315" w:type="dxa"/>
            <w:gridSpan w:val="2"/>
            <w:tcBorders>
              <w:bottom w:val="single" w:sz="4" w:space="0" w:color="auto"/>
            </w:tcBorders>
            <w:vAlign w:val="center"/>
          </w:tcPr>
          <w:p w:rsidR="00E70968" w:rsidRPr="005755E4" w:rsidRDefault="00E70968" w:rsidP="00842CB6">
            <w:pPr>
              <w:pStyle w:val="TableText"/>
              <w:tabs>
                <w:tab w:val="left" w:pos="1440"/>
              </w:tabs>
              <w:rPr>
                <w:rFonts w:ascii="Calibri" w:eastAsia="MS Mincho" w:hAnsi="Calibri"/>
              </w:rPr>
            </w:pPr>
            <w:r>
              <w:rPr>
                <w:rStyle w:val="BoxText"/>
                <w:rFonts w:ascii="Verdana" w:eastAsiaTheme="minorEastAsia" w:hAnsi="Verdana"/>
              </w:rPr>
              <w:t>970.776.5635</w:t>
            </w:r>
            <w:r w:rsidRPr="00B0451B">
              <w:rPr>
                <w:rStyle w:val="BoxText"/>
                <w:rFonts w:ascii="Verdana" w:eastAsiaTheme="minorEastAsia" w:hAnsi="Verdana"/>
              </w:rPr>
              <w:t xml:space="preserve"> </w:t>
            </w:r>
          </w:p>
        </w:tc>
        <w:tc>
          <w:tcPr>
            <w:tcW w:w="1028" w:type="dxa"/>
            <w:tcBorders>
              <w:bottom w:val="single" w:sz="4" w:space="0" w:color="auto"/>
            </w:tcBorders>
            <w:vAlign w:val="center"/>
          </w:tcPr>
          <w:p w:rsidR="00E70968" w:rsidRPr="005755E4" w:rsidRDefault="00E70968" w:rsidP="00842CB6">
            <w:pPr>
              <w:rPr>
                <w:rFonts w:ascii="Calibri" w:eastAsia="MS Mincho" w:hAnsi="Calibri" w:cs="Times New Roman"/>
              </w:rPr>
            </w:pPr>
            <w:r w:rsidRPr="005755E4">
              <w:rPr>
                <w:rFonts w:ascii="Calibri" w:eastAsia="MS Mincho" w:hAnsi="Calibri" w:cs="Times New Roman"/>
              </w:rPr>
              <w:t>E-mail:</w:t>
            </w:r>
          </w:p>
        </w:tc>
        <w:tc>
          <w:tcPr>
            <w:tcW w:w="4395" w:type="dxa"/>
            <w:tcBorders>
              <w:bottom w:val="single" w:sz="4" w:space="0" w:color="auto"/>
            </w:tcBorders>
            <w:vAlign w:val="center"/>
          </w:tcPr>
          <w:p w:rsidR="00E70968" w:rsidRPr="00BC27EB" w:rsidRDefault="00E70968" w:rsidP="00842CB6">
            <w:pPr>
              <w:rPr>
                <w:rFonts w:ascii="Calibri" w:eastAsia="MS Mincho" w:hAnsi="Calibri" w:cs="Times New Roman"/>
              </w:rPr>
            </w:pPr>
            <w:r>
              <w:rPr>
                <w:rStyle w:val="BoxText"/>
                <w:rFonts w:ascii="Verdana" w:hAnsi="Verdana"/>
              </w:rPr>
              <w:t>smalik@peakrc.com</w:t>
            </w:r>
          </w:p>
        </w:tc>
      </w:tr>
      <w:tr w:rsidR="00E70968" w:rsidRPr="00BC27EB" w:rsidTr="00842CB6">
        <w:tc>
          <w:tcPr>
            <w:tcW w:w="10395" w:type="dxa"/>
            <w:gridSpan w:val="5"/>
            <w:shd w:val="clear" w:color="auto" w:fill="FFFFFF" w:themeFill="text2"/>
            <w:vAlign w:val="center"/>
          </w:tcPr>
          <w:p w:rsidR="00E70968" w:rsidRPr="005755E4" w:rsidRDefault="00E70968" w:rsidP="00842CB6">
            <w:pPr>
              <w:keepNext/>
              <w:rPr>
                <w:rFonts w:eastAsia="MS Mincho" w:cs="Tahoma"/>
              </w:rPr>
            </w:pPr>
            <w:r w:rsidRPr="005755E4">
              <w:rPr>
                <w:rFonts w:eastAsia="Times New Roman" w:cs="Tahoma"/>
                <w:szCs w:val="24"/>
                <w:lang w:bidi="ar-SA"/>
              </w:rPr>
              <w:t>SAR Type (Check as many as applicable)</w:t>
            </w:r>
          </w:p>
        </w:tc>
      </w:tr>
      <w:tr w:rsidR="00E70968" w:rsidRPr="00BC27EB" w:rsidTr="00842CB6">
        <w:tc>
          <w:tcPr>
            <w:tcW w:w="4972" w:type="dxa"/>
            <w:gridSpan w:val="3"/>
            <w:vAlign w:val="center"/>
          </w:tcPr>
          <w:p w:rsidR="00E70968" w:rsidRPr="00BC27EB" w:rsidRDefault="00E70968" w:rsidP="00842CB6">
            <w:pP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1"/>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r w:rsidRPr="00BC27EB">
              <w:rPr>
                <w:rFonts w:ascii="Calibri" w:eastAsia="MS Mincho" w:hAnsi="Calibri" w:cs="Times New Roman"/>
              </w:rPr>
              <w:t xml:space="preserve">     New Standard</w:t>
            </w:r>
          </w:p>
          <w:p w:rsidR="00E70968" w:rsidRPr="00BC27EB" w:rsidRDefault="00E70968" w:rsidP="00842CB6">
            <w:pPr>
              <w:rPr>
                <w:rFonts w:ascii="Calibri" w:eastAsia="MS Mincho" w:hAnsi="Calibri" w:cs="Times New Roman"/>
              </w:rPr>
            </w:pPr>
            <w:r>
              <w:rPr>
                <w:rFonts w:ascii="Calibri" w:eastAsia="MS Mincho" w:hAnsi="Calibri" w:cs="Times New Roman"/>
              </w:rPr>
              <w:fldChar w:fldCharType="begin">
                <w:ffData>
                  <w:name w:val="Check4"/>
                  <w:enabled/>
                  <w:calcOnExit w:val="0"/>
                  <w:checkBox>
                    <w:sizeAuto/>
                    <w:default w:val="0"/>
                  </w:checkBox>
                </w:ffData>
              </w:fldChar>
            </w:r>
            <w:bookmarkStart w:id="3" w:name="Check4"/>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bookmarkEnd w:id="3"/>
            <w:r w:rsidRPr="00BC27EB">
              <w:rPr>
                <w:rFonts w:ascii="Calibri" w:eastAsia="MS Mincho" w:hAnsi="Calibri" w:cs="Times New Roman"/>
              </w:rPr>
              <w:t xml:space="preserve">     </w:t>
            </w:r>
            <w:r w:rsidRPr="006701D4">
              <w:rPr>
                <w:rFonts w:ascii="Calibri" w:eastAsia="MS Mincho" w:hAnsi="Calibri" w:cs="Times New Roman"/>
              </w:rPr>
              <w:t>Revision to existing Standard</w:t>
            </w:r>
          </w:p>
        </w:tc>
        <w:tc>
          <w:tcPr>
            <w:tcW w:w="5423" w:type="dxa"/>
            <w:gridSpan w:val="2"/>
            <w:vAlign w:val="center"/>
          </w:tcPr>
          <w:p w:rsidR="00E70968" w:rsidRPr="00BC27EB" w:rsidRDefault="00E70968" w:rsidP="00842CB6">
            <w:pP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r w:rsidRPr="00BC27EB">
              <w:rPr>
                <w:rFonts w:ascii="Calibri" w:eastAsia="MS Mincho" w:hAnsi="Calibri" w:cs="Times New Roman"/>
              </w:rPr>
              <w:t xml:space="preserve">     Withdrawal of existing Standard</w:t>
            </w:r>
          </w:p>
          <w:p w:rsidR="00E70968" w:rsidRPr="00BC27EB" w:rsidRDefault="00E70968" w:rsidP="00842CB6">
            <w:pPr>
              <w:rPr>
                <w:rFonts w:ascii="Calibri" w:eastAsia="MS Mincho" w:hAnsi="Calibri" w:cs="Times New Roman"/>
              </w:rPr>
            </w:pPr>
            <w:r w:rsidRPr="00BC27EB">
              <w:rPr>
                <w:rFonts w:ascii="Calibri" w:eastAsia="MS Mincho" w:hAnsi="Calibri" w:cs="Times New Roman"/>
              </w:rPr>
              <w:fldChar w:fldCharType="begin">
                <w:ffData>
                  <w:name w:val=""/>
                  <w:enabled/>
                  <w:calcOnExit w:val="0"/>
                  <w:checkBox>
                    <w:sizeAuto/>
                    <w:default w:val="0"/>
                    <w:checked w:val="0"/>
                  </w:checkBox>
                </w:ffData>
              </w:fldChar>
            </w:r>
            <w:r w:rsidRPr="00BC27EB">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sidRPr="00BC27EB">
              <w:rPr>
                <w:rFonts w:ascii="Calibri" w:eastAsia="MS Mincho" w:hAnsi="Calibri" w:cs="Times New Roman"/>
              </w:rPr>
              <w:fldChar w:fldCharType="end"/>
            </w:r>
            <w:r w:rsidRPr="00BC27EB">
              <w:rPr>
                <w:rFonts w:ascii="Calibri" w:eastAsia="MS Mincho" w:hAnsi="Calibri" w:cs="Times New Roman"/>
              </w:rPr>
              <w:t xml:space="preserve">     Urgent Action</w:t>
            </w:r>
          </w:p>
        </w:tc>
      </w:tr>
    </w:tbl>
    <w:p w:rsidR="00E70968" w:rsidRDefault="00E70968" w:rsidP="00E70968">
      <w:pPr>
        <w:rPr>
          <w:rFonts w:eastAsia="MS Mincho"/>
        </w:rPr>
      </w:pPr>
    </w:p>
    <w:tbl>
      <w:tblPr>
        <w:tblW w:w="10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5"/>
      </w:tblGrid>
      <w:tr w:rsidR="00E70968" w:rsidRPr="00BC27EB" w:rsidTr="00842CB6">
        <w:trPr>
          <w:tblHeader/>
        </w:trPr>
        <w:tc>
          <w:tcPr>
            <w:tcW w:w="10395" w:type="dxa"/>
            <w:shd w:val="clear" w:color="auto" w:fill="204C81"/>
            <w:vAlign w:val="center"/>
          </w:tcPr>
          <w:p w:rsidR="00E70968" w:rsidRPr="00BC27EB" w:rsidRDefault="00E70968" w:rsidP="00842CB6">
            <w:pPr>
              <w:keepNext/>
              <w:jc w:val="center"/>
              <w:rPr>
                <w:rFonts w:ascii="Calibri" w:eastAsia="MS Mincho" w:hAnsi="Calibri" w:cs="Times New Roman"/>
              </w:rPr>
            </w:pPr>
            <w:r w:rsidRPr="00BC27EB">
              <w:rPr>
                <w:rFonts w:ascii="Tahoma" w:eastAsia="MS Mincho" w:hAnsi="Tahoma" w:cs="Tahoma"/>
                <w:color w:val="FFFFFF"/>
                <w:szCs w:val="24"/>
              </w:rPr>
              <w:t>SAR Information</w:t>
            </w:r>
          </w:p>
        </w:tc>
      </w:tr>
      <w:tr w:rsidR="00E70968" w:rsidRPr="00BC27EB" w:rsidTr="00842CB6">
        <w:tc>
          <w:tcPr>
            <w:tcW w:w="10395" w:type="dxa"/>
            <w:shd w:val="clear" w:color="auto" w:fill="AFCDE3"/>
            <w:vAlign w:val="center"/>
          </w:tcPr>
          <w:p w:rsidR="00E70968" w:rsidRPr="00BC27EB" w:rsidRDefault="00E70968" w:rsidP="00842CB6">
            <w:pPr>
              <w:keepNext/>
              <w:rPr>
                <w:rFonts w:ascii="Calibri" w:eastAsia="MS Mincho" w:hAnsi="Calibri" w:cs="Times New Roman"/>
              </w:rPr>
            </w:pPr>
            <w:r w:rsidRPr="00BC27EB">
              <w:rPr>
                <w:rFonts w:ascii="Calibri" w:eastAsia="MS Mincho" w:hAnsi="Calibri" w:cs="Times New Roman"/>
              </w:rPr>
              <w:t>Purpose (</w:t>
            </w:r>
            <w:r>
              <w:rPr>
                <w:rFonts w:ascii="Calibri" w:eastAsia="MS Mincho" w:hAnsi="Calibri" w:cs="Times New Roman"/>
              </w:rPr>
              <w:t>Describe what the standard action will achieve in support of Bulk Electric System reliability.</w:t>
            </w:r>
            <w:r w:rsidRPr="00BC27EB">
              <w:rPr>
                <w:rFonts w:ascii="Calibri" w:eastAsia="MS Mincho" w:hAnsi="Calibri" w:cs="Times New Roman"/>
              </w:rPr>
              <w:t>)</w:t>
            </w:r>
            <w:r>
              <w:rPr>
                <w:rFonts w:ascii="Calibri" w:eastAsia="MS Mincho" w:hAnsi="Calibri" w:cs="Times New Roman"/>
              </w:rPr>
              <w:t>:</w:t>
            </w:r>
          </w:p>
        </w:tc>
      </w:tr>
      <w:tr w:rsidR="00E70968" w:rsidRPr="00BC27EB" w:rsidTr="00842CB6">
        <w:tc>
          <w:tcPr>
            <w:tcW w:w="10395" w:type="dxa"/>
            <w:tcBorders>
              <w:bottom w:val="single" w:sz="4" w:space="0" w:color="auto"/>
            </w:tcBorders>
            <w:vAlign w:val="center"/>
          </w:tcPr>
          <w:p w:rsidR="00E70968" w:rsidRPr="00AA5C40" w:rsidRDefault="00E70968" w:rsidP="00AD7AB2">
            <w:pPr>
              <w:pStyle w:val="ListNumber"/>
              <w:numPr>
                <w:ilvl w:val="0"/>
                <w:numId w:val="0"/>
              </w:numPr>
              <w:spacing w:after="0"/>
              <w:rPr>
                <w:rFonts w:asciiTheme="minorHAnsi" w:eastAsia="MS Mincho" w:hAnsiTheme="minorHAnsi"/>
              </w:rPr>
            </w:pPr>
            <w:r w:rsidRPr="00590A3C">
              <w:rPr>
                <w:rStyle w:val="BoxText"/>
                <w:rFonts w:asciiTheme="minorHAnsi" w:eastAsiaTheme="minorEastAsia" w:hAnsiTheme="minorHAnsi"/>
                <w:sz w:val="24"/>
                <w:szCs w:val="20"/>
              </w:rPr>
              <w:t xml:space="preserve">To </w:t>
            </w:r>
            <w:bookmarkStart w:id="4" w:name="OLE_LINK1"/>
            <w:bookmarkStart w:id="5" w:name="OLE_LINK2"/>
            <w:r w:rsidRPr="00590A3C">
              <w:rPr>
                <w:rStyle w:val="BoxText"/>
                <w:rFonts w:asciiTheme="minorHAnsi" w:eastAsiaTheme="minorEastAsia" w:hAnsiTheme="minorHAnsi"/>
                <w:sz w:val="24"/>
                <w:szCs w:val="20"/>
              </w:rPr>
              <w:t xml:space="preserve">establish requirements for </w:t>
            </w:r>
            <w:r w:rsidR="00AD7AB2">
              <w:rPr>
                <w:rStyle w:val="BoxText"/>
                <w:rFonts w:asciiTheme="minorHAnsi" w:eastAsiaTheme="minorEastAsia" w:hAnsiTheme="minorHAnsi"/>
                <w:sz w:val="24"/>
                <w:szCs w:val="20"/>
              </w:rPr>
              <w:t>R</w:t>
            </w:r>
            <w:r w:rsidR="00AD7AB2" w:rsidRPr="00590A3C">
              <w:rPr>
                <w:rStyle w:val="BoxText"/>
                <w:rFonts w:asciiTheme="minorHAnsi" w:eastAsiaTheme="minorEastAsia" w:hAnsiTheme="minorHAnsi"/>
                <w:sz w:val="24"/>
                <w:szCs w:val="20"/>
              </w:rPr>
              <w:t>eal</w:t>
            </w:r>
            <w:r w:rsidRPr="00590A3C">
              <w:rPr>
                <w:rStyle w:val="BoxText"/>
                <w:rFonts w:asciiTheme="minorHAnsi" w:eastAsiaTheme="minorEastAsia" w:hAnsiTheme="minorHAnsi"/>
                <w:sz w:val="24"/>
                <w:szCs w:val="20"/>
              </w:rPr>
              <w:t>-time monitoring and analysis capabilities</w:t>
            </w:r>
            <w:bookmarkEnd w:id="4"/>
            <w:bookmarkEnd w:id="5"/>
            <w:r w:rsidRPr="00590A3C">
              <w:rPr>
                <w:rStyle w:val="BoxText"/>
                <w:rFonts w:asciiTheme="minorHAnsi" w:eastAsiaTheme="minorEastAsia" w:hAnsiTheme="minorHAnsi"/>
                <w:sz w:val="24"/>
                <w:szCs w:val="20"/>
              </w:rPr>
              <w:t xml:space="preserve"> used by System Operators in support of reliable System operations.</w:t>
            </w:r>
          </w:p>
        </w:tc>
      </w:tr>
      <w:tr w:rsidR="00E70968" w:rsidRPr="00BC27EB" w:rsidTr="00842CB6">
        <w:tc>
          <w:tcPr>
            <w:tcW w:w="10395" w:type="dxa"/>
            <w:shd w:val="clear" w:color="auto" w:fill="AFCDE3"/>
            <w:vAlign w:val="center"/>
          </w:tcPr>
          <w:p w:rsidR="00E70968" w:rsidRPr="00BC27EB" w:rsidRDefault="00E70968" w:rsidP="00842CB6">
            <w:pPr>
              <w:keepNext/>
              <w:rPr>
                <w:rFonts w:ascii="Calibri" w:eastAsia="MS Mincho" w:hAnsi="Calibri" w:cs="Times New Roman"/>
              </w:rPr>
            </w:pPr>
            <w:r w:rsidRPr="00BC27EB">
              <w:rPr>
                <w:rFonts w:ascii="Calibri" w:eastAsia="MS Mincho" w:hAnsi="Calibri" w:cs="Times New Roman"/>
              </w:rPr>
              <w:t>Industry Need (What is the industry problem this request is trying to solve?)</w:t>
            </w:r>
            <w:r>
              <w:rPr>
                <w:rFonts w:ascii="Calibri" w:eastAsia="MS Mincho" w:hAnsi="Calibri" w:cs="Times New Roman"/>
              </w:rPr>
              <w:t>:</w:t>
            </w:r>
          </w:p>
        </w:tc>
      </w:tr>
      <w:tr w:rsidR="00E70968" w:rsidRPr="00BC27EB" w:rsidTr="00842CB6">
        <w:tc>
          <w:tcPr>
            <w:tcW w:w="10395" w:type="dxa"/>
            <w:tcBorders>
              <w:bottom w:val="single" w:sz="4" w:space="0" w:color="auto"/>
            </w:tcBorders>
            <w:vAlign w:val="center"/>
          </w:tcPr>
          <w:p w:rsidR="00E70968" w:rsidRPr="00785766" w:rsidRDefault="00E70968" w:rsidP="00842CB6">
            <w:pPr>
              <w:autoSpaceDE w:val="0"/>
              <w:autoSpaceDN w:val="0"/>
              <w:adjustRightInd w:val="0"/>
              <w:spacing w:before="0" w:after="0" w:line="240" w:lineRule="auto"/>
              <w:rPr>
                <w:rFonts w:cs="Arial"/>
                <w:szCs w:val="24"/>
              </w:rPr>
            </w:pPr>
            <w:r w:rsidRPr="00785766">
              <w:rPr>
                <w:rFonts w:cs="Arial"/>
                <w:szCs w:val="24"/>
              </w:rPr>
              <w:t xml:space="preserve">According to the </w:t>
            </w:r>
            <w:r w:rsidRPr="00785766">
              <w:rPr>
                <w:rFonts w:cs="Arial"/>
                <w:i/>
                <w:szCs w:val="24"/>
              </w:rPr>
              <w:t>Final Report on the</w:t>
            </w:r>
            <w:r w:rsidRPr="00785766">
              <w:rPr>
                <w:rFonts w:cs="Arial"/>
                <w:szCs w:val="24"/>
              </w:rPr>
              <w:t xml:space="preserve"> </w:t>
            </w:r>
            <w:r w:rsidRPr="00785766">
              <w:rPr>
                <w:rFonts w:cs="Arial"/>
                <w:i/>
                <w:szCs w:val="24"/>
              </w:rPr>
              <w:t>August 14, 2003</w:t>
            </w:r>
            <w:r w:rsidRPr="00785766">
              <w:rPr>
                <w:rFonts w:cs="Arial"/>
                <w:szCs w:val="24"/>
              </w:rPr>
              <w:t xml:space="preserve"> </w:t>
            </w:r>
            <w:r w:rsidRPr="00785766">
              <w:rPr>
                <w:rFonts w:cs="Arial"/>
                <w:i/>
                <w:szCs w:val="24"/>
              </w:rPr>
              <w:t xml:space="preserve">Blackout in the United States and Canada: Causes and Recommendations </w:t>
            </w:r>
            <w:r w:rsidRPr="00785766">
              <w:rPr>
                <w:rFonts w:cs="Arial"/>
                <w:szCs w:val="24"/>
              </w:rPr>
              <w:t>dated April 2004</w:t>
            </w:r>
            <w:r>
              <w:rPr>
                <w:rFonts w:cs="Arial"/>
                <w:szCs w:val="24"/>
              </w:rPr>
              <w:t xml:space="preserve"> </w:t>
            </w:r>
            <w:r w:rsidRPr="00785766">
              <w:rPr>
                <w:rFonts w:cs="Arial"/>
                <w:szCs w:val="24"/>
              </w:rPr>
              <w:t xml:space="preserve">(2003 Blackout Report), a principal cause of the August 14 blackout was a lack of situational awareness. Recommendation 22 of the </w:t>
            </w:r>
            <w:r>
              <w:rPr>
                <w:rFonts w:cs="Arial"/>
                <w:szCs w:val="24"/>
              </w:rPr>
              <w:t xml:space="preserve">2003 </w:t>
            </w:r>
            <w:r w:rsidRPr="00785766">
              <w:rPr>
                <w:rFonts w:cs="Arial"/>
                <w:szCs w:val="24"/>
              </w:rPr>
              <w:t>Blackout Report states</w:t>
            </w:r>
            <w:r>
              <w:rPr>
                <w:rFonts w:cs="Arial"/>
                <w:szCs w:val="24"/>
              </w:rPr>
              <w:t xml:space="preserve"> that the industry should</w:t>
            </w:r>
            <w:r w:rsidRPr="00785766">
              <w:rPr>
                <w:rFonts w:cs="Arial"/>
                <w:szCs w:val="24"/>
              </w:rPr>
              <w:t xml:space="preserve"> “</w:t>
            </w:r>
            <w:r>
              <w:rPr>
                <w:rFonts w:cs="Arial"/>
                <w:szCs w:val="24"/>
              </w:rPr>
              <w:t>e</w:t>
            </w:r>
            <w:r w:rsidRPr="00785766">
              <w:rPr>
                <w:rFonts w:cs="Arial"/>
                <w:szCs w:val="24"/>
              </w:rPr>
              <w:t xml:space="preserve">valuate and adopt better </w:t>
            </w:r>
            <w:r w:rsidR="00AD7AB2">
              <w:rPr>
                <w:rFonts w:cs="Arial"/>
                <w:szCs w:val="24"/>
              </w:rPr>
              <w:t>Real</w:t>
            </w:r>
            <w:r w:rsidRPr="00785766">
              <w:rPr>
                <w:rFonts w:cs="Arial"/>
                <w:szCs w:val="24"/>
              </w:rPr>
              <w:t xml:space="preserve">-time tools for operators and reliability coordinators.”  NERC’s Operating Committee formed the Real-time Tools Best Practices Task Force (RTBPTF) to evaluate </w:t>
            </w:r>
            <w:r w:rsidR="00AD7AB2">
              <w:rPr>
                <w:rFonts w:cs="Arial"/>
                <w:szCs w:val="24"/>
              </w:rPr>
              <w:t>Real</w:t>
            </w:r>
            <w:r w:rsidRPr="00785766">
              <w:rPr>
                <w:rFonts w:cs="Arial"/>
                <w:szCs w:val="24"/>
              </w:rPr>
              <w:t xml:space="preserve">-time tools and their usage within the industry.  The Task Force produced </w:t>
            </w:r>
            <w:r>
              <w:rPr>
                <w:rFonts w:cs="Arial"/>
                <w:szCs w:val="24"/>
              </w:rPr>
              <w:t>the</w:t>
            </w:r>
            <w:r w:rsidRPr="00785766">
              <w:rPr>
                <w:rFonts w:cs="Arial"/>
                <w:szCs w:val="24"/>
              </w:rPr>
              <w:t xml:space="preserve"> report </w:t>
            </w:r>
            <w:bookmarkStart w:id="6" w:name="OLE_LINK3"/>
            <w:bookmarkStart w:id="7" w:name="OLE_LINK4"/>
            <w:r w:rsidRPr="00785766">
              <w:rPr>
                <w:rFonts w:cs="Verdana"/>
                <w:bCs/>
                <w:i/>
                <w:szCs w:val="24"/>
              </w:rPr>
              <w:t>Real-Time Tools Survey</w:t>
            </w:r>
            <w:r>
              <w:rPr>
                <w:rFonts w:cs="Verdana"/>
                <w:bCs/>
                <w:i/>
                <w:szCs w:val="24"/>
              </w:rPr>
              <w:t xml:space="preserve"> </w:t>
            </w:r>
            <w:r w:rsidRPr="00785766">
              <w:rPr>
                <w:rFonts w:cs="Verdana"/>
                <w:bCs/>
                <w:i/>
                <w:szCs w:val="24"/>
              </w:rPr>
              <w:t>Analysis and Recommendations</w:t>
            </w:r>
            <w:bookmarkEnd w:id="6"/>
            <w:bookmarkEnd w:id="7"/>
            <w:r>
              <w:rPr>
                <w:rFonts w:cs="Arial"/>
                <w:szCs w:val="24"/>
              </w:rPr>
              <w:t xml:space="preserve"> </w:t>
            </w:r>
            <w:r w:rsidRPr="00785766">
              <w:rPr>
                <w:rFonts w:cs="Arial"/>
                <w:szCs w:val="24"/>
              </w:rPr>
              <w:t>dated March 13, 2008</w:t>
            </w:r>
            <w:r>
              <w:rPr>
                <w:rFonts w:cs="Arial"/>
                <w:szCs w:val="24"/>
              </w:rPr>
              <w:t xml:space="preserve"> (RTBPTF Report)</w:t>
            </w:r>
            <w:r w:rsidRPr="00785766">
              <w:rPr>
                <w:rFonts w:cs="Arial"/>
                <w:szCs w:val="24"/>
              </w:rPr>
              <w:t xml:space="preserve"> </w:t>
            </w:r>
            <w:r w:rsidRPr="00590A3C">
              <w:rPr>
                <w:rFonts w:cs="Arial"/>
                <w:szCs w:val="24"/>
              </w:rPr>
              <w:lastRenderedPageBreak/>
              <w:t xml:space="preserve">that included recommendations for the </w:t>
            </w:r>
            <w:r w:rsidRPr="00590A3C">
              <w:rPr>
                <w:rStyle w:val="BoxText"/>
                <w:rFonts w:asciiTheme="minorHAnsi" w:hAnsiTheme="minorHAnsi"/>
                <w:sz w:val="24"/>
                <w:szCs w:val="24"/>
              </w:rPr>
              <w:t xml:space="preserve">functionality, performance, and management of </w:t>
            </w:r>
            <w:r w:rsidR="00AD7AB2">
              <w:rPr>
                <w:rStyle w:val="BoxText"/>
                <w:rFonts w:asciiTheme="minorHAnsi" w:hAnsiTheme="minorHAnsi"/>
                <w:sz w:val="24"/>
                <w:szCs w:val="24"/>
              </w:rPr>
              <w:t>Real</w:t>
            </w:r>
            <w:r w:rsidRPr="00590A3C">
              <w:rPr>
                <w:rStyle w:val="BoxText"/>
                <w:rFonts w:asciiTheme="minorHAnsi" w:hAnsiTheme="minorHAnsi"/>
                <w:sz w:val="24"/>
                <w:szCs w:val="24"/>
              </w:rPr>
              <w:t>-time tools</w:t>
            </w:r>
            <w:r w:rsidRPr="00590A3C">
              <w:rPr>
                <w:rFonts w:cs="Arial"/>
                <w:szCs w:val="24"/>
              </w:rPr>
              <w:t>.</w:t>
            </w:r>
            <w:r w:rsidRPr="00785766">
              <w:rPr>
                <w:rFonts w:cs="Arial"/>
                <w:szCs w:val="24"/>
              </w:rPr>
              <w:t xml:space="preserve">   </w:t>
            </w:r>
          </w:p>
          <w:p w:rsidR="00E70968" w:rsidRPr="00785766" w:rsidRDefault="00E70968" w:rsidP="00842CB6">
            <w:pPr>
              <w:autoSpaceDE w:val="0"/>
              <w:autoSpaceDN w:val="0"/>
              <w:adjustRightInd w:val="0"/>
              <w:spacing w:before="0" w:after="0" w:line="240" w:lineRule="auto"/>
              <w:rPr>
                <w:rFonts w:cs="Arial"/>
                <w:szCs w:val="24"/>
              </w:rPr>
            </w:pPr>
          </w:p>
          <w:p w:rsidR="00E70968" w:rsidRPr="00785766" w:rsidRDefault="00E70968" w:rsidP="00842CB6">
            <w:pPr>
              <w:autoSpaceDE w:val="0"/>
              <w:autoSpaceDN w:val="0"/>
              <w:adjustRightInd w:val="0"/>
              <w:spacing w:before="0" w:after="0" w:line="240" w:lineRule="auto"/>
              <w:rPr>
                <w:rFonts w:cs="Arial"/>
                <w:szCs w:val="24"/>
              </w:rPr>
            </w:pPr>
            <w:r w:rsidRPr="00785766">
              <w:rPr>
                <w:rFonts w:cs="Arial"/>
                <w:szCs w:val="24"/>
              </w:rPr>
              <w:t>The FERC and NERC Staff Report</w:t>
            </w:r>
            <w:r w:rsidRPr="00785766">
              <w:rPr>
                <w:rFonts w:cs="Arial"/>
                <w:i/>
                <w:szCs w:val="24"/>
              </w:rPr>
              <w:t xml:space="preserve"> Arizona-Southern California Outages on September 8, 2011</w:t>
            </w:r>
            <w:r>
              <w:rPr>
                <w:rFonts w:cs="Arial"/>
                <w:i/>
                <w:szCs w:val="24"/>
              </w:rPr>
              <w:t xml:space="preserve"> </w:t>
            </w:r>
            <w:r w:rsidRPr="00785766">
              <w:rPr>
                <w:rFonts w:cs="Arial"/>
                <w:szCs w:val="24"/>
              </w:rPr>
              <w:t>(2011 Southwest Outage Report)</w:t>
            </w:r>
            <w:r w:rsidRPr="00785766">
              <w:rPr>
                <w:rFonts w:cs="Arial"/>
                <w:i/>
                <w:szCs w:val="24"/>
              </w:rPr>
              <w:t xml:space="preserve"> </w:t>
            </w:r>
            <w:r w:rsidRPr="00785766">
              <w:rPr>
                <w:rFonts w:cs="Arial"/>
                <w:szCs w:val="24"/>
              </w:rPr>
              <w:t xml:space="preserve">also cited weaknesses in </w:t>
            </w:r>
            <w:r w:rsidR="00AD7AB2">
              <w:rPr>
                <w:rFonts w:cs="Arial"/>
                <w:szCs w:val="24"/>
              </w:rPr>
              <w:t>Real</w:t>
            </w:r>
            <w:r w:rsidRPr="00785766">
              <w:rPr>
                <w:rFonts w:cs="Arial"/>
                <w:szCs w:val="24"/>
              </w:rPr>
              <w:t xml:space="preserve">-time situational awareness and recommended improvements in </w:t>
            </w:r>
            <w:r w:rsidR="00AD7AB2">
              <w:rPr>
                <w:rFonts w:cs="Arial"/>
                <w:szCs w:val="24"/>
              </w:rPr>
              <w:t>Real</w:t>
            </w:r>
            <w:r w:rsidRPr="00785766">
              <w:rPr>
                <w:rFonts w:cs="Arial"/>
                <w:szCs w:val="24"/>
              </w:rPr>
              <w:t>-time monitoring and analysis capabilities.</w:t>
            </w:r>
          </w:p>
          <w:p w:rsidR="00E70968" w:rsidRPr="00785766" w:rsidRDefault="00E70968" w:rsidP="00842CB6">
            <w:pPr>
              <w:spacing w:before="0" w:after="0" w:line="240" w:lineRule="auto"/>
              <w:rPr>
                <w:rFonts w:cs="Tahoma"/>
                <w:szCs w:val="24"/>
              </w:rPr>
            </w:pPr>
          </w:p>
          <w:p w:rsidR="00E70968" w:rsidRPr="00785766" w:rsidRDefault="00E70968" w:rsidP="00842CB6">
            <w:pPr>
              <w:spacing w:before="0" w:after="0" w:line="240" w:lineRule="auto"/>
              <w:rPr>
                <w:rFonts w:cs="Tahoma"/>
                <w:szCs w:val="24"/>
              </w:rPr>
            </w:pPr>
            <w:r w:rsidRPr="00785766">
              <w:rPr>
                <w:rFonts w:cs="Tahoma"/>
                <w:szCs w:val="24"/>
              </w:rPr>
              <w:t xml:space="preserve">In approving the original TOP and IRO standards in Order </w:t>
            </w:r>
            <w:r>
              <w:rPr>
                <w:rFonts w:cs="Tahoma"/>
                <w:szCs w:val="24"/>
              </w:rPr>
              <w:t xml:space="preserve">No. </w:t>
            </w:r>
            <w:r w:rsidRPr="00785766">
              <w:rPr>
                <w:rFonts w:cs="Tahoma"/>
                <w:szCs w:val="24"/>
              </w:rPr>
              <w:t xml:space="preserve">693, FERC directed future improvements that would require a minimum set of capabilities be made available to </w:t>
            </w:r>
            <w:r w:rsidR="00AD7AB2">
              <w:rPr>
                <w:rFonts w:cs="Tahoma"/>
                <w:szCs w:val="24"/>
              </w:rPr>
              <w:t xml:space="preserve">System </w:t>
            </w:r>
            <w:r w:rsidRPr="00785766">
              <w:rPr>
                <w:rFonts w:cs="Tahoma"/>
                <w:szCs w:val="24"/>
              </w:rPr>
              <w:t>operators:</w:t>
            </w:r>
          </w:p>
          <w:p w:rsidR="00E70968" w:rsidRDefault="00E70968" w:rsidP="00E70968">
            <w:pPr>
              <w:numPr>
                <w:ilvl w:val="0"/>
                <w:numId w:val="34"/>
              </w:numPr>
              <w:spacing w:before="120" w:after="0" w:line="240" w:lineRule="auto"/>
              <w:jc w:val="both"/>
              <w:rPr>
                <w:rFonts w:cs="Tahoma"/>
                <w:i/>
                <w:szCs w:val="24"/>
              </w:rPr>
            </w:pPr>
            <w:r>
              <w:rPr>
                <w:rFonts w:cs="Tahoma"/>
                <w:szCs w:val="24"/>
              </w:rPr>
              <w:t>P</w:t>
            </w:r>
            <w:r w:rsidRPr="00785766">
              <w:rPr>
                <w:rFonts w:cs="Tahoma"/>
                <w:szCs w:val="24"/>
              </w:rPr>
              <w:t xml:space="preserve"> 905:  </w:t>
            </w:r>
            <w:r w:rsidRPr="00785766">
              <w:rPr>
                <w:rFonts w:cs="Tahoma"/>
                <w:i/>
                <w:szCs w:val="24"/>
              </w:rPr>
              <w:t xml:space="preserve">Further, consistent with the NOPR, the Commission directs the ERO </w:t>
            </w:r>
            <w:r>
              <w:rPr>
                <w:rFonts w:cs="Tahoma"/>
                <w:i/>
                <w:szCs w:val="24"/>
              </w:rPr>
              <w:t xml:space="preserve">to modify IRO-002-1 </w:t>
            </w:r>
            <w:r w:rsidRPr="00785766">
              <w:rPr>
                <w:rFonts w:cs="Tahoma"/>
                <w:i/>
                <w:szCs w:val="24"/>
              </w:rPr>
              <w:t>to require a minimum set of tools that must be made available to the reliability coordinator.</w:t>
            </w:r>
            <w:r>
              <w:rPr>
                <w:rFonts w:cs="Tahoma"/>
                <w:i/>
                <w:szCs w:val="24"/>
              </w:rPr>
              <w:t xml:space="preserve"> We believe this requirement will ensure that a reliability coordinator has the tools it needs to perform its functions.</w:t>
            </w:r>
          </w:p>
          <w:p w:rsidR="00E70968" w:rsidRPr="00785766" w:rsidRDefault="00E70968" w:rsidP="00BB0072">
            <w:pPr>
              <w:numPr>
                <w:ilvl w:val="0"/>
                <w:numId w:val="34"/>
              </w:numPr>
              <w:spacing w:before="0" w:after="0" w:line="240" w:lineRule="auto"/>
              <w:jc w:val="both"/>
              <w:rPr>
                <w:rFonts w:cs="Tahoma"/>
                <w:i/>
                <w:szCs w:val="24"/>
              </w:rPr>
            </w:pPr>
            <w:r>
              <w:rPr>
                <w:rFonts w:cs="Tahoma"/>
                <w:szCs w:val="24"/>
              </w:rPr>
              <w:t>P 906</w:t>
            </w:r>
            <w:r w:rsidRPr="006F1FA1">
              <w:rPr>
                <w:rFonts w:cs="Tahoma"/>
                <w:i/>
                <w:szCs w:val="24"/>
              </w:rPr>
              <w:t>:</w:t>
            </w:r>
            <w:r>
              <w:rPr>
                <w:rFonts w:cs="Tahoma"/>
                <w:i/>
                <w:szCs w:val="24"/>
              </w:rPr>
              <w:t xml:space="preserve">  [</w:t>
            </w:r>
            <w:r w:rsidRPr="00785766">
              <w:rPr>
                <w:rFonts w:cs="Tahoma"/>
                <w:i/>
                <w:szCs w:val="24"/>
              </w:rPr>
              <w:t>t</w:t>
            </w:r>
            <w:r>
              <w:rPr>
                <w:rFonts w:cs="Tahoma"/>
                <w:i/>
                <w:szCs w:val="24"/>
              </w:rPr>
              <w:t>]</w:t>
            </w:r>
            <w:r w:rsidRPr="00785766">
              <w:rPr>
                <w:rFonts w:cs="Tahoma"/>
                <w:i/>
                <w:szCs w:val="24"/>
              </w:rPr>
              <w:t>he Commission clarifies that the Commission’s intent is to have the ERO develop a requirement that identifies capabilities, not actual tools or products</w:t>
            </w:r>
            <w:r>
              <w:rPr>
                <w:rFonts w:cs="Tahoma"/>
                <w:i/>
                <w:szCs w:val="24"/>
              </w:rPr>
              <w:t>.  The Commission agrees that the latter approach is not appropriate as a particular product could become obsolete and technology improves over time.</w:t>
            </w:r>
          </w:p>
          <w:p w:rsidR="00E70968" w:rsidRPr="00785766" w:rsidRDefault="00E70968" w:rsidP="00E70968">
            <w:pPr>
              <w:numPr>
                <w:ilvl w:val="0"/>
                <w:numId w:val="34"/>
              </w:numPr>
              <w:spacing w:before="0" w:after="0" w:line="240" w:lineRule="auto"/>
              <w:jc w:val="both"/>
              <w:rPr>
                <w:rFonts w:cs="Tahoma"/>
                <w:i/>
                <w:szCs w:val="24"/>
              </w:rPr>
            </w:pPr>
            <w:r>
              <w:rPr>
                <w:rFonts w:cs="Tahoma"/>
                <w:szCs w:val="24"/>
              </w:rPr>
              <w:t>P</w:t>
            </w:r>
            <w:r w:rsidRPr="00785766">
              <w:rPr>
                <w:rFonts w:cs="Tahoma"/>
                <w:szCs w:val="24"/>
              </w:rPr>
              <w:t xml:space="preserve"> 1660: </w:t>
            </w:r>
            <w:r w:rsidRPr="00785766">
              <w:rPr>
                <w:rFonts w:cs="Tahoma"/>
                <w:i/>
                <w:szCs w:val="24"/>
              </w:rPr>
              <w:t>We adopt our proposal to require the ERO to develop a modification [to TOP standards] related to the provision of a minimum set of analytical tools.</w:t>
            </w:r>
            <w:r>
              <w:rPr>
                <w:rFonts w:cs="Tahoma"/>
                <w:i/>
                <w:szCs w:val="24"/>
              </w:rPr>
              <w:t xml:space="preserve">  In response to LPPC and others, we note that our intent was not to identify specific sets of tools, but rather the minimum capabilities that are necessary to enable operators to deal with real-time situations and to ensure reliable operation of the Bulk-Power System.</w:t>
            </w:r>
          </w:p>
          <w:p w:rsidR="00E70968" w:rsidRPr="00785766" w:rsidRDefault="00E70968" w:rsidP="00842CB6">
            <w:pPr>
              <w:autoSpaceDE w:val="0"/>
              <w:autoSpaceDN w:val="0"/>
              <w:adjustRightInd w:val="0"/>
              <w:spacing w:before="0" w:after="0" w:line="240" w:lineRule="auto"/>
              <w:rPr>
                <w:rFonts w:cs="Arial"/>
                <w:szCs w:val="24"/>
              </w:rPr>
            </w:pPr>
          </w:p>
          <w:p w:rsidR="00E70968" w:rsidRPr="00704FE0" w:rsidRDefault="00E70968">
            <w:pPr>
              <w:pStyle w:val="FERCparanumber"/>
              <w:numPr>
                <w:ilvl w:val="0"/>
                <w:numId w:val="0"/>
              </w:numPr>
              <w:spacing w:line="240" w:lineRule="auto"/>
              <w:rPr>
                <w:sz w:val="24"/>
              </w:rPr>
            </w:pPr>
            <w:r w:rsidRPr="00785766">
              <w:rPr>
                <w:rFonts w:asciiTheme="minorHAnsi" w:hAnsiTheme="minorHAnsi" w:cs="Arial"/>
                <w:sz w:val="24"/>
              </w:rPr>
              <w:t>This SAR addresses the event reports</w:t>
            </w:r>
            <w:r w:rsidR="00B4355D">
              <w:rPr>
                <w:rFonts w:asciiTheme="minorHAnsi" w:hAnsiTheme="minorHAnsi" w:cs="Arial"/>
                <w:sz w:val="24"/>
              </w:rPr>
              <w:t xml:space="preserve">, </w:t>
            </w:r>
            <w:r w:rsidRPr="00785766">
              <w:rPr>
                <w:rFonts w:asciiTheme="minorHAnsi" w:hAnsiTheme="minorHAnsi" w:cs="Arial"/>
                <w:sz w:val="24"/>
              </w:rPr>
              <w:t xml:space="preserve">Order </w:t>
            </w:r>
            <w:r>
              <w:rPr>
                <w:rFonts w:asciiTheme="minorHAnsi" w:hAnsiTheme="minorHAnsi" w:cs="Arial"/>
                <w:sz w:val="24"/>
              </w:rPr>
              <w:t xml:space="preserve">No. </w:t>
            </w:r>
            <w:r w:rsidRPr="00785766">
              <w:rPr>
                <w:rFonts w:asciiTheme="minorHAnsi" w:hAnsiTheme="minorHAnsi" w:cs="Arial"/>
                <w:sz w:val="24"/>
              </w:rPr>
              <w:t>693 directives</w:t>
            </w:r>
            <w:r>
              <w:rPr>
                <w:rFonts w:asciiTheme="minorHAnsi" w:hAnsiTheme="minorHAnsi" w:cs="Arial"/>
                <w:sz w:val="24"/>
              </w:rPr>
              <w:t>,</w:t>
            </w:r>
            <w:r w:rsidR="00B4355D">
              <w:rPr>
                <w:rFonts w:asciiTheme="minorHAnsi" w:hAnsiTheme="minorHAnsi" w:cs="Arial"/>
                <w:sz w:val="24"/>
              </w:rPr>
              <w:t xml:space="preserve"> and recommendations from the RTBPTF Report that have not been addressed in other standards projects. The SAR Drafting Team also conducted a </w:t>
            </w:r>
            <w:r w:rsidR="00503BD8">
              <w:rPr>
                <w:rFonts w:asciiTheme="minorHAnsi" w:hAnsiTheme="minorHAnsi" w:cs="Arial"/>
                <w:sz w:val="24"/>
              </w:rPr>
              <w:t>T</w:t>
            </w:r>
            <w:r w:rsidR="00B4355D">
              <w:rPr>
                <w:rFonts w:asciiTheme="minorHAnsi" w:hAnsiTheme="minorHAnsi" w:cs="Arial"/>
                <w:sz w:val="24"/>
              </w:rPr>
              <w:t xml:space="preserve">echnical </w:t>
            </w:r>
            <w:r w:rsidR="00503BD8">
              <w:rPr>
                <w:rFonts w:asciiTheme="minorHAnsi" w:hAnsiTheme="minorHAnsi" w:cs="Arial"/>
                <w:sz w:val="24"/>
              </w:rPr>
              <w:t>C</w:t>
            </w:r>
            <w:r w:rsidR="00B4355D">
              <w:rPr>
                <w:rFonts w:asciiTheme="minorHAnsi" w:hAnsiTheme="minorHAnsi" w:cs="Arial"/>
                <w:sz w:val="24"/>
              </w:rPr>
              <w:t xml:space="preserve">onference on June 4, 2015 to obtain stakeholder input on reliability objectives </w:t>
            </w:r>
            <w:r w:rsidR="000F4FC1">
              <w:rPr>
                <w:rFonts w:asciiTheme="minorHAnsi" w:hAnsiTheme="minorHAnsi" w:cs="Arial"/>
                <w:sz w:val="24"/>
              </w:rPr>
              <w:t>to be addressed in</w:t>
            </w:r>
            <w:r w:rsidR="00B4355D">
              <w:rPr>
                <w:rFonts w:asciiTheme="minorHAnsi" w:hAnsiTheme="minorHAnsi" w:cs="Arial"/>
                <w:sz w:val="24"/>
              </w:rPr>
              <w:t xml:space="preserve"> the proposed project.</w:t>
            </w:r>
            <w:r w:rsidRPr="003C302C">
              <w:rPr>
                <w:rFonts w:asciiTheme="minorHAnsi" w:hAnsiTheme="minorHAnsi" w:cs="Arial"/>
                <w:sz w:val="24"/>
              </w:rPr>
              <w:t xml:space="preserve">  </w:t>
            </w:r>
            <w:r w:rsidRPr="00D52644">
              <w:rPr>
                <w:rFonts w:ascii="Verdana" w:hAnsi="Verdana" w:cs="Arial"/>
                <w:sz w:val="20"/>
                <w:szCs w:val="20"/>
              </w:rPr>
              <w:t xml:space="preserve"> </w:t>
            </w:r>
          </w:p>
        </w:tc>
      </w:tr>
      <w:tr w:rsidR="00E70968" w:rsidRPr="00BC27EB" w:rsidTr="00842CB6">
        <w:tc>
          <w:tcPr>
            <w:tcW w:w="10395" w:type="dxa"/>
            <w:shd w:val="clear" w:color="auto" w:fill="AFCDE3"/>
            <w:vAlign w:val="center"/>
          </w:tcPr>
          <w:p w:rsidR="00E70968" w:rsidRPr="00BC27EB" w:rsidRDefault="00E70968" w:rsidP="00842CB6">
            <w:pPr>
              <w:keepNext/>
              <w:rPr>
                <w:rFonts w:ascii="Calibri" w:eastAsia="MS Mincho" w:hAnsi="Calibri" w:cs="Times New Roman"/>
              </w:rPr>
            </w:pPr>
            <w:r w:rsidRPr="00BC27EB">
              <w:rPr>
                <w:rFonts w:ascii="Calibri" w:eastAsia="MS Mincho" w:hAnsi="Calibri" w:cs="Times New Roman"/>
              </w:rPr>
              <w:lastRenderedPageBreak/>
              <w:t>Brief Description (Provide a paragraph that describes the scope of this standard action.)</w:t>
            </w:r>
          </w:p>
        </w:tc>
      </w:tr>
      <w:tr w:rsidR="00E70968" w:rsidRPr="00BC27EB" w:rsidTr="00842CB6">
        <w:tc>
          <w:tcPr>
            <w:tcW w:w="10395" w:type="dxa"/>
            <w:tcBorders>
              <w:bottom w:val="single" w:sz="4" w:space="0" w:color="auto"/>
            </w:tcBorders>
            <w:vAlign w:val="center"/>
          </w:tcPr>
          <w:p w:rsidR="00E70968" w:rsidRPr="0035189E" w:rsidRDefault="00E70968">
            <w:pPr>
              <w:spacing w:before="0" w:after="0" w:line="240" w:lineRule="auto"/>
              <w:rPr>
                <w:rFonts w:ascii="Calibri" w:eastAsia="MS Mincho" w:hAnsi="Calibri" w:cs="Times New Roman"/>
              </w:rPr>
            </w:pPr>
            <w:r>
              <w:t>The Standards Drafting Team (SDT) shall develop requirements and definition(s), as needed, for</w:t>
            </w:r>
            <w:r w:rsidR="00503BD8">
              <w:t xml:space="preserve"> </w:t>
            </w:r>
            <w:r w:rsidR="00AD7AB2">
              <w:t>Real</w:t>
            </w:r>
            <w:r>
              <w:t>-time monitoring and analysis capabilities to ensure effective operator situational awareness</w:t>
            </w:r>
            <w:r w:rsidR="0029582E">
              <w:t>.</w:t>
            </w:r>
            <w:r w:rsidR="00503BD8">
              <w:t xml:space="preserve"> </w:t>
            </w:r>
            <w:r w:rsidR="0029582E">
              <w:t>The project will</w:t>
            </w:r>
            <w:r>
              <w:t xml:space="preserve"> address recommendations from the 2003 Blackout Report, the 2011 Southwest Outage Report, and the RTBPTF Report, as well as directives from FERC Order No. 693, that have not already been addressed in existing or proposed Reliability Standards.</w:t>
            </w:r>
          </w:p>
        </w:tc>
      </w:tr>
      <w:tr w:rsidR="00E70968" w:rsidRPr="00BC27EB" w:rsidTr="00842CB6">
        <w:tc>
          <w:tcPr>
            <w:tcW w:w="10395" w:type="dxa"/>
            <w:shd w:val="clear" w:color="auto" w:fill="AFCDE3"/>
            <w:vAlign w:val="center"/>
          </w:tcPr>
          <w:p w:rsidR="00E70968" w:rsidRPr="00BC27EB" w:rsidRDefault="00E70968" w:rsidP="00842CB6">
            <w:pPr>
              <w:keepNext/>
              <w:rPr>
                <w:rFonts w:ascii="Calibri" w:eastAsia="MS Mincho" w:hAnsi="Calibri" w:cs="Times New Roman"/>
              </w:rPr>
            </w:pPr>
            <w:r w:rsidRPr="00BC27EB">
              <w:rPr>
                <w:rFonts w:ascii="Calibri" w:eastAsia="MS Mincho" w:hAnsi="Calibri" w:cs="Times New Roman"/>
              </w:rPr>
              <w:t>Detailed Description (Provide a description of the proposed project with sufficient details for the standard drafting team to execute the SAR. Also provide a justification for the development or revision of the standard, including an assessment of the reliability and market interface impacts of implementing or not implementing the standard action.)</w:t>
            </w:r>
          </w:p>
        </w:tc>
      </w:tr>
      <w:tr w:rsidR="00E70968" w:rsidRPr="00BC27EB" w:rsidTr="00842CB6">
        <w:tc>
          <w:tcPr>
            <w:tcW w:w="10395" w:type="dxa"/>
            <w:vAlign w:val="center"/>
          </w:tcPr>
          <w:p w:rsidR="00E70968" w:rsidRDefault="00E70968" w:rsidP="00842CB6">
            <w:pPr>
              <w:spacing w:before="0" w:after="0" w:line="240" w:lineRule="auto"/>
            </w:pPr>
            <w:r>
              <w:t xml:space="preserve">Situational awareness of </w:t>
            </w:r>
            <w:r w:rsidR="00AD7AB2">
              <w:t>Real</w:t>
            </w:r>
            <w:r>
              <w:t xml:space="preserve">-time system operations is enabled through </w:t>
            </w:r>
            <w:r w:rsidR="00C236F5">
              <w:t xml:space="preserve">monitoring and analysis </w:t>
            </w:r>
            <w:r>
              <w:t>tasks performed by operators</w:t>
            </w:r>
            <w:r w:rsidR="00C236F5">
              <w:t xml:space="preserve">. </w:t>
            </w:r>
            <w:r>
              <w:t xml:space="preserve">Existing and proposed TOP and IRO standards and definitions </w:t>
            </w:r>
            <w:r w:rsidR="00C236F5">
              <w:t xml:space="preserve">developed in </w:t>
            </w:r>
            <w:r>
              <w:lastRenderedPageBreak/>
              <w:t xml:space="preserve">Project 2014-03 Revisions to TOP and IRO Standards require Reliability Coordinators (RCs), Transmission Operators (TOPs), and Balancing Authorities (BAs) to perform monitoring and analysis to prevent instability, uncontrolled separation, and Cascading outages that adversely impact the Interconnection. </w:t>
            </w:r>
            <w:r w:rsidR="00961D98">
              <w:t xml:space="preserve">The proposed project will </w:t>
            </w:r>
            <w:r w:rsidR="001B76C0">
              <w:t>provide</w:t>
            </w:r>
            <w:r w:rsidR="00961D98">
              <w:t xml:space="preserve"> </w:t>
            </w:r>
            <w:r w:rsidR="00503BD8">
              <w:t xml:space="preserve">additional </w:t>
            </w:r>
            <w:r w:rsidR="00961D98">
              <w:t>reliability</w:t>
            </w:r>
            <w:r w:rsidR="001B76C0">
              <w:t xml:space="preserve"> benefit</w:t>
            </w:r>
            <w:r w:rsidR="00503BD8">
              <w:t>s</w:t>
            </w:r>
            <w:r w:rsidR="00961D98">
              <w:t xml:space="preserve"> by addressing issues with the availability and information quality of </w:t>
            </w:r>
            <w:r w:rsidR="00AD7AB2">
              <w:t>Real</w:t>
            </w:r>
            <w:r w:rsidR="00961D98">
              <w:t xml:space="preserve">-time monitoring and analysis capabilities. </w:t>
            </w:r>
          </w:p>
          <w:p w:rsidR="00E70968" w:rsidRDefault="00E70968" w:rsidP="00842CB6">
            <w:pPr>
              <w:spacing w:before="0" w:after="0" w:line="240" w:lineRule="auto"/>
            </w:pPr>
          </w:p>
          <w:p w:rsidR="00E70968" w:rsidRDefault="00961D98" w:rsidP="00842CB6">
            <w:pPr>
              <w:spacing w:before="0" w:after="0" w:line="240" w:lineRule="auto"/>
            </w:pPr>
            <w:r>
              <w:t>Specifically, t</w:t>
            </w:r>
            <w:r w:rsidR="00E70968">
              <w:t>he SDT will develop requirements and definition(s), as needed, to accomplish the following:</w:t>
            </w:r>
          </w:p>
          <w:p w:rsidR="00E70968" w:rsidRDefault="00E70968" w:rsidP="00E70968">
            <w:pPr>
              <w:pStyle w:val="ListParagraph"/>
              <w:numPr>
                <w:ilvl w:val="0"/>
                <w:numId w:val="33"/>
              </w:numPr>
              <w:spacing w:before="0" w:after="0" w:line="240" w:lineRule="auto"/>
            </w:pPr>
            <w:r>
              <w:t xml:space="preserve">Establish a common understanding of </w:t>
            </w:r>
            <w:r w:rsidRPr="000613A4">
              <w:rPr>
                <w:i/>
              </w:rPr>
              <w:t>monitoring</w:t>
            </w:r>
            <w:r>
              <w:t xml:space="preserve"> as it applies to </w:t>
            </w:r>
            <w:r w:rsidR="00AD7AB2">
              <w:t>Real</w:t>
            </w:r>
            <w:r>
              <w:t xml:space="preserve">-time situational awareness of the </w:t>
            </w:r>
            <w:r w:rsidR="00503BD8">
              <w:t>Bulk Electric System (</w:t>
            </w:r>
            <w:r>
              <w:t>BES</w:t>
            </w:r>
            <w:r w:rsidR="00503BD8">
              <w:t>)</w:t>
            </w:r>
            <w:r>
              <w:t>,</w:t>
            </w:r>
          </w:p>
          <w:p w:rsidR="00E70968" w:rsidRDefault="00E70968" w:rsidP="00E70968">
            <w:pPr>
              <w:pStyle w:val="ListParagraph"/>
              <w:numPr>
                <w:ilvl w:val="0"/>
                <w:numId w:val="33"/>
              </w:numPr>
              <w:spacing w:before="0" w:after="0" w:line="240" w:lineRule="auto"/>
            </w:pPr>
            <w:r>
              <w:t xml:space="preserve">Provide operators with indication(s) of the quality of information being provided by </w:t>
            </w:r>
            <w:r w:rsidRPr="00987D72">
              <w:rPr>
                <w:i/>
              </w:rPr>
              <w:t>monitoring</w:t>
            </w:r>
            <w:r>
              <w:t xml:space="preserve"> capabilities</w:t>
            </w:r>
            <w:r w:rsidR="00961D98">
              <w:t xml:space="preserve"> and procedure</w:t>
            </w:r>
            <w:r w:rsidR="00260C60">
              <w:t>(</w:t>
            </w:r>
            <w:r w:rsidR="00961D98">
              <w:t>s</w:t>
            </w:r>
            <w:r w:rsidR="00260C60">
              <w:t>)</w:t>
            </w:r>
            <w:r w:rsidR="00961D98">
              <w:t xml:space="preserve"> to address data quality issues</w:t>
            </w:r>
            <w:r>
              <w:t>,</w:t>
            </w:r>
          </w:p>
          <w:p w:rsidR="00E70968" w:rsidRDefault="00E70968" w:rsidP="00E70968">
            <w:pPr>
              <w:pStyle w:val="ListParagraph"/>
              <w:numPr>
                <w:ilvl w:val="0"/>
                <w:numId w:val="33"/>
              </w:numPr>
              <w:spacing w:before="0" w:after="0" w:line="240" w:lineRule="auto"/>
            </w:pPr>
            <w:r>
              <w:t xml:space="preserve">Provide operators with notification(s) during unplanned loss of </w:t>
            </w:r>
            <w:r w:rsidRPr="00987D72">
              <w:rPr>
                <w:i/>
              </w:rPr>
              <w:t>monitoring</w:t>
            </w:r>
            <w:r>
              <w:t xml:space="preserve"> capabilities,</w:t>
            </w:r>
          </w:p>
          <w:p w:rsidR="00E70968" w:rsidRDefault="00E70968" w:rsidP="00E70968">
            <w:pPr>
              <w:pStyle w:val="ListParagraph"/>
              <w:numPr>
                <w:ilvl w:val="0"/>
                <w:numId w:val="33"/>
              </w:numPr>
              <w:spacing w:before="0" w:after="0" w:line="240" w:lineRule="auto"/>
            </w:pPr>
            <w:r>
              <w:t xml:space="preserve">Provide operators with indication(s) of the quality of information being provided by </w:t>
            </w:r>
            <w:r w:rsidRPr="00987D72">
              <w:rPr>
                <w:i/>
              </w:rPr>
              <w:t>analysis</w:t>
            </w:r>
            <w:r>
              <w:t xml:space="preserve"> capabilities</w:t>
            </w:r>
            <w:r w:rsidR="00961D98">
              <w:t xml:space="preserve"> and procedure</w:t>
            </w:r>
            <w:r w:rsidR="00260C60">
              <w:t>(</w:t>
            </w:r>
            <w:r w:rsidR="00961D98">
              <w:t>s</w:t>
            </w:r>
            <w:r w:rsidR="00260C60">
              <w:t>)</w:t>
            </w:r>
            <w:r w:rsidR="00961D98">
              <w:t xml:space="preserve"> to address </w:t>
            </w:r>
            <w:r w:rsidR="00D92A5B">
              <w:t>analysis</w:t>
            </w:r>
            <w:r w:rsidR="00961D98">
              <w:t xml:space="preserve"> quality issues</w:t>
            </w:r>
            <w:r>
              <w:t>, and</w:t>
            </w:r>
          </w:p>
          <w:p w:rsidR="00E70968" w:rsidRDefault="00E70968" w:rsidP="00E70968">
            <w:pPr>
              <w:pStyle w:val="ListParagraph"/>
              <w:numPr>
                <w:ilvl w:val="0"/>
                <w:numId w:val="33"/>
              </w:numPr>
              <w:spacing w:before="0" w:after="0" w:line="240" w:lineRule="auto"/>
            </w:pPr>
            <w:r>
              <w:t xml:space="preserve">Provide operators with notification(s) during unplanned loss of </w:t>
            </w:r>
            <w:r w:rsidRPr="00987D72">
              <w:rPr>
                <w:i/>
              </w:rPr>
              <w:t>analysis</w:t>
            </w:r>
            <w:r>
              <w:t xml:space="preserve"> capabilities.</w:t>
            </w:r>
          </w:p>
          <w:p w:rsidR="00E70968" w:rsidRDefault="00E70968" w:rsidP="00842CB6">
            <w:pPr>
              <w:spacing w:before="0" w:after="0" w:line="240" w:lineRule="auto"/>
            </w:pPr>
          </w:p>
          <w:p w:rsidR="00E70968" w:rsidRPr="0093195F" w:rsidRDefault="00E70968" w:rsidP="00842CB6">
            <w:pPr>
              <w:spacing w:before="0" w:after="0" w:line="240" w:lineRule="auto"/>
              <w:rPr>
                <w:rFonts w:ascii="Calibri" w:eastAsia="MS Mincho" w:hAnsi="Calibri" w:cs="Times New Roman"/>
              </w:rPr>
            </w:pPr>
            <w:r>
              <w:t>When completed, the project will have addressed recommendations from the 2003 Blackout Report, the 2011 Southwest Outage Report, and the RTBPTF Report, as well as directives from FERC Order No. 693, that have not already been addressed in existing or proposed Reliability Standards.</w:t>
            </w:r>
          </w:p>
        </w:tc>
      </w:tr>
    </w:tbl>
    <w:p w:rsidR="00E70968" w:rsidRDefault="00E70968" w:rsidP="00E70968">
      <w:pPr>
        <w:rPr>
          <w:rFonts w:eastAsia="MS Mincho"/>
        </w:rPr>
      </w:pPr>
    </w:p>
    <w:p w:rsidR="00E70968" w:rsidRDefault="00E70968" w:rsidP="00E70968">
      <w:pPr>
        <w:spacing w:before="0" w:after="200"/>
        <w:rPr>
          <w:rFonts w:eastAsia="MS Mincho"/>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434"/>
        <w:gridCol w:w="7295"/>
      </w:tblGrid>
      <w:tr w:rsidR="00E70968" w:rsidRPr="00BC27EB" w:rsidTr="00842CB6">
        <w:trPr>
          <w:tblHeader/>
          <w:jc w:val="center"/>
        </w:trPr>
        <w:tc>
          <w:tcPr>
            <w:tcW w:w="10350" w:type="dxa"/>
            <w:gridSpan w:val="3"/>
            <w:shd w:val="clear" w:color="auto" w:fill="5D85A9" w:themeFill="accent2"/>
            <w:vAlign w:val="center"/>
          </w:tcPr>
          <w:p w:rsidR="00E70968" w:rsidRPr="00BC27EB" w:rsidRDefault="00E70968" w:rsidP="00842CB6">
            <w:pPr>
              <w:jc w:val="center"/>
              <w:rPr>
                <w:rFonts w:ascii="Calibri" w:eastAsia="MS Mincho" w:hAnsi="Calibri" w:cs="Times New Roman"/>
              </w:rPr>
            </w:pPr>
            <w:r w:rsidRPr="00BC27EB">
              <w:rPr>
                <w:rFonts w:ascii="Tahoma" w:eastAsia="MS Mincho" w:hAnsi="Tahoma" w:cs="Tahoma"/>
                <w:color w:val="FFFFFF"/>
              </w:rPr>
              <w:t>Reliability Functions</w:t>
            </w:r>
          </w:p>
        </w:tc>
      </w:tr>
      <w:tr w:rsidR="00E70968" w:rsidRPr="00BC27EB" w:rsidTr="00842CB6">
        <w:trPr>
          <w:jc w:val="center"/>
        </w:trPr>
        <w:tc>
          <w:tcPr>
            <w:tcW w:w="10350" w:type="dxa"/>
            <w:gridSpan w:val="3"/>
            <w:shd w:val="clear" w:color="auto" w:fill="AFCDE3"/>
            <w:vAlign w:val="center"/>
          </w:tcPr>
          <w:p w:rsidR="00E70968" w:rsidRPr="00BC27EB" w:rsidRDefault="00E70968" w:rsidP="00842CB6">
            <w:pPr>
              <w:keepNext/>
              <w:rPr>
                <w:rFonts w:ascii="Calibri" w:eastAsia="MS Mincho" w:hAnsi="Calibri" w:cs="Times New Roman"/>
              </w:rPr>
            </w:pPr>
            <w:r w:rsidRPr="00BC27EB">
              <w:rPr>
                <w:rFonts w:ascii="Calibri" w:eastAsia="MS Mincho" w:hAnsi="Calibri" w:cs="Times New Roman"/>
              </w:rPr>
              <w:t>The Standard will Apply to the Following Functions (Check each one that applies.)</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Regional Reliability Organization</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Conducts the regional activities related to planning and operations, and coordinates activities of Responsible Entities to secure the reliability of the Bulk Electric System within the region and adjacent regions.</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1"/>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Reliability Coordinator</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Responsible for the real-time operating reliability of its Reliability Coordinator Area in coordination with its neighboring Reliability Coordinator’s wide area view.</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Check5"/>
                  <w:enabled/>
                  <w:calcOnExit w:val="0"/>
                  <w:checkBox>
                    <w:sizeAuto/>
                    <w:default w:val="1"/>
                  </w:checkBox>
                </w:ffData>
              </w:fldChar>
            </w:r>
            <w:bookmarkStart w:id="8" w:name="Check5"/>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bookmarkEnd w:id="8"/>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Balancing Authority</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Integrates resource plans ahead of time, and maintains load-interchange-resource balance within a Balancing Authority Area and supports Interconnection frequency in real time.</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sidRPr="00BC27EB">
              <w:rPr>
                <w:rFonts w:ascii="Calibri" w:eastAsia="MS Mincho" w:hAnsi="Calibri" w:cs="Times New Roman"/>
              </w:rPr>
              <w:lastRenderedPageBreak/>
              <w:fldChar w:fldCharType="begin">
                <w:ffData>
                  <w:name w:val=""/>
                  <w:enabled/>
                  <w:calcOnExit w:val="0"/>
                  <w:checkBox>
                    <w:sizeAuto/>
                    <w:default w:val="0"/>
                    <w:checked w:val="0"/>
                  </w:checkBox>
                </w:ffData>
              </w:fldChar>
            </w:r>
            <w:r w:rsidRPr="00BC27EB">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sidRPr="00BC27EB">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Interchange Authority</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Ensures communication of interchange transactions for reliability evaluation purposes and coordinates implementation of valid and balanced interchange schedules between Balancing Authority Areas.</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 xml:space="preserve">Planning Coordinator </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Assesses the longer-term reliability of its Planning Coordinator Area.</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sidRPr="00BC27EB">
              <w:rPr>
                <w:rFonts w:ascii="Calibri" w:eastAsia="MS Mincho" w:hAnsi="Calibri" w:cs="Times New Roman"/>
              </w:rPr>
              <w:fldChar w:fldCharType="begin">
                <w:ffData>
                  <w:name w:val=""/>
                  <w:enabled/>
                  <w:calcOnExit w:val="0"/>
                  <w:checkBox>
                    <w:sizeAuto/>
                    <w:default w:val="0"/>
                    <w:checked w:val="0"/>
                  </w:checkBox>
                </w:ffData>
              </w:fldChar>
            </w:r>
            <w:r w:rsidRPr="00BC27EB">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sidRPr="00BC27EB">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Resource Planner</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Develops a &gt;one year plan for the resource adequacy of its specific loads within a Planning Coordinator area.</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Transmission Planner</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Develops a &gt;one year plan for the reliability of the interconnected Bulk Electric System within its portion of the Planning Coordinator area.</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sidRPr="00BC27EB">
              <w:rPr>
                <w:rFonts w:ascii="Calibri" w:eastAsia="MS Mincho" w:hAnsi="Calibri" w:cs="Times New Roman"/>
              </w:rPr>
              <w:fldChar w:fldCharType="begin">
                <w:ffData>
                  <w:name w:val=""/>
                  <w:enabled/>
                  <w:calcOnExit w:val="0"/>
                  <w:checkBox>
                    <w:sizeAuto/>
                    <w:default w:val="0"/>
                    <w:checked w:val="0"/>
                  </w:checkBox>
                </w:ffData>
              </w:fldChar>
            </w:r>
            <w:r w:rsidRPr="00BC27EB">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sidRPr="00BC27EB">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Transmission Service Provider</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Administers the transmission tariff and provides transmission services under applicable transmission service agreements (e.g., the pro forma tariff).</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Transmission Owner</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Owns and maintains transmission facilities.</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1"/>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Transmission Operator</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Ensures the real-time operating reliability of the transmission assets within a Transmission Operator Area.</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Distribution Provider</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Delivers electrical energy to the End-use customer.</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Generator Owner</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Owns and maintains generation facilities.</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Generator Operator</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Operates generati</w:t>
            </w:r>
            <w:r>
              <w:rPr>
                <w:rFonts w:ascii="Calibri" w:eastAsia="MS Mincho" w:hAnsi="Calibri" w:cs="Times New Roman"/>
              </w:rPr>
              <w:t>on unit(s) to provide real and Reactive P</w:t>
            </w:r>
            <w:r w:rsidRPr="00BC27EB">
              <w:rPr>
                <w:rFonts w:ascii="Calibri" w:eastAsia="MS Mincho" w:hAnsi="Calibri" w:cs="Times New Roman"/>
              </w:rPr>
              <w:t>ower.</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sidRPr="00BC27EB">
              <w:rPr>
                <w:rFonts w:ascii="Calibri" w:eastAsia="MS Mincho" w:hAnsi="Calibri" w:cs="Times New Roman"/>
              </w:rPr>
              <w:fldChar w:fldCharType="begin">
                <w:ffData>
                  <w:name w:val="Check5"/>
                  <w:enabled/>
                  <w:calcOnExit w:val="0"/>
                  <w:checkBox>
                    <w:sizeAuto/>
                    <w:default w:val="0"/>
                    <w:checked w:val="0"/>
                  </w:checkBox>
                </w:ffData>
              </w:fldChar>
            </w:r>
            <w:r w:rsidRPr="00BC27EB">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sidRPr="00BC27EB">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Purchasing-Selling Entity</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Purchases or sells energy, capacity, and necessary reliability-related services as required.</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sidRPr="00BC27EB">
              <w:rPr>
                <w:rFonts w:ascii="Calibri" w:eastAsia="MS Mincho" w:hAnsi="Calibri" w:cs="Times New Roman"/>
              </w:rPr>
              <w:fldChar w:fldCharType="begin">
                <w:ffData>
                  <w:name w:val=""/>
                  <w:enabled/>
                  <w:calcOnExit w:val="0"/>
                  <w:checkBox>
                    <w:sizeAuto/>
                    <w:default w:val="0"/>
                    <w:checked w:val="0"/>
                  </w:checkBox>
                </w:ffData>
              </w:fldChar>
            </w:r>
            <w:r w:rsidRPr="00BC27EB">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sidRPr="00BC27EB">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Market Operator</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Interface point for reliability functions with commercial functions.</w:t>
            </w:r>
          </w:p>
        </w:tc>
      </w:tr>
      <w:tr w:rsidR="00E70968" w:rsidRPr="00BC27EB" w:rsidTr="00842CB6">
        <w:trPr>
          <w:jc w:val="center"/>
        </w:trPr>
        <w:tc>
          <w:tcPr>
            <w:tcW w:w="664" w:type="dxa"/>
            <w:tcBorders>
              <w:right w:val="nil"/>
            </w:tcBorders>
            <w:vAlign w:val="center"/>
          </w:tcPr>
          <w:p w:rsidR="00E70968" w:rsidRPr="00BC27EB"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2423" w:type="dxa"/>
            <w:tcBorders>
              <w:left w:val="nil"/>
            </w:tcBorders>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Load-Serving Entity</w:t>
            </w:r>
          </w:p>
        </w:tc>
        <w:tc>
          <w:tcPr>
            <w:tcW w:w="7263" w:type="dxa"/>
            <w:vAlign w:val="center"/>
          </w:tcPr>
          <w:p w:rsidR="00E70968" w:rsidRPr="00BC27EB" w:rsidRDefault="00E70968" w:rsidP="00842CB6">
            <w:pPr>
              <w:rPr>
                <w:rFonts w:ascii="Calibri" w:eastAsia="MS Mincho" w:hAnsi="Calibri" w:cs="Times New Roman"/>
              </w:rPr>
            </w:pPr>
            <w:r w:rsidRPr="00BC27EB">
              <w:rPr>
                <w:rFonts w:ascii="Calibri" w:eastAsia="MS Mincho" w:hAnsi="Calibri" w:cs="Times New Roman"/>
              </w:rPr>
              <w:t>Secures energy and transmission service (and reliability-related services) to serve the End-use Customer.</w:t>
            </w:r>
          </w:p>
        </w:tc>
      </w:tr>
    </w:tbl>
    <w:p w:rsidR="00E70968" w:rsidRDefault="00E70968" w:rsidP="00E70968">
      <w:pPr>
        <w:rPr>
          <w:rFonts w:eastAsia="MS Mincho"/>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313"/>
        <w:gridCol w:w="1514"/>
      </w:tblGrid>
      <w:tr w:rsidR="00E70968" w:rsidRPr="00570020" w:rsidTr="00842CB6">
        <w:trPr>
          <w:tblHeader/>
          <w:jc w:val="center"/>
        </w:trPr>
        <w:tc>
          <w:tcPr>
            <w:tcW w:w="10350" w:type="dxa"/>
            <w:gridSpan w:val="3"/>
            <w:shd w:val="clear" w:color="auto" w:fill="204C81"/>
          </w:tcPr>
          <w:p w:rsidR="00E70968" w:rsidRPr="00570020" w:rsidRDefault="00E70968" w:rsidP="00842CB6">
            <w:pPr>
              <w:jc w:val="center"/>
              <w:rPr>
                <w:rFonts w:ascii="Tahoma" w:eastAsia="Times New Roman" w:hAnsi="Tahoma" w:cs="Tahoma"/>
                <w:color w:val="FFFFFF"/>
              </w:rPr>
            </w:pPr>
            <w:r w:rsidRPr="00570020">
              <w:rPr>
                <w:rFonts w:ascii="Tahoma" w:eastAsia="Times New Roman" w:hAnsi="Tahoma" w:cs="Tahoma"/>
                <w:color w:val="FFFFFF"/>
              </w:rPr>
              <w:t>Reliability and Market Interface Principles</w:t>
            </w:r>
          </w:p>
        </w:tc>
      </w:tr>
      <w:tr w:rsidR="00E70968" w:rsidRPr="00570020" w:rsidTr="00842CB6">
        <w:trPr>
          <w:jc w:val="center"/>
        </w:trPr>
        <w:tc>
          <w:tcPr>
            <w:tcW w:w="10350" w:type="dxa"/>
            <w:gridSpan w:val="3"/>
            <w:shd w:val="clear" w:color="auto" w:fill="AFCDE3"/>
          </w:tcPr>
          <w:p w:rsidR="00E70968" w:rsidRPr="00570020" w:rsidRDefault="00E70968" w:rsidP="00842CB6">
            <w:pPr>
              <w:keepNext/>
              <w:rPr>
                <w:rFonts w:ascii="Calibri" w:eastAsia="MS Mincho" w:hAnsi="Calibri" w:cs="Tahoma"/>
              </w:rPr>
            </w:pPr>
            <w:r w:rsidRPr="00570020">
              <w:rPr>
                <w:rFonts w:ascii="Calibri" w:eastAsia="MS Mincho" w:hAnsi="Calibri" w:cs="Tahoma"/>
              </w:rPr>
              <w:t>Applicable Reliability Principles (Check all that apply).</w:t>
            </w:r>
          </w:p>
        </w:tc>
      </w:tr>
      <w:tr w:rsidR="00E70968" w:rsidRPr="00570020" w:rsidTr="00842CB6">
        <w:trPr>
          <w:jc w:val="center"/>
        </w:trPr>
        <w:tc>
          <w:tcPr>
            <w:tcW w:w="566" w:type="dxa"/>
            <w:vAlign w:val="center"/>
          </w:tcPr>
          <w:p w:rsidR="00E70968" w:rsidRPr="00570020"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1"/>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9784" w:type="dxa"/>
            <w:gridSpan w:val="2"/>
          </w:tcPr>
          <w:p w:rsidR="00E70968" w:rsidRPr="00570020" w:rsidRDefault="00E70968" w:rsidP="00E70968">
            <w:pPr>
              <w:numPr>
                <w:ilvl w:val="0"/>
                <w:numId w:val="29"/>
              </w:numPr>
              <w:spacing w:before="120" w:after="120" w:line="240" w:lineRule="auto"/>
              <w:ind w:left="390"/>
              <w:contextualSpacing/>
              <w:rPr>
                <w:rFonts w:ascii="Calibri" w:eastAsia="MS Mincho" w:hAnsi="Calibri" w:cs="Times New Roman"/>
              </w:rPr>
            </w:pPr>
            <w:r w:rsidRPr="00570020">
              <w:rPr>
                <w:rFonts w:ascii="Calibri" w:eastAsia="MS Mincho" w:hAnsi="Calibri" w:cs="Times New Roman"/>
              </w:rPr>
              <w:t>Interconnected bulk power systems shall be planned and operated in a coordinated manner to perform reliably under normal and abnormal conditions as defined in the NERC Standards.</w:t>
            </w:r>
          </w:p>
        </w:tc>
      </w:tr>
      <w:tr w:rsidR="00E70968" w:rsidRPr="00570020" w:rsidTr="00842CB6">
        <w:trPr>
          <w:jc w:val="center"/>
        </w:trPr>
        <w:tc>
          <w:tcPr>
            <w:tcW w:w="566" w:type="dxa"/>
            <w:vAlign w:val="center"/>
          </w:tcPr>
          <w:p w:rsidR="00E70968" w:rsidRPr="00570020"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1"/>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9784" w:type="dxa"/>
            <w:gridSpan w:val="2"/>
          </w:tcPr>
          <w:p w:rsidR="00E70968" w:rsidRPr="00570020" w:rsidRDefault="00E70968" w:rsidP="00E70968">
            <w:pPr>
              <w:numPr>
                <w:ilvl w:val="0"/>
                <w:numId w:val="29"/>
              </w:numPr>
              <w:spacing w:before="120" w:after="120" w:line="240" w:lineRule="auto"/>
              <w:ind w:left="390"/>
              <w:contextualSpacing/>
              <w:rPr>
                <w:rFonts w:ascii="Calibri" w:eastAsia="MS Mincho" w:hAnsi="Calibri" w:cs="Times New Roman"/>
              </w:rPr>
            </w:pPr>
            <w:r w:rsidRPr="00570020">
              <w:rPr>
                <w:rFonts w:ascii="Calibri" w:eastAsia="MS Mincho" w:hAnsi="Calibri" w:cs="Times New Roman"/>
              </w:rPr>
              <w:t>The frequency and voltage of interconnected bulk power systems shall be controlled within defined limits thr</w:t>
            </w:r>
            <w:r>
              <w:rPr>
                <w:rFonts w:ascii="Calibri" w:eastAsia="MS Mincho" w:hAnsi="Calibri" w:cs="Times New Roman"/>
              </w:rPr>
              <w:t>ough the balancing of real and Reactive P</w:t>
            </w:r>
            <w:r w:rsidRPr="00570020">
              <w:rPr>
                <w:rFonts w:ascii="Calibri" w:eastAsia="MS Mincho" w:hAnsi="Calibri" w:cs="Times New Roman"/>
              </w:rPr>
              <w:t>ower supply and demand.</w:t>
            </w:r>
          </w:p>
        </w:tc>
      </w:tr>
      <w:tr w:rsidR="00E70968" w:rsidRPr="00570020" w:rsidTr="00842CB6">
        <w:trPr>
          <w:jc w:val="center"/>
        </w:trPr>
        <w:tc>
          <w:tcPr>
            <w:tcW w:w="566" w:type="dxa"/>
            <w:vAlign w:val="center"/>
          </w:tcPr>
          <w:p w:rsidR="00E70968" w:rsidRPr="00570020" w:rsidRDefault="00E70968" w:rsidP="00842CB6">
            <w:pPr>
              <w:jc w:val="center"/>
              <w:rPr>
                <w:rFonts w:ascii="Calibri" w:eastAsia="MS Mincho" w:hAnsi="Calibri" w:cs="Times New Roman"/>
              </w:rPr>
            </w:pPr>
            <w:r>
              <w:rPr>
                <w:rFonts w:ascii="Calibri" w:eastAsia="MS Mincho" w:hAnsi="Calibri" w:cs="Times New Roman"/>
              </w:rPr>
              <w:lastRenderedPageBreak/>
              <w:fldChar w:fldCharType="begin">
                <w:ffData>
                  <w:name w:val=""/>
                  <w:enabled/>
                  <w:calcOnExit w:val="0"/>
                  <w:checkBox>
                    <w:sizeAuto/>
                    <w:default w:val="1"/>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9784" w:type="dxa"/>
            <w:gridSpan w:val="2"/>
          </w:tcPr>
          <w:p w:rsidR="00E70968" w:rsidRPr="00570020" w:rsidRDefault="00E70968" w:rsidP="00E70968">
            <w:pPr>
              <w:numPr>
                <w:ilvl w:val="0"/>
                <w:numId w:val="29"/>
              </w:numPr>
              <w:spacing w:before="120" w:after="120" w:line="240" w:lineRule="auto"/>
              <w:ind w:left="390"/>
              <w:contextualSpacing/>
              <w:rPr>
                <w:rFonts w:ascii="Calibri" w:eastAsia="MS Mincho" w:hAnsi="Calibri" w:cs="Times New Roman"/>
              </w:rPr>
            </w:pPr>
            <w:r w:rsidRPr="00570020">
              <w:rPr>
                <w:rFonts w:ascii="Calibri" w:eastAsia="MS Mincho" w:hAnsi="Calibri" w:cs="Times New Roman"/>
              </w:rPr>
              <w:t>Information necessary for the planning and operation of interconnected bulk power systems shall be made available to those entities responsible for planning and operating the systems reliably.</w:t>
            </w:r>
          </w:p>
        </w:tc>
      </w:tr>
      <w:tr w:rsidR="00E70968" w:rsidRPr="00570020" w:rsidTr="00842CB6">
        <w:trPr>
          <w:jc w:val="center"/>
        </w:trPr>
        <w:tc>
          <w:tcPr>
            <w:tcW w:w="566" w:type="dxa"/>
            <w:vAlign w:val="center"/>
          </w:tcPr>
          <w:p w:rsidR="00E70968" w:rsidRPr="00570020"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9784" w:type="dxa"/>
            <w:gridSpan w:val="2"/>
          </w:tcPr>
          <w:p w:rsidR="00E70968" w:rsidRPr="00570020" w:rsidRDefault="00E70968" w:rsidP="00E70968">
            <w:pPr>
              <w:numPr>
                <w:ilvl w:val="0"/>
                <w:numId w:val="29"/>
              </w:numPr>
              <w:spacing w:before="120" w:after="120" w:line="240" w:lineRule="auto"/>
              <w:ind w:left="390"/>
              <w:contextualSpacing/>
              <w:rPr>
                <w:rFonts w:ascii="Calibri" w:eastAsia="MS Mincho" w:hAnsi="Calibri" w:cs="Times New Roman"/>
              </w:rPr>
            </w:pPr>
            <w:r w:rsidRPr="00570020">
              <w:rPr>
                <w:rFonts w:ascii="Calibri" w:eastAsia="MS Mincho" w:hAnsi="Calibri" w:cs="Times New Roman"/>
              </w:rPr>
              <w:t>Plans for emergency operation and system restoration of interconnected bulk power systems shall be developed, coordinated, maintained and implemented.</w:t>
            </w:r>
          </w:p>
        </w:tc>
      </w:tr>
      <w:tr w:rsidR="00E70968" w:rsidRPr="00570020" w:rsidTr="00842CB6">
        <w:trPr>
          <w:jc w:val="center"/>
        </w:trPr>
        <w:tc>
          <w:tcPr>
            <w:tcW w:w="566" w:type="dxa"/>
            <w:vAlign w:val="center"/>
          </w:tcPr>
          <w:p w:rsidR="00E70968" w:rsidRPr="00570020"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1"/>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9784" w:type="dxa"/>
            <w:gridSpan w:val="2"/>
          </w:tcPr>
          <w:p w:rsidR="00E70968" w:rsidRPr="00570020" w:rsidRDefault="00E70968" w:rsidP="00E70968">
            <w:pPr>
              <w:numPr>
                <w:ilvl w:val="0"/>
                <w:numId w:val="29"/>
              </w:numPr>
              <w:spacing w:before="120" w:after="120" w:line="240" w:lineRule="auto"/>
              <w:ind w:left="390"/>
              <w:contextualSpacing/>
              <w:rPr>
                <w:rFonts w:ascii="Calibri" w:eastAsia="MS Mincho" w:hAnsi="Calibri" w:cs="Times New Roman"/>
              </w:rPr>
            </w:pPr>
            <w:r w:rsidRPr="00570020">
              <w:rPr>
                <w:rFonts w:ascii="Calibri" w:eastAsia="MS Mincho" w:hAnsi="Calibri" w:cs="Times New Roman"/>
              </w:rPr>
              <w:t>Facilities for communication, monitoring and control shall be provided, used and maintained for the reliability of interconnected bulk power systems.</w:t>
            </w:r>
          </w:p>
        </w:tc>
      </w:tr>
      <w:tr w:rsidR="00E70968" w:rsidRPr="00570020" w:rsidTr="00842CB6">
        <w:trPr>
          <w:jc w:val="center"/>
        </w:trPr>
        <w:tc>
          <w:tcPr>
            <w:tcW w:w="566" w:type="dxa"/>
            <w:vAlign w:val="center"/>
          </w:tcPr>
          <w:p w:rsidR="00E70968" w:rsidRPr="00570020"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0"/>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9784" w:type="dxa"/>
            <w:gridSpan w:val="2"/>
          </w:tcPr>
          <w:p w:rsidR="00E70968" w:rsidRPr="00570020" w:rsidRDefault="00E70968" w:rsidP="00E70968">
            <w:pPr>
              <w:numPr>
                <w:ilvl w:val="0"/>
                <w:numId w:val="29"/>
              </w:numPr>
              <w:spacing w:before="120" w:after="120" w:line="240" w:lineRule="auto"/>
              <w:ind w:left="390"/>
              <w:contextualSpacing/>
              <w:rPr>
                <w:rFonts w:ascii="Calibri" w:eastAsia="MS Mincho" w:hAnsi="Calibri" w:cs="Times New Roman"/>
              </w:rPr>
            </w:pPr>
            <w:r w:rsidRPr="00570020">
              <w:rPr>
                <w:rFonts w:ascii="Calibri" w:eastAsia="MS Mincho" w:hAnsi="Calibri" w:cs="Times New Roman"/>
              </w:rPr>
              <w:t>Personnel responsible for planning and operating interconnected bulk power systems shall be trained, qualified, and have the responsibility and authority to implement actions.</w:t>
            </w:r>
          </w:p>
        </w:tc>
      </w:tr>
      <w:tr w:rsidR="00E70968" w:rsidRPr="00570020" w:rsidTr="00842CB6">
        <w:trPr>
          <w:jc w:val="center"/>
        </w:trPr>
        <w:tc>
          <w:tcPr>
            <w:tcW w:w="566" w:type="dxa"/>
            <w:vAlign w:val="center"/>
          </w:tcPr>
          <w:p w:rsidR="00E70968" w:rsidRPr="00570020" w:rsidRDefault="00E70968" w:rsidP="00842CB6">
            <w:pPr>
              <w:jc w:val="center"/>
              <w:rPr>
                <w:rFonts w:ascii="Calibri" w:eastAsia="MS Mincho" w:hAnsi="Calibri" w:cs="Times New Roman"/>
              </w:rPr>
            </w:pPr>
            <w:r>
              <w:rPr>
                <w:rFonts w:ascii="Calibri" w:eastAsia="MS Mincho" w:hAnsi="Calibri" w:cs="Times New Roman"/>
              </w:rPr>
              <w:fldChar w:fldCharType="begin">
                <w:ffData>
                  <w:name w:val=""/>
                  <w:enabled/>
                  <w:calcOnExit w:val="0"/>
                  <w:checkBox>
                    <w:sizeAuto/>
                    <w:default w:val="1"/>
                  </w:checkBox>
                </w:ffData>
              </w:fldChar>
            </w:r>
            <w:r>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Pr>
                <w:rFonts w:ascii="Calibri" w:eastAsia="MS Mincho" w:hAnsi="Calibri" w:cs="Times New Roman"/>
              </w:rPr>
              <w:fldChar w:fldCharType="end"/>
            </w:r>
          </w:p>
        </w:tc>
        <w:tc>
          <w:tcPr>
            <w:tcW w:w="9784" w:type="dxa"/>
            <w:gridSpan w:val="2"/>
          </w:tcPr>
          <w:p w:rsidR="00E70968" w:rsidRPr="00570020" w:rsidRDefault="00E70968" w:rsidP="00E70968">
            <w:pPr>
              <w:numPr>
                <w:ilvl w:val="0"/>
                <w:numId w:val="29"/>
              </w:numPr>
              <w:spacing w:before="120" w:after="120" w:line="240" w:lineRule="auto"/>
              <w:ind w:left="390"/>
              <w:contextualSpacing/>
              <w:rPr>
                <w:rFonts w:ascii="Calibri" w:eastAsia="MS Mincho" w:hAnsi="Calibri" w:cs="Times New Roman"/>
              </w:rPr>
            </w:pPr>
            <w:r w:rsidRPr="00570020">
              <w:rPr>
                <w:rFonts w:ascii="Calibri" w:eastAsia="MS Mincho" w:hAnsi="Calibri" w:cs="Times New Roman"/>
              </w:rPr>
              <w:t>The security of the interconnected bulk power systems shall be assessed, monitored and maintained on a wide area basis.</w:t>
            </w:r>
          </w:p>
        </w:tc>
      </w:tr>
      <w:tr w:rsidR="00E70968" w:rsidRPr="00570020" w:rsidTr="00842CB6">
        <w:trPr>
          <w:jc w:val="center"/>
        </w:trPr>
        <w:tc>
          <w:tcPr>
            <w:tcW w:w="566" w:type="dxa"/>
            <w:vAlign w:val="center"/>
          </w:tcPr>
          <w:p w:rsidR="00E70968" w:rsidRPr="00570020" w:rsidRDefault="00E70968" w:rsidP="00842CB6">
            <w:pPr>
              <w:jc w:val="center"/>
              <w:rPr>
                <w:rFonts w:ascii="Calibri" w:eastAsia="MS Mincho" w:hAnsi="Calibri" w:cs="Times New Roman"/>
              </w:rPr>
            </w:pPr>
            <w:r w:rsidRPr="00570020">
              <w:rPr>
                <w:rFonts w:ascii="Calibri" w:eastAsia="MS Mincho" w:hAnsi="Calibri" w:cs="Times New Roman"/>
              </w:rPr>
              <w:fldChar w:fldCharType="begin">
                <w:ffData>
                  <w:name w:val=""/>
                  <w:enabled/>
                  <w:calcOnExit w:val="0"/>
                  <w:checkBox>
                    <w:sizeAuto/>
                    <w:default w:val="0"/>
                    <w:checked w:val="0"/>
                  </w:checkBox>
                </w:ffData>
              </w:fldChar>
            </w:r>
            <w:r w:rsidRPr="00570020">
              <w:rPr>
                <w:rFonts w:ascii="Calibri" w:eastAsia="MS Mincho" w:hAnsi="Calibri" w:cs="Times New Roman"/>
              </w:rPr>
              <w:instrText xml:space="preserve"> FORMCHECKBOX </w:instrText>
            </w:r>
            <w:r w:rsidR="005C381C">
              <w:rPr>
                <w:rFonts w:ascii="Calibri" w:eastAsia="MS Mincho" w:hAnsi="Calibri" w:cs="Times New Roman"/>
              </w:rPr>
            </w:r>
            <w:r w:rsidR="005C381C">
              <w:rPr>
                <w:rFonts w:ascii="Calibri" w:eastAsia="MS Mincho" w:hAnsi="Calibri" w:cs="Times New Roman"/>
              </w:rPr>
              <w:fldChar w:fldCharType="separate"/>
            </w:r>
            <w:r w:rsidRPr="00570020">
              <w:rPr>
                <w:rFonts w:ascii="Calibri" w:eastAsia="MS Mincho" w:hAnsi="Calibri" w:cs="Times New Roman"/>
              </w:rPr>
              <w:fldChar w:fldCharType="end"/>
            </w:r>
          </w:p>
        </w:tc>
        <w:tc>
          <w:tcPr>
            <w:tcW w:w="9784" w:type="dxa"/>
            <w:gridSpan w:val="2"/>
          </w:tcPr>
          <w:p w:rsidR="00E70968" w:rsidRPr="00570020" w:rsidRDefault="00E70968" w:rsidP="00E70968">
            <w:pPr>
              <w:numPr>
                <w:ilvl w:val="0"/>
                <w:numId w:val="29"/>
              </w:numPr>
              <w:spacing w:before="120" w:after="120" w:line="240" w:lineRule="auto"/>
              <w:ind w:left="390"/>
              <w:contextualSpacing/>
              <w:rPr>
                <w:rFonts w:ascii="Calibri" w:eastAsia="MS Mincho" w:hAnsi="Calibri" w:cs="Times New Roman"/>
                <w:lang w:bidi="ar-SA"/>
              </w:rPr>
            </w:pPr>
            <w:r w:rsidRPr="00570020">
              <w:rPr>
                <w:rFonts w:ascii="Calibri" w:eastAsia="MS Mincho" w:hAnsi="Calibri" w:cs="Times New Roman"/>
                <w:lang w:bidi="ar-SA"/>
              </w:rPr>
              <w:t>Bulk power systems shall be protected from malicious physical or cyber attacks.</w:t>
            </w:r>
          </w:p>
        </w:tc>
      </w:tr>
      <w:tr w:rsidR="00E70968" w:rsidRPr="00570020" w:rsidTr="00842CB6">
        <w:trPr>
          <w:jc w:val="center"/>
        </w:trPr>
        <w:tc>
          <w:tcPr>
            <w:tcW w:w="8843" w:type="dxa"/>
            <w:gridSpan w:val="2"/>
            <w:shd w:val="clear" w:color="auto" w:fill="AFCDE3"/>
          </w:tcPr>
          <w:p w:rsidR="00E70968" w:rsidRPr="00570020" w:rsidRDefault="00E70968" w:rsidP="00842CB6">
            <w:pPr>
              <w:keepNext/>
              <w:rPr>
                <w:rFonts w:ascii="Calibri" w:eastAsia="MS Mincho" w:hAnsi="Calibri" w:cs="Tahoma"/>
                <w:szCs w:val="24"/>
              </w:rPr>
            </w:pPr>
            <w:r w:rsidRPr="00570020">
              <w:rPr>
                <w:rFonts w:ascii="Calibri" w:eastAsia="MS Mincho" w:hAnsi="Calibri" w:cs="Tahoma"/>
                <w:szCs w:val="24"/>
              </w:rPr>
              <w:t>Does the proposed Standard comply with all of the following Market Interface Principles?</w:t>
            </w:r>
          </w:p>
        </w:tc>
        <w:tc>
          <w:tcPr>
            <w:tcW w:w="1507" w:type="dxa"/>
            <w:shd w:val="clear" w:color="auto" w:fill="AFCDE3"/>
          </w:tcPr>
          <w:p w:rsidR="00E70968" w:rsidRPr="00570020" w:rsidRDefault="00E70968" w:rsidP="00842CB6">
            <w:pPr>
              <w:keepNext/>
              <w:jc w:val="center"/>
              <w:rPr>
                <w:rFonts w:ascii="Calibri" w:eastAsia="MS Mincho" w:hAnsi="Calibri" w:cs="Tahoma"/>
                <w:szCs w:val="24"/>
              </w:rPr>
            </w:pPr>
            <w:r w:rsidRPr="00570020">
              <w:rPr>
                <w:rFonts w:ascii="Calibri" w:eastAsia="MS Mincho" w:hAnsi="Calibri" w:cs="Tahoma"/>
                <w:szCs w:val="24"/>
              </w:rPr>
              <w:t>Enter</w:t>
            </w:r>
          </w:p>
          <w:p w:rsidR="00E70968" w:rsidRPr="00570020" w:rsidRDefault="00E70968" w:rsidP="00842CB6">
            <w:pPr>
              <w:keepNext/>
              <w:jc w:val="center"/>
              <w:rPr>
                <w:rFonts w:ascii="Calibri" w:eastAsia="MS Mincho" w:hAnsi="Calibri" w:cs="Tahoma"/>
                <w:szCs w:val="24"/>
              </w:rPr>
            </w:pPr>
            <w:r w:rsidRPr="00570020">
              <w:rPr>
                <w:rFonts w:ascii="Calibri" w:eastAsia="MS Mincho" w:hAnsi="Calibri" w:cs="Tahoma"/>
                <w:szCs w:val="24"/>
              </w:rPr>
              <w:t>(yes/no)</w:t>
            </w:r>
          </w:p>
        </w:tc>
      </w:tr>
      <w:tr w:rsidR="00E70968" w:rsidRPr="00570020" w:rsidTr="00842CB6">
        <w:trPr>
          <w:jc w:val="center"/>
        </w:trPr>
        <w:tc>
          <w:tcPr>
            <w:tcW w:w="8843" w:type="dxa"/>
            <w:gridSpan w:val="2"/>
            <w:vAlign w:val="center"/>
          </w:tcPr>
          <w:p w:rsidR="00E70968" w:rsidRPr="00570020" w:rsidRDefault="00E70968" w:rsidP="00E70968">
            <w:pPr>
              <w:numPr>
                <w:ilvl w:val="0"/>
                <w:numId w:val="30"/>
              </w:numPr>
              <w:spacing w:before="120" w:after="120" w:line="240" w:lineRule="auto"/>
              <w:contextualSpacing/>
              <w:rPr>
                <w:rFonts w:ascii="Calibri" w:eastAsia="MS Mincho" w:hAnsi="Calibri" w:cs="Times New Roman"/>
                <w:lang w:bidi="ar-SA"/>
              </w:rPr>
            </w:pPr>
            <w:r w:rsidRPr="00570020">
              <w:rPr>
                <w:rFonts w:ascii="Calibri" w:eastAsia="MS Mincho" w:hAnsi="Calibri" w:cs="Times New Roman"/>
                <w:lang w:bidi="ar-SA"/>
              </w:rPr>
              <w:t>A reliability standard shall not give any market participant an unfair competitive advantage.</w:t>
            </w:r>
          </w:p>
        </w:tc>
        <w:tc>
          <w:tcPr>
            <w:tcW w:w="1507" w:type="dxa"/>
            <w:vAlign w:val="center"/>
          </w:tcPr>
          <w:p w:rsidR="00E70968" w:rsidRPr="00570020" w:rsidRDefault="00E70968" w:rsidP="00842CB6">
            <w:pPr>
              <w:rPr>
                <w:rFonts w:ascii="Calibri" w:eastAsia="MS Mincho" w:hAnsi="Calibri" w:cs="Times New Roman"/>
                <w:lang w:bidi="ar-SA"/>
              </w:rPr>
            </w:pPr>
            <w:r>
              <w:rPr>
                <w:rFonts w:ascii="Calibri" w:eastAsia="MS Mincho" w:hAnsi="Calibri" w:cs="Times New Roman"/>
                <w:lang w:bidi="ar-SA"/>
              </w:rPr>
              <w:t>YES</w:t>
            </w:r>
          </w:p>
        </w:tc>
      </w:tr>
      <w:tr w:rsidR="00E70968" w:rsidRPr="00570020" w:rsidTr="00842CB6">
        <w:trPr>
          <w:jc w:val="center"/>
        </w:trPr>
        <w:tc>
          <w:tcPr>
            <w:tcW w:w="8843" w:type="dxa"/>
            <w:gridSpan w:val="2"/>
            <w:vAlign w:val="center"/>
          </w:tcPr>
          <w:p w:rsidR="00E70968" w:rsidRPr="00570020" w:rsidRDefault="00E70968" w:rsidP="00E70968">
            <w:pPr>
              <w:numPr>
                <w:ilvl w:val="0"/>
                <w:numId w:val="30"/>
              </w:numPr>
              <w:spacing w:before="120" w:after="120" w:line="240" w:lineRule="auto"/>
              <w:contextualSpacing/>
              <w:rPr>
                <w:rFonts w:ascii="Calibri" w:eastAsia="MS Mincho" w:hAnsi="Calibri" w:cs="Times New Roman"/>
                <w:lang w:bidi="ar-SA"/>
              </w:rPr>
            </w:pPr>
            <w:r w:rsidRPr="00570020">
              <w:rPr>
                <w:rFonts w:ascii="Calibri" w:eastAsia="MS Mincho" w:hAnsi="Calibri" w:cs="Times New Roman"/>
                <w:lang w:bidi="ar-SA"/>
              </w:rPr>
              <w:t>A reliability standard shall neither mandate nor prohibit any specific market structure.</w:t>
            </w:r>
          </w:p>
        </w:tc>
        <w:tc>
          <w:tcPr>
            <w:tcW w:w="1507" w:type="dxa"/>
            <w:vAlign w:val="center"/>
          </w:tcPr>
          <w:p w:rsidR="00E70968" w:rsidRPr="00570020" w:rsidRDefault="00E70968" w:rsidP="00842CB6">
            <w:pPr>
              <w:rPr>
                <w:rFonts w:ascii="Calibri" w:eastAsia="MS Mincho" w:hAnsi="Calibri" w:cs="Times New Roman"/>
                <w:lang w:bidi="ar-SA"/>
              </w:rPr>
            </w:pPr>
            <w:r>
              <w:rPr>
                <w:rFonts w:ascii="Calibri" w:eastAsia="MS Mincho" w:hAnsi="Calibri" w:cs="Times New Roman"/>
                <w:lang w:bidi="ar-SA"/>
              </w:rPr>
              <w:t>YES</w:t>
            </w:r>
          </w:p>
        </w:tc>
      </w:tr>
      <w:tr w:rsidR="00E70968" w:rsidRPr="00570020" w:rsidTr="00842CB6">
        <w:trPr>
          <w:jc w:val="center"/>
        </w:trPr>
        <w:tc>
          <w:tcPr>
            <w:tcW w:w="8843" w:type="dxa"/>
            <w:gridSpan w:val="2"/>
            <w:vAlign w:val="center"/>
          </w:tcPr>
          <w:p w:rsidR="00E70968" w:rsidRPr="00570020" w:rsidRDefault="00E70968" w:rsidP="00E70968">
            <w:pPr>
              <w:numPr>
                <w:ilvl w:val="0"/>
                <w:numId w:val="30"/>
              </w:numPr>
              <w:spacing w:before="120" w:after="120" w:line="240" w:lineRule="auto"/>
              <w:contextualSpacing/>
              <w:rPr>
                <w:rFonts w:ascii="Calibri" w:eastAsia="MS Mincho" w:hAnsi="Calibri" w:cs="Times New Roman"/>
                <w:lang w:bidi="ar-SA"/>
              </w:rPr>
            </w:pPr>
            <w:r w:rsidRPr="00570020">
              <w:rPr>
                <w:rFonts w:ascii="Calibri" w:eastAsia="MS Mincho" w:hAnsi="Calibri" w:cs="Times New Roman"/>
                <w:lang w:bidi="ar-SA"/>
              </w:rPr>
              <w:t>A reliability standard shall not preclude market solutions to achieving compliance with that standard.</w:t>
            </w:r>
          </w:p>
        </w:tc>
        <w:tc>
          <w:tcPr>
            <w:tcW w:w="1507" w:type="dxa"/>
            <w:vAlign w:val="center"/>
          </w:tcPr>
          <w:p w:rsidR="00E70968" w:rsidRPr="00570020" w:rsidRDefault="00E70968" w:rsidP="00842CB6">
            <w:pPr>
              <w:rPr>
                <w:rFonts w:ascii="Calibri" w:eastAsia="MS Mincho" w:hAnsi="Calibri" w:cs="Times New Roman"/>
                <w:lang w:bidi="ar-SA"/>
              </w:rPr>
            </w:pPr>
            <w:r>
              <w:rPr>
                <w:rFonts w:ascii="Calibri" w:eastAsia="MS Mincho" w:hAnsi="Calibri" w:cs="Times New Roman"/>
                <w:lang w:bidi="ar-SA"/>
              </w:rPr>
              <w:t>YES</w:t>
            </w:r>
          </w:p>
        </w:tc>
      </w:tr>
      <w:tr w:rsidR="00E70968" w:rsidRPr="00570020" w:rsidTr="00842CB6">
        <w:trPr>
          <w:jc w:val="center"/>
        </w:trPr>
        <w:tc>
          <w:tcPr>
            <w:tcW w:w="8843" w:type="dxa"/>
            <w:gridSpan w:val="2"/>
            <w:vAlign w:val="center"/>
          </w:tcPr>
          <w:p w:rsidR="00E70968" w:rsidRPr="00570020" w:rsidRDefault="00E70968" w:rsidP="00E70968">
            <w:pPr>
              <w:numPr>
                <w:ilvl w:val="0"/>
                <w:numId w:val="30"/>
              </w:numPr>
              <w:spacing w:before="120" w:after="120" w:line="240" w:lineRule="auto"/>
              <w:contextualSpacing/>
              <w:rPr>
                <w:rFonts w:ascii="Calibri" w:eastAsia="MS Mincho" w:hAnsi="Calibri" w:cs="Times New Roman"/>
                <w:lang w:bidi="ar-SA"/>
              </w:rPr>
            </w:pPr>
            <w:r w:rsidRPr="00570020">
              <w:rPr>
                <w:rFonts w:ascii="Calibri" w:eastAsia="MS Mincho" w:hAnsi="Calibri" w:cs="Times New Roman"/>
                <w:lang w:bidi="ar-SA"/>
              </w:rPr>
              <w:t>A reliability standard shall not require the public disclosure of commercially sensitive information.  All market participants shall have equal opportunity to access commercially non-sensitive information that is required for compliance with reliability standards.</w:t>
            </w:r>
          </w:p>
        </w:tc>
        <w:tc>
          <w:tcPr>
            <w:tcW w:w="1507" w:type="dxa"/>
            <w:vAlign w:val="center"/>
          </w:tcPr>
          <w:p w:rsidR="00E70968" w:rsidRPr="00570020" w:rsidRDefault="00E70968" w:rsidP="00842CB6">
            <w:pPr>
              <w:rPr>
                <w:rFonts w:ascii="Calibri" w:eastAsia="MS Mincho" w:hAnsi="Calibri" w:cs="Times New Roman"/>
                <w:lang w:bidi="ar-SA"/>
              </w:rPr>
            </w:pPr>
            <w:r>
              <w:rPr>
                <w:rFonts w:ascii="Calibri" w:eastAsia="MS Mincho" w:hAnsi="Calibri" w:cs="Times New Roman"/>
                <w:lang w:bidi="ar-SA"/>
              </w:rPr>
              <w:t>YES</w:t>
            </w:r>
          </w:p>
        </w:tc>
      </w:tr>
    </w:tbl>
    <w:p w:rsidR="00E70968" w:rsidRDefault="00E70968" w:rsidP="00E70968">
      <w:pPr>
        <w:rPr>
          <w:rFonts w:eastAsia="MS Mincho"/>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8315"/>
      </w:tblGrid>
      <w:tr w:rsidR="00E70968" w:rsidRPr="00570020" w:rsidTr="00842CB6">
        <w:trPr>
          <w:tblHeader/>
          <w:jc w:val="center"/>
        </w:trPr>
        <w:tc>
          <w:tcPr>
            <w:tcW w:w="10350" w:type="dxa"/>
            <w:gridSpan w:val="2"/>
            <w:shd w:val="clear" w:color="auto" w:fill="204C81"/>
          </w:tcPr>
          <w:p w:rsidR="00E70968" w:rsidRPr="00570020" w:rsidRDefault="00E70968" w:rsidP="00842CB6">
            <w:pPr>
              <w:jc w:val="center"/>
              <w:rPr>
                <w:rFonts w:ascii="Tahoma" w:eastAsia="Times New Roman" w:hAnsi="Tahoma" w:cs="Tahoma"/>
                <w:color w:val="FFFFFF"/>
              </w:rPr>
            </w:pPr>
            <w:r w:rsidRPr="00570020">
              <w:rPr>
                <w:rFonts w:ascii="Tahoma" w:eastAsia="Times New Roman" w:hAnsi="Tahoma" w:cs="Tahoma"/>
                <w:color w:val="FFFFFF"/>
              </w:rPr>
              <w:t>Related Standards</w:t>
            </w:r>
          </w:p>
        </w:tc>
      </w:tr>
      <w:tr w:rsidR="00E70968" w:rsidRPr="00570020" w:rsidTr="00842CB6">
        <w:trPr>
          <w:jc w:val="center"/>
        </w:trPr>
        <w:tc>
          <w:tcPr>
            <w:tcW w:w="2071" w:type="dxa"/>
            <w:shd w:val="clear" w:color="auto" w:fill="AFCDE3"/>
          </w:tcPr>
          <w:p w:rsidR="00E70968" w:rsidRPr="00570020" w:rsidRDefault="00E70968" w:rsidP="00842CB6">
            <w:pPr>
              <w:keepNext/>
              <w:jc w:val="center"/>
              <w:rPr>
                <w:rFonts w:ascii="Calibri" w:eastAsia="MS Mincho" w:hAnsi="Calibri" w:cs="Tahoma"/>
                <w:szCs w:val="24"/>
              </w:rPr>
            </w:pPr>
            <w:r w:rsidRPr="00570020">
              <w:rPr>
                <w:rFonts w:ascii="Calibri" w:eastAsia="MS Mincho" w:hAnsi="Calibri" w:cs="Tahoma"/>
                <w:szCs w:val="24"/>
              </w:rPr>
              <w:t>Standard No.</w:t>
            </w:r>
          </w:p>
        </w:tc>
        <w:tc>
          <w:tcPr>
            <w:tcW w:w="8279" w:type="dxa"/>
            <w:shd w:val="clear" w:color="auto" w:fill="AFCDE3"/>
          </w:tcPr>
          <w:p w:rsidR="00E70968" w:rsidRPr="00570020" w:rsidRDefault="00E70968" w:rsidP="00842CB6">
            <w:pPr>
              <w:keepNext/>
              <w:jc w:val="center"/>
              <w:rPr>
                <w:rFonts w:ascii="Calibri" w:eastAsia="MS Mincho" w:hAnsi="Calibri" w:cs="Tahoma"/>
                <w:szCs w:val="24"/>
              </w:rPr>
            </w:pPr>
            <w:r w:rsidRPr="00570020">
              <w:rPr>
                <w:rFonts w:ascii="Calibri" w:eastAsia="MS Mincho" w:hAnsi="Calibri" w:cs="Tahoma"/>
                <w:szCs w:val="24"/>
              </w:rPr>
              <w:t>Explanation</w:t>
            </w:r>
          </w:p>
        </w:tc>
      </w:tr>
      <w:tr w:rsidR="00E70968" w:rsidRPr="00570020" w:rsidTr="00842CB6">
        <w:trPr>
          <w:jc w:val="center"/>
        </w:trPr>
        <w:tc>
          <w:tcPr>
            <w:tcW w:w="2071" w:type="dxa"/>
          </w:tcPr>
          <w:p w:rsidR="00E70968" w:rsidRPr="00570020" w:rsidRDefault="00E70968">
            <w:pPr>
              <w:rPr>
                <w:rFonts w:ascii="Calibri" w:eastAsia="MS Mincho" w:hAnsi="Calibri" w:cs="Times New Roman"/>
              </w:rPr>
            </w:pPr>
            <w:r>
              <w:rPr>
                <w:rFonts w:ascii="Calibri" w:eastAsia="MS Mincho" w:hAnsi="Calibri" w:cs="Times New Roman"/>
              </w:rPr>
              <w:t xml:space="preserve">Project </w:t>
            </w:r>
            <w:r w:rsidR="00503BD8">
              <w:rPr>
                <w:rFonts w:ascii="Calibri" w:eastAsia="MS Mincho" w:hAnsi="Calibri" w:cs="Times New Roman"/>
              </w:rPr>
              <w:t>2014</w:t>
            </w:r>
            <w:r>
              <w:rPr>
                <w:rFonts w:ascii="Calibri" w:eastAsia="MS Mincho" w:hAnsi="Calibri" w:cs="Times New Roman"/>
              </w:rPr>
              <w:t>-03 Revisions to TOP and IRO Standards</w:t>
            </w:r>
          </w:p>
        </w:tc>
        <w:tc>
          <w:tcPr>
            <w:tcW w:w="8279" w:type="dxa"/>
          </w:tcPr>
          <w:p w:rsidR="00E70968" w:rsidRPr="00570020" w:rsidRDefault="00E70968" w:rsidP="00842CB6">
            <w:pPr>
              <w:rPr>
                <w:rFonts w:ascii="Calibri" w:eastAsia="MS Mincho" w:hAnsi="Calibri" w:cs="Times New Roman"/>
              </w:rPr>
            </w:pPr>
            <w:r>
              <w:t>Proposed TOP and IRO standards and definitions from Project 2014-03 require RC, TOP, and BAs to perform monitoring and analysis to prevent instability, uncontrolled separation, and Cascading outages that adversely impact the Interconnection. The proposed standards and definitions are pending regulatory approval.</w:t>
            </w:r>
          </w:p>
        </w:tc>
      </w:tr>
      <w:tr w:rsidR="00E70968" w:rsidRPr="00570020" w:rsidTr="00842CB6">
        <w:trPr>
          <w:jc w:val="center"/>
        </w:trPr>
        <w:tc>
          <w:tcPr>
            <w:tcW w:w="2071" w:type="dxa"/>
          </w:tcPr>
          <w:p w:rsidR="00E70968" w:rsidRPr="00570020" w:rsidRDefault="00E70968" w:rsidP="00842CB6">
            <w:pPr>
              <w:rPr>
                <w:rFonts w:ascii="Calibri" w:eastAsia="MS Mincho" w:hAnsi="Calibri" w:cs="Times New Roman"/>
              </w:rPr>
            </w:pPr>
          </w:p>
        </w:tc>
        <w:tc>
          <w:tcPr>
            <w:tcW w:w="8279" w:type="dxa"/>
          </w:tcPr>
          <w:p w:rsidR="00E70968" w:rsidRPr="00570020" w:rsidRDefault="00E70968" w:rsidP="00842CB6">
            <w:pPr>
              <w:rPr>
                <w:rFonts w:ascii="Calibri" w:eastAsia="MS Mincho" w:hAnsi="Calibri" w:cs="Times New Roman"/>
              </w:rPr>
            </w:pPr>
          </w:p>
        </w:tc>
      </w:tr>
      <w:tr w:rsidR="00E70968" w:rsidRPr="00570020" w:rsidTr="00842CB6">
        <w:trPr>
          <w:jc w:val="center"/>
        </w:trPr>
        <w:tc>
          <w:tcPr>
            <w:tcW w:w="2071" w:type="dxa"/>
          </w:tcPr>
          <w:p w:rsidR="00E70968" w:rsidRPr="00570020" w:rsidRDefault="00E70968" w:rsidP="00842CB6">
            <w:pPr>
              <w:rPr>
                <w:rFonts w:ascii="Calibri" w:eastAsia="MS Mincho" w:hAnsi="Calibri" w:cs="Times New Roman"/>
              </w:rPr>
            </w:pPr>
          </w:p>
        </w:tc>
        <w:tc>
          <w:tcPr>
            <w:tcW w:w="8279" w:type="dxa"/>
          </w:tcPr>
          <w:p w:rsidR="00E70968" w:rsidRPr="00570020" w:rsidRDefault="00E70968" w:rsidP="00842CB6">
            <w:pPr>
              <w:rPr>
                <w:rFonts w:ascii="Calibri" w:eastAsia="MS Mincho" w:hAnsi="Calibri" w:cs="Times New Roman"/>
              </w:rPr>
            </w:pPr>
          </w:p>
        </w:tc>
      </w:tr>
      <w:tr w:rsidR="00E70968" w:rsidRPr="00570020" w:rsidTr="00842CB6">
        <w:trPr>
          <w:jc w:val="center"/>
        </w:trPr>
        <w:tc>
          <w:tcPr>
            <w:tcW w:w="2071" w:type="dxa"/>
          </w:tcPr>
          <w:p w:rsidR="00E70968" w:rsidRPr="00570020" w:rsidRDefault="00E70968" w:rsidP="00842CB6">
            <w:pPr>
              <w:rPr>
                <w:rFonts w:ascii="Calibri" w:eastAsia="MS Mincho" w:hAnsi="Calibri" w:cs="Times New Roman"/>
              </w:rPr>
            </w:pPr>
          </w:p>
        </w:tc>
        <w:tc>
          <w:tcPr>
            <w:tcW w:w="8279" w:type="dxa"/>
          </w:tcPr>
          <w:p w:rsidR="00E70968" w:rsidRPr="00570020" w:rsidRDefault="00E70968" w:rsidP="00842CB6">
            <w:pPr>
              <w:rPr>
                <w:rFonts w:ascii="Calibri" w:eastAsia="MS Mincho" w:hAnsi="Calibri" w:cs="Times New Roman"/>
              </w:rPr>
            </w:pPr>
          </w:p>
        </w:tc>
      </w:tr>
    </w:tbl>
    <w:p w:rsidR="00E70968" w:rsidRDefault="00E70968" w:rsidP="00E70968">
      <w:pPr>
        <w:rPr>
          <w:rFonts w:eastAsia="MS Mincho"/>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8451"/>
      </w:tblGrid>
      <w:tr w:rsidR="00E70968" w:rsidRPr="00570020" w:rsidTr="00842CB6">
        <w:trPr>
          <w:tblHeader/>
          <w:jc w:val="center"/>
        </w:trPr>
        <w:tc>
          <w:tcPr>
            <w:tcW w:w="10395" w:type="dxa"/>
            <w:gridSpan w:val="2"/>
            <w:shd w:val="clear" w:color="auto" w:fill="204C81"/>
          </w:tcPr>
          <w:p w:rsidR="00E70968" w:rsidRPr="00570020" w:rsidRDefault="00E70968" w:rsidP="00842CB6">
            <w:pPr>
              <w:jc w:val="center"/>
              <w:rPr>
                <w:rFonts w:ascii="Tahoma" w:eastAsia="MS Mincho" w:hAnsi="Tahoma" w:cs="Tahoma"/>
                <w:color w:val="FFFFFF"/>
              </w:rPr>
            </w:pPr>
            <w:r w:rsidRPr="00570020">
              <w:rPr>
                <w:rFonts w:ascii="Tahoma" w:eastAsia="MS Mincho" w:hAnsi="Tahoma" w:cs="Tahoma"/>
                <w:color w:val="FFFFFF"/>
              </w:rPr>
              <w:t>Related SARs</w:t>
            </w:r>
          </w:p>
        </w:tc>
      </w:tr>
      <w:tr w:rsidR="00E70968" w:rsidRPr="00570020" w:rsidTr="00842CB6">
        <w:trPr>
          <w:jc w:val="center"/>
        </w:trPr>
        <w:tc>
          <w:tcPr>
            <w:tcW w:w="1944" w:type="dxa"/>
            <w:shd w:val="clear" w:color="auto" w:fill="AFCDE3"/>
          </w:tcPr>
          <w:p w:rsidR="00E70968" w:rsidRPr="00570020" w:rsidRDefault="00E70968" w:rsidP="00842CB6">
            <w:pPr>
              <w:keepNext/>
              <w:jc w:val="center"/>
              <w:rPr>
                <w:rFonts w:ascii="Calibri" w:eastAsia="MS Mincho" w:hAnsi="Calibri" w:cs="Tahoma"/>
                <w:szCs w:val="24"/>
              </w:rPr>
            </w:pPr>
            <w:r w:rsidRPr="00570020">
              <w:rPr>
                <w:rFonts w:ascii="Calibri" w:eastAsia="MS Mincho" w:hAnsi="Calibri" w:cs="Tahoma"/>
                <w:szCs w:val="24"/>
              </w:rPr>
              <w:t>SAR ID</w:t>
            </w:r>
          </w:p>
        </w:tc>
        <w:tc>
          <w:tcPr>
            <w:tcW w:w="8451" w:type="dxa"/>
            <w:shd w:val="clear" w:color="auto" w:fill="AFCDE3"/>
          </w:tcPr>
          <w:p w:rsidR="00E70968" w:rsidRPr="00570020" w:rsidRDefault="00E70968" w:rsidP="00842CB6">
            <w:pPr>
              <w:keepNext/>
              <w:jc w:val="center"/>
              <w:rPr>
                <w:rFonts w:ascii="Calibri" w:eastAsia="MS Mincho" w:hAnsi="Calibri" w:cs="Tahoma"/>
                <w:szCs w:val="24"/>
              </w:rPr>
            </w:pPr>
            <w:r w:rsidRPr="00570020">
              <w:rPr>
                <w:rFonts w:ascii="Calibri" w:eastAsia="MS Mincho" w:hAnsi="Calibri" w:cs="Tahoma"/>
                <w:szCs w:val="24"/>
              </w:rPr>
              <w:t>Explanation</w:t>
            </w:r>
          </w:p>
        </w:tc>
      </w:tr>
      <w:tr w:rsidR="00E70968" w:rsidRPr="00570020" w:rsidTr="00842CB6">
        <w:trPr>
          <w:jc w:val="center"/>
        </w:trPr>
        <w:tc>
          <w:tcPr>
            <w:tcW w:w="1944" w:type="dxa"/>
          </w:tcPr>
          <w:p w:rsidR="00E70968" w:rsidRPr="00570020" w:rsidRDefault="00E70968" w:rsidP="00842CB6">
            <w:pPr>
              <w:rPr>
                <w:rFonts w:ascii="Calibri" w:eastAsia="MS Mincho" w:hAnsi="Calibri" w:cs="Times New Roman"/>
              </w:rPr>
            </w:pPr>
          </w:p>
        </w:tc>
        <w:tc>
          <w:tcPr>
            <w:tcW w:w="8451" w:type="dxa"/>
          </w:tcPr>
          <w:p w:rsidR="00E70968" w:rsidRPr="00570020" w:rsidRDefault="00E70968" w:rsidP="00842CB6">
            <w:pPr>
              <w:rPr>
                <w:rFonts w:ascii="Calibri" w:eastAsia="MS Mincho" w:hAnsi="Calibri" w:cs="Times New Roman"/>
              </w:rPr>
            </w:pPr>
          </w:p>
        </w:tc>
      </w:tr>
      <w:tr w:rsidR="00E70968" w:rsidRPr="00570020" w:rsidTr="00842CB6">
        <w:trPr>
          <w:jc w:val="center"/>
        </w:trPr>
        <w:tc>
          <w:tcPr>
            <w:tcW w:w="1944" w:type="dxa"/>
          </w:tcPr>
          <w:p w:rsidR="00E70968" w:rsidRPr="00570020" w:rsidRDefault="00E70968" w:rsidP="00842CB6">
            <w:pPr>
              <w:rPr>
                <w:rFonts w:ascii="Calibri" w:eastAsia="MS Mincho" w:hAnsi="Calibri" w:cs="Times New Roman"/>
              </w:rPr>
            </w:pPr>
          </w:p>
        </w:tc>
        <w:tc>
          <w:tcPr>
            <w:tcW w:w="8451" w:type="dxa"/>
          </w:tcPr>
          <w:p w:rsidR="00E70968" w:rsidRPr="00570020" w:rsidRDefault="00E70968" w:rsidP="00842CB6">
            <w:pPr>
              <w:rPr>
                <w:rFonts w:ascii="Calibri" w:eastAsia="MS Mincho" w:hAnsi="Calibri" w:cs="Times New Roman"/>
              </w:rPr>
            </w:pPr>
          </w:p>
        </w:tc>
      </w:tr>
    </w:tbl>
    <w:p w:rsidR="00E70968" w:rsidRDefault="00E70968" w:rsidP="00E70968">
      <w:pPr>
        <w:rPr>
          <w:rFonts w:eastAsia="MS Mincho"/>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9448"/>
      </w:tblGrid>
      <w:tr w:rsidR="00E70968" w:rsidRPr="00570020" w:rsidTr="00842CB6">
        <w:trPr>
          <w:tblHeader/>
          <w:jc w:val="center"/>
        </w:trPr>
        <w:tc>
          <w:tcPr>
            <w:tcW w:w="10395" w:type="dxa"/>
            <w:gridSpan w:val="2"/>
            <w:shd w:val="clear" w:color="auto" w:fill="204C81"/>
          </w:tcPr>
          <w:p w:rsidR="00E70968" w:rsidRPr="00570020" w:rsidRDefault="00E70968" w:rsidP="00842CB6">
            <w:pPr>
              <w:jc w:val="center"/>
              <w:rPr>
                <w:rFonts w:ascii="Tahoma" w:eastAsia="MS Mincho" w:hAnsi="Tahoma" w:cs="Tahoma"/>
                <w:color w:val="FFFFFF"/>
              </w:rPr>
            </w:pPr>
            <w:r w:rsidRPr="00570020">
              <w:rPr>
                <w:rFonts w:ascii="Tahoma" w:eastAsia="MS Mincho" w:hAnsi="Tahoma" w:cs="Tahoma"/>
                <w:color w:val="FFFFFF"/>
              </w:rPr>
              <w:t>Regional Variances</w:t>
            </w:r>
          </w:p>
        </w:tc>
      </w:tr>
      <w:tr w:rsidR="00E70968" w:rsidRPr="00570020" w:rsidTr="00842CB6">
        <w:trPr>
          <w:jc w:val="center"/>
        </w:trPr>
        <w:tc>
          <w:tcPr>
            <w:tcW w:w="947" w:type="dxa"/>
            <w:shd w:val="clear" w:color="auto" w:fill="AFCDE3"/>
          </w:tcPr>
          <w:p w:rsidR="00E70968" w:rsidRPr="00570020" w:rsidRDefault="00E70968" w:rsidP="00842CB6">
            <w:pPr>
              <w:keepNext/>
              <w:jc w:val="center"/>
              <w:rPr>
                <w:rFonts w:ascii="Calibri" w:eastAsia="MS Mincho" w:hAnsi="Calibri" w:cs="Tahoma"/>
                <w:szCs w:val="24"/>
              </w:rPr>
            </w:pPr>
            <w:r w:rsidRPr="00570020">
              <w:rPr>
                <w:rFonts w:ascii="Calibri" w:eastAsia="MS Mincho" w:hAnsi="Calibri" w:cs="Tahoma"/>
                <w:szCs w:val="24"/>
              </w:rPr>
              <w:t>Region</w:t>
            </w:r>
          </w:p>
        </w:tc>
        <w:tc>
          <w:tcPr>
            <w:tcW w:w="9448" w:type="dxa"/>
            <w:shd w:val="clear" w:color="auto" w:fill="AFCDE3"/>
          </w:tcPr>
          <w:p w:rsidR="00E70968" w:rsidRPr="00570020" w:rsidRDefault="00E70968" w:rsidP="00842CB6">
            <w:pPr>
              <w:keepNext/>
              <w:jc w:val="center"/>
              <w:rPr>
                <w:rFonts w:ascii="Calibri" w:eastAsia="MS Mincho" w:hAnsi="Calibri" w:cs="Tahoma"/>
                <w:szCs w:val="24"/>
              </w:rPr>
            </w:pPr>
            <w:r w:rsidRPr="00570020">
              <w:rPr>
                <w:rFonts w:ascii="Calibri" w:eastAsia="MS Mincho" w:hAnsi="Calibri" w:cs="Tahoma"/>
                <w:szCs w:val="24"/>
              </w:rPr>
              <w:t>Explanation</w:t>
            </w:r>
          </w:p>
        </w:tc>
      </w:tr>
      <w:tr w:rsidR="00E70968" w:rsidRPr="00570020" w:rsidTr="00842CB6">
        <w:trPr>
          <w:jc w:val="center"/>
        </w:trPr>
        <w:tc>
          <w:tcPr>
            <w:tcW w:w="947" w:type="dxa"/>
          </w:tcPr>
          <w:p w:rsidR="00E70968" w:rsidRPr="00570020" w:rsidRDefault="00E70968" w:rsidP="00842CB6">
            <w:pPr>
              <w:rPr>
                <w:rFonts w:ascii="Calibri" w:eastAsia="MS Mincho" w:hAnsi="Calibri" w:cs="Times New Roman"/>
              </w:rPr>
            </w:pPr>
            <w:r w:rsidRPr="00570020">
              <w:rPr>
                <w:rFonts w:ascii="Calibri" w:eastAsia="MS Mincho" w:hAnsi="Calibri" w:cs="Times New Roman"/>
              </w:rPr>
              <w:t>ERCOT</w:t>
            </w:r>
          </w:p>
        </w:tc>
        <w:tc>
          <w:tcPr>
            <w:tcW w:w="9448" w:type="dxa"/>
          </w:tcPr>
          <w:p w:rsidR="00E70968" w:rsidRPr="00570020" w:rsidRDefault="00E70968" w:rsidP="00842CB6">
            <w:pPr>
              <w:rPr>
                <w:rFonts w:ascii="Calibri" w:eastAsia="MS Mincho" w:hAnsi="Calibri" w:cs="Times New Roman"/>
              </w:rPr>
            </w:pPr>
          </w:p>
        </w:tc>
      </w:tr>
      <w:tr w:rsidR="00E70968" w:rsidRPr="00570020" w:rsidTr="00842CB6">
        <w:trPr>
          <w:jc w:val="center"/>
        </w:trPr>
        <w:tc>
          <w:tcPr>
            <w:tcW w:w="947" w:type="dxa"/>
          </w:tcPr>
          <w:p w:rsidR="00E70968" w:rsidRPr="00570020" w:rsidRDefault="00E70968" w:rsidP="00842CB6">
            <w:pPr>
              <w:rPr>
                <w:rFonts w:ascii="Calibri" w:eastAsia="MS Mincho" w:hAnsi="Calibri" w:cs="Times New Roman"/>
              </w:rPr>
            </w:pPr>
            <w:r w:rsidRPr="00570020">
              <w:rPr>
                <w:rFonts w:ascii="Calibri" w:eastAsia="MS Mincho" w:hAnsi="Calibri" w:cs="Times New Roman"/>
              </w:rPr>
              <w:t>FRCC</w:t>
            </w:r>
          </w:p>
        </w:tc>
        <w:tc>
          <w:tcPr>
            <w:tcW w:w="9448" w:type="dxa"/>
          </w:tcPr>
          <w:p w:rsidR="00E70968" w:rsidRPr="00570020" w:rsidRDefault="00E70968" w:rsidP="00842CB6">
            <w:pPr>
              <w:rPr>
                <w:rFonts w:ascii="Calibri" w:eastAsia="MS Mincho" w:hAnsi="Calibri" w:cs="Times New Roman"/>
              </w:rPr>
            </w:pPr>
          </w:p>
        </w:tc>
      </w:tr>
      <w:tr w:rsidR="00E70968" w:rsidRPr="00570020" w:rsidTr="00842CB6">
        <w:trPr>
          <w:jc w:val="center"/>
        </w:trPr>
        <w:tc>
          <w:tcPr>
            <w:tcW w:w="947" w:type="dxa"/>
          </w:tcPr>
          <w:p w:rsidR="00E70968" w:rsidRPr="00570020" w:rsidRDefault="00E70968" w:rsidP="00842CB6">
            <w:pPr>
              <w:rPr>
                <w:rFonts w:ascii="Calibri" w:eastAsia="MS Mincho" w:hAnsi="Calibri" w:cs="Times New Roman"/>
              </w:rPr>
            </w:pPr>
            <w:r w:rsidRPr="00570020">
              <w:rPr>
                <w:rFonts w:ascii="Calibri" w:eastAsia="MS Mincho" w:hAnsi="Calibri" w:cs="Times New Roman"/>
              </w:rPr>
              <w:t>MRO</w:t>
            </w:r>
          </w:p>
        </w:tc>
        <w:tc>
          <w:tcPr>
            <w:tcW w:w="9448" w:type="dxa"/>
          </w:tcPr>
          <w:p w:rsidR="00E70968" w:rsidRPr="00570020" w:rsidRDefault="00E70968" w:rsidP="00842CB6">
            <w:pPr>
              <w:rPr>
                <w:rFonts w:ascii="Calibri" w:eastAsia="MS Mincho" w:hAnsi="Calibri" w:cs="Times New Roman"/>
              </w:rPr>
            </w:pPr>
          </w:p>
        </w:tc>
      </w:tr>
      <w:tr w:rsidR="00E70968" w:rsidRPr="00570020" w:rsidTr="00842CB6">
        <w:trPr>
          <w:jc w:val="center"/>
        </w:trPr>
        <w:tc>
          <w:tcPr>
            <w:tcW w:w="947" w:type="dxa"/>
          </w:tcPr>
          <w:p w:rsidR="00E70968" w:rsidRPr="00570020" w:rsidRDefault="00E70968" w:rsidP="00842CB6">
            <w:pPr>
              <w:rPr>
                <w:rFonts w:ascii="Calibri" w:eastAsia="MS Mincho" w:hAnsi="Calibri" w:cs="Times New Roman"/>
              </w:rPr>
            </w:pPr>
            <w:r w:rsidRPr="00570020">
              <w:rPr>
                <w:rFonts w:ascii="Calibri" w:eastAsia="MS Mincho" w:hAnsi="Calibri" w:cs="Times New Roman"/>
              </w:rPr>
              <w:t>NPCC</w:t>
            </w:r>
          </w:p>
        </w:tc>
        <w:tc>
          <w:tcPr>
            <w:tcW w:w="9448" w:type="dxa"/>
          </w:tcPr>
          <w:p w:rsidR="00E70968" w:rsidRPr="00570020" w:rsidRDefault="00E70968" w:rsidP="00842CB6">
            <w:pPr>
              <w:rPr>
                <w:rFonts w:ascii="Calibri" w:eastAsia="MS Mincho" w:hAnsi="Calibri" w:cs="Times New Roman"/>
              </w:rPr>
            </w:pPr>
          </w:p>
        </w:tc>
      </w:tr>
      <w:tr w:rsidR="00E70968" w:rsidRPr="00570020" w:rsidTr="00842CB6">
        <w:trPr>
          <w:jc w:val="center"/>
        </w:trPr>
        <w:tc>
          <w:tcPr>
            <w:tcW w:w="947" w:type="dxa"/>
          </w:tcPr>
          <w:p w:rsidR="00E70968" w:rsidRPr="00570020" w:rsidRDefault="00E70968" w:rsidP="00842CB6">
            <w:pPr>
              <w:rPr>
                <w:rFonts w:ascii="Calibri" w:eastAsia="MS Mincho" w:hAnsi="Calibri" w:cs="Times New Roman"/>
              </w:rPr>
            </w:pPr>
            <w:r w:rsidRPr="00570020">
              <w:rPr>
                <w:rFonts w:ascii="Calibri" w:eastAsia="MS Mincho" w:hAnsi="Calibri" w:cs="Times New Roman"/>
              </w:rPr>
              <w:t>RFC</w:t>
            </w:r>
          </w:p>
        </w:tc>
        <w:tc>
          <w:tcPr>
            <w:tcW w:w="9448" w:type="dxa"/>
          </w:tcPr>
          <w:p w:rsidR="00E70968" w:rsidRPr="00570020" w:rsidRDefault="00E70968" w:rsidP="00842CB6">
            <w:pPr>
              <w:rPr>
                <w:rFonts w:ascii="Calibri" w:eastAsia="MS Mincho" w:hAnsi="Calibri" w:cs="Times New Roman"/>
              </w:rPr>
            </w:pPr>
          </w:p>
        </w:tc>
      </w:tr>
      <w:tr w:rsidR="00E70968" w:rsidRPr="00570020" w:rsidTr="00842CB6">
        <w:trPr>
          <w:jc w:val="center"/>
        </w:trPr>
        <w:tc>
          <w:tcPr>
            <w:tcW w:w="947" w:type="dxa"/>
          </w:tcPr>
          <w:p w:rsidR="00E70968" w:rsidRPr="00570020" w:rsidRDefault="00E70968" w:rsidP="00842CB6">
            <w:pPr>
              <w:rPr>
                <w:rFonts w:ascii="Calibri" w:eastAsia="MS Mincho" w:hAnsi="Calibri" w:cs="Times New Roman"/>
              </w:rPr>
            </w:pPr>
            <w:r w:rsidRPr="00570020">
              <w:rPr>
                <w:rFonts w:ascii="Calibri" w:eastAsia="MS Mincho" w:hAnsi="Calibri" w:cs="Times New Roman"/>
              </w:rPr>
              <w:t>SERC</w:t>
            </w:r>
          </w:p>
        </w:tc>
        <w:tc>
          <w:tcPr>
            <w:tcW w:w="9448" w:type="dxa"/>
          </w:tcPr>
          <w:p w:rsidR="00E70968" w:rsidRPr="00570020" w:rsidRDefault="00E70968" w:rsidP="00842CB6">
            <w:pPr>
              <w:rPr>
                <w:rFonts w:ascii="Calibri" w:eastAsia="MS Mincho" w:hAnsi="Calibri" w:cs="Times New Roman"/>
              </w:rPr>
            </w:pPr>
          </w:p>
        </w:tc>
      </w:tr>
      <w:tr w:rsidR="00E70968" w:rsidRPr="00570020" w:rsidTr="00842CB6">
        <w:trPr>
          <w:jc w:val="center"/>
        </w:trPr>
        <w:tc>
          <w:tcPr>
            <w:tcW w:w="947" w:type="dxa"/>
          </w:tcPr>
          <w:p w:rsidR="00E70968" w:rsidRPr="00570020" w:rsidRDefault="00E70968" w:rsidP="00842CB6">
            <w:pPr>
              <w:rPr>
                <w:rFonts w:ascii="Calibri" w:eastAsia="MS Mincho" w:hAnsi="Calibri" w:cs="Times New Roman"/>
              </w:rPr>
            </w:pPr>
            <w:r w:rsidRPr="00570020">
              <w:rPr>
                <w:rFonts w:ascii="Calibri" w:eastAsia="MS Mincho" w:hAnsi="Calibri" w:cs="Times New Roman"/>
              </w:rPr>
              <w:t>SPP</w:t>
            </w:r>
          </w:p>
        </w:tc>
        <w:tc>
          <w:tcPr>
            <w:tcW w:w="9448" w:type="dxa"/>
          </w:tcPr>
          <w:p w:rsidR="00E70968" w:rsidRPr="00570020" w:rsidRDefault="00E70968" w:rsidP="00842CB6">
            <w:pPr>
              <w:rPr>
                <w:rFonts w:ascii="Calibri" w:eastAsia="MS Mincho" w:hAnsi="Calibri" w:cs="Times New Roman"/>
              </w:rPr>
            </w:pPr>
          </w:p>
        </w:tc>
      </w:tr>
      <w:tr w:rsidR="00E70968" w:rsidRPr="00570020" w:rsidTr="00842CB6">
        <w:trPr>
          <w:jc w:val="center"/>
        </w:trPr>
        <w:tc>
          <w:tcPr>
            <w:tcW w:w="947" w:type="dxa"/>
          </w:tcPr>
          <w:p w:rsidR="00E70968" w:rsidRPr="00570020" w:rsidRDefault="00E70968" w:rsidP="00842CB6">
            <w:pPr>
              <w:rPr>
                <w:rFonts w:ascii="Calibri" w:eastAsia="MS Mincho" w:hAnsi="Calibri" w:cs="Times New Roman"/>
              </w:rPr>
            </w:pPr>
            <w:r w:rsidRPr="00570020">
              <w:rPr>
                <w:rFonts w:ascii="Calibri" w:eastAsia="MS Mincho" w:hAnsi="Calibri" w:cs="Times New Roman"/>
              </w:rPr>
              <w:t>WECC</w:t>
            </w:r>
          </w:p>
        </w:tc>
        <w:tc>
          <w:tcPr>
            <w:tcW w:w="9448" w:type="dxa"/>
          </w:tcPr>
          <w:p w:rsidR="00E70968" w:rsidRPr="00570020" w:rsidRDefault="00E70968" w:rsidP="00842CB6">
            <w:pPr>
              <w:rPr>
                <w:rFonts w:ascii="Calibri" w:eastAsia="MS Mincho" w:hAnsi="Calibri" w:cs="Times New Roman"/>
              </w:rPr>
            </w:pPr>
          </w:p>
        </w:tc>
      </w:tr>
      <w:bookmarkEnd w:id="2"/>
    </w:tbl>
    <w:p w:rsidR="00E70968" w:rsidRPr="00AB32A0" w:rsidRDefault="00E70968" w:rsidP="00E70968"/>
    <w:p w:rsidR="00162F4F" w:rsidRPr="00162F4F" w:rsidRDefault="00162F4F" w:rsidP="00E70968">
      <w:pPr>
        <w:pStyle w:val="DocumentTitle"/>
      </w:pPr>
    </w:p>
    <w:sectPr w:rsidR="00162F4F" w:rsidRPr="00162F4F" w:rsidSect="005B17AD">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6C2" w:rsidRDefault="00CC46C2">
      <w:r>
        <w:separator/>
      </w:r>
    </w:p>
  </w:endnote>
  <w:endnote w:type="continuationSeparator" w:id="0">
    <w:p w:rsidR="00CC46C2" w:rsidRDefault="00CC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A3C" w:rsidRDefault="00590A3C" w:rsidP="00590A3C">
    <w:pPr>
      <w:pStyle w:val="Footer"/>
      <w:tabs>
        <w:tab w:val="clear" w:pos="10354"/>
        <w:tab w:val="right" w:pos="10350"/>
      </w:tabs>
      <w:spacing w:before="0" w:after="0" w:line="240" w:lineRule="auto"/>
      <w:ind w:left="0" w:right="14"/>
      <w:jc w:val="both"/>
    </w:pPr>
    <w:r>
      <w:t>Project 2009-02 Real-time Monitoring and Analysis Capabilities Standards Authorization Request</w:t>
    </w:r>
  </w:p>
  <w:p w:rsidR="00C802A9" w:rsidRPr="00855BA8" w:rsidRDefault="00590A3C" w:rsidP="00590A3C">
    <w:pPr>
      <w:pStyle w:val="Footer"/>
      <w:tabs>
        <w:tab w:val="clear" w:pos="10354"/>
        <w:tab w:val="right" w:pos="10350"/>
      </w:tabs>
      <w:spacing w:before="0" w:after="0" w:line="240" w:lineRule="auto"/>
      <w:ind w:left="0" w:right="14"/>
      <w:jc w:val="both"/>
    </w:pPr>
    <w:r>
      <w:t xml:space="preserve">June </w:t>
    </w:r>
    <w:r w:rsidR="00987D72">
      <w:t>18</w:t>
    </w:r>
    <w:r>
      <w:t>, 2015</w:t>
    </w:r>
    <w:r w:rsidR="00C802A9">
      <w:tab/>
    </w:r>
    <w:r w:rsidR="00D915AA" w:rsidRPr="001F176A">
      <w:fldChar w:fldCharType="begin"/>
    </w:r>
    <w:r w:rsidR="00C802A9" w:rsidRPr="001F176A">
      <w:instrText xml:space="preserve"> PAGE </w:instrText>
    </w:r>
    <w:r w:rsidR="00D915AA" w:rsidRPr="001F176A">
      <w:fldChar w:fldCharType="separate"/>
    </w:r>
    <w:r w:rsidR="005C381C">
      <w:rPr>
        <w:noProof/>
      </w:rPr>
      <w:t>4</w:t>
    </w:r>
    <w:r w:rsidR="00D915AA"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sidP="00855BA8">
    <w:r>
      <w:rPr>
        <w:noProof/>
        <w:lang w:bidi="ar-SA"/>
      </w:rPr>
      <w:drawing>
        <wp:anchor distT="0" distB="0" distL="114300" distR="114300" simplePos="0" relativeHeight="251665918" behindDoc="1" locked="0" layoutInCell="1" allowOverlap="1" wp14:anchorId="33395F30" wp14:editId="33395F3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6C2" w:rsidRDefault="00CC46C2">
      <w:r>
        <w:separator/>
      </w:r>
    </w:p>
  </w:footnote>
  <w:footnote w:type="continuationSeparator" w:id="0">
    <w:p w:rsidR="00CC46C2" w:rsidRDefault="00CC4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
      <w:rPr>
        <w:noProof/>
        <w:lang w:bidi="ar-SA"/>
      </w:rPr>
      <w:drawing>
        <wp:anchor distT="0" distB="0" distL="114300" distR="114300" simplePos="0" relativeHeight="251663870" behindDoc="1" locked="0" layoutInCell="1" allowOverlap="1" wp14:anchorId="33395F2C" wp14:editId="33395F2D">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35" w:rsidRDefault="00AC0C35"/>
  <w:p w:rsidR="00C802A9" w:rsidRDefault="00AD1865">
    <w:r>
      <w:rPr>
        <w:noProof/>
        <w:lang w:bidi="ar-SA"/>
      </w:rPr>
      <w:drawing>
        <wp:anchor distT="0" distB="0" distL="114300" distR="114300" simplePos="0" relativeHeight="251667966" behindDoc="1" locked="0" layoutInCell="1" allowOverlap="1" wp14:anchorId="33395F2E" wp14:editId="33395F2F">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B694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15:restartNumberingAfterBreak="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15:restartNumberingAfterBreak="0">
    <w:nsid w:val="09565694"/>
    <w:multiLevelType w:val="hybridMultilevel"/>
    <w:tmpl w:val="7F18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671177E"/>
    <w:multiLevelType w:val="hybridMultilevel"/>
    <w:tmpl w:val="011831AC"/>
    <w:lvl w:ilvl="0" w:tplc="0409000F">
      <w:start w:val="1"/>
      <w:numFmt w:val="decimal"/>
      <w:lvlText w:val="%1."/>
      <w:lvlJc w:val="left"/>
      <w:pPr>
        <w:ind w:left="720" w:hanging="360"/>
      </w:pPr>
    </w:lvl>
    <w:lvl w:ilvl="1" w:tplc="DF96FE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8382A80E"/>
    <w:numStyleLink w:val="NERCListBullets"/>
  </w:abstractNum>
  <w:abstractNum w:abstractNumId="19"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EF1E3A"/>
    <w:multiLevelType w:val="hybridMultilevel"/>
    <w:tmpl w:val="8D18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A65844"/>
    <w:multiLevelType w:val="multilevel"/>
    <w:tmpl w:val="8382A80E"/>
    <w:numStyleLink w:val="NERCListBullets"/>
  </w:abstractNum>
  <w:abstractNum w:abstractNumId="24"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15:restartNumberingAfterBreak="0">
    <w:nsid w:val="49050275"/>
    <w:multiLevelType w:val="hybridMultilevel"/>
    <w:tmpl w:val="F3A4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1684F"/>
    <w:multiLevelType w:val="hybridMultilevel"/>
    <w:tmpl w:val="7C3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95C4C"/>
    <w:multiLevelType w:val="hybridMultilevel"/>
    <w:tmpl w:val="5356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E4DD3"/>
    <w:multiLevelType w:val="hybridMultilevel"/>
    <w:tmpl w:val="9A68FDBE"/>
    <w:lvl w:ilvl="0" w:tplc="67ACA01A">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CD0EEE8">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E032B5"/>
    <w:multiLevelType w:val="hybridMultilevel"/>
    <w:tmpl w:val="42EE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8"/>
  </w:num>
  <w:num w:numId="4">
    <w:abstractNumId w:val="21"/>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7"/>
  </w:num>
  <w:num w:numId="18">
    <w:abstractNumId w:val="19"/>
  </w:num>
  <w:num w:numId="19">
    <w:abstractNumId w:val="13"/>
  </w:num>
  <w:num w:numId="20">
    <w:abstractNumId w:val="24"/>
  </w:num>
  <w:num w:numId="21">
    <w:abstractNumId w:val="18"/>
  </w:num>
  <w:num w:numId="22">
    <w:abstractNumId w:val="10"/>
  </w:num>
  <w:num w:numId="23">
    <w:abstractNumId w:val="23"/>
  </w:num>
  <w:num w:numId="24">
    <w:abstractNumId w:val="26"/>
  </w:num>
  <w:num w:numId="25">
    <w:abstractNumId w:val="33"/>
  </w:num>
  <w:num w:numId="26">
    <w:abstractNumId w:val="31"/>
  </w:num>
  <w:num w:numId="27">
    <w:abstractNumId w:val="25"/>
  </w:num>
  <w:num w:numId="28">
    <w:abstractNumId w:val="16"/>
  </w:num>
  <w:num w:numId="29">
    <w:abstractNumId w:val="12"/>
  </w:num>
  <w:num w:numId="30">
    <w:abstractNumId w:val="20"/>
  </w:num>
  <w:num w:numId="31">
    <w:abstractNumId w:val="32"/>
  </w:num>
  <w:num w:numId="32">
    <w:abstractNumId w:val="11"/>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68"/>
    <w:rsid w:val="000067C8"/>
    <w:rsid w:val="00011D42"/>
    <w:rsid w:val="000334DF"/>
    <w:rsid w:val="00095896"/>
    <w:rsid w:val="000A70BC"/>
    <w:rsid w:val="000B36CB"/>
    <w:rsid w:val="000B7A04"/>
    <w:rsid w:val="000D7162"/>
    <w:rsid w:val="000E3AB0"/>
    <w:rsid w:val="000F0498"/>
    <w:rsid w:val="000F4FC1"/>
    <w:rsid w:val="00102A01"/>
    <w:rsid w:val="00104317"/>
    <w:rsid w:val="001346AA"/>
    <w:rsid w:val="00136931"/>
    <w:rsid w:val="001574EA"/>
    <w:rsid w:val="00162F4F"/>
    <w:rsid w:val="00196FDD"/>
    <w:rsid w:val="001A6FC8"/>
    <w:rsid w:val="001B76C0"/>
    <w:rsid w:val="001D47FD"/>
    <w:rsid w:val="00260C60"/>
    <w:rsid w:val="00283FB4"/>
    <w:rsid w:val="0029582E"/>
    <w:rsid w:val="002D7811"/>
    <w:rsid w:val="002F2BFE"/>
    <w:rsid w:val="003134D1"/>
    <w:rsid w:val="00366A96"/>
    <w:rsid w:val="0038676B"/>
    <w:rsid w:val="0039275D"/>
    <w:rsid w:val="003E1C41"/>
    <w:rsid w:val="00456B99"/>
    <w:rsid w:val="004631BF"/>
    <w:rsid w:val="00466905"/>
    <w:rsid w:val="004800C7"/>
    <w:rsid w:val="004859C6"/>
    <w:rsid w:val="00487CEF"/>
    <w:rsid w:val="004B7DE3"/>
    <w:rsid w:val="004B7E2F"/>
    <w:rsid w:val="004E7B5C"/>
    <w:rsid w:val="00503BD8"/>
    <w:rsid w:val="00510652"/>
    <w:rsid w:val="00520FD1"/>
    <w:rsid w:val="005316C6"/>
    <w:rsid w:val="005316F3"/>
    <w:rsid w:val="005471F6"/>
    <w:rsid w:val="00555F79"/>
    <w:rsid w:val="00573832"/>
    <w:rsid w:val="00590A3C"/>
    <w:rsid w:val="005A721A"/>
    <w:rsid w:val="005B17AD"/>
    <w:rsid w:val="005B7382"/>
    <w:rsid w:val="005C381C"/>
    <w:rsid w:val="005D3F72"/>
    <w:rsid w:val="005D5CBF"/>
    <w:rsid w:val="00652754"/>
    <w:rsid w:val="00692F16"/>
    <w:rsid w:val="00694CD1"/>
    <w:rsid w:val="006B3EC7"/>
    <w:rsid w:val="006C1F78"/>
    <w:rsid w:val="006C3C30"/>
    <w:rsid w:val="006E67B7"/>
    <w:rsid w:val="007254EA"/>
    <w:rsid w:val="00733724"/>
    <w:rsid w:val="0074626C"/>
    <w:rsid w:val="00791651"/>
    <w:rsid w:val="00855BA8"/>
    <w:rsid w:val="008866E7"/>
    <w:rsid w:val="00905DC1"/>
    <w:rsid w:val="00961D98"/>
    <w:rsid w:val="00985E57"/>
    <w:rsid w:val="00987D72"/>
    <w:rsid w:val="00A35DA7"/>
    <w:rsid w:val="00A6738A"/>
    <w:rsid w:val="00AC0C35"/>
    <w:rsid w:val="00AD1865"/>
    <w:rsid w:val="00AD7AB2"/>
    <w:rsid w:val="00B146D4"/>
    <w:rsid w:val="00B375B5"/>
    <w:rsid w:val="00B4355D"/>
    <w:rsid w:val="00BA34E0"/>
    <w:rsid w:val="00BB0072"/>
    <w:rsid w:val="00BE5580"/>
    <w:rsid w:val="00C236F5"/>
    <w:rsid w:val="00C31EA1"/>
    <w:rsid w:val="00C702A1"/>
    <w:rsid w:val="00C802A9"/>
    <w:rsid w:val="00CC46C2"/>
    <w:rsid w:val="00CC7BE7"/>
    <w:rsid w:val="00CF6E4A"/>
    <w:rsid w:val="00D228D6"/>
    <w:rsid w:val="00D56EBF"/>
    <w:rsid w:val="00D5715F"/>
    <w:rsid w:val="00D71B57"/>
    <w:rsid w:val="00D8646B"/>
    <w:rsid w:val="00D915AA"/>
    <w:rsid w:val="00D92A5B"/>
    <w:rsid w:val="00D933A3"/>
    <w:rsid w:val="00D9670F"/>
    <w:rsid w:val="00D96A22"/>
    <w:rsid w:val="00DA634C"/>
    <w:rsid w:val="00DB62EC"/>
    <w:rsid w:val="00DB7C23"/>
    <w:rsid w:val="00DC5592"/>
    <w:rsid w:val="00E65B2F"/>
    <w:rsid w:val="00E70968"/>
    <w:rsid w:val="00F23B33"/>
    <w:rsid w:val="00F31926"/>
    <w:rsid w:val="00F359FF"/>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968"/>
    <w:pPr>
      <w:spacing w:before="60" w:after="60" w:line="276" w:lineRule="auto"/>
    </w:pPr>
    <w:rPr>
      <w:rFonts w:asciiTheme="minorHAnsi" w:eastAsiaTheme="minorEastAsia" w:hAnsiTheme="minorHAnsi" w:cstheme="minorBidi"/>
      <w:sz w:val="24"/>
      <w:szCs w:val="22"/>
      <w:lang w:bidi="en-US"/>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styleId="FootnoteReference">
    <w:name w:val="footnote reference"/>
    <w:basedOn w:val="DefaultParagraphFont"/>
    <w:uiPriority w:val="99"/>
    <w:semiHidden/>
    <w:unhideWhenUsed/>
    <w:rsid w:val="00162F4F"/>
    <w:rPr>
      <w:vertAlign w:val="superscript"/>
    </w:rPr>
  </w:style>
  <w:style w:type="paragraph" w:styleId="Title">
    <w:name w:val="Title"/>
    <w:basedOn w:val="Normal"/>
    <w:next w:val="Normal"/>
    <w:link w:val="TitleChar"/>
    <w:autoRedefine/>
    <w:uiPriority w:val="10"/>
    <w:qFormat/>
    <w:rsid w:val="00E70968"/>
    <w:pPr>
      <w:spacing w:line="240" w:lineRule="auto"/>
      <w:contextualSpacing/>
    </w:pPr>
    <w:rPr>
      <w:rFonts w:ascii="Tahoma" w:eastAsia="MS Gothic" w:hAnsi="Tahoma" w:cstheme="majorBidi"/>
      <w:b/>
      <w:color w:val="5D85A9" w:themeColor="accent2"/>
      <w:spacing w:val="5"/>
      <w:sz w:val="44"/>
      <w:szCs w:val="44"/>
    </w:rPr>
  </w:style>
  <w:style w:type="character" w:customStyle="1" w:styleId="TitleChar">
    <w:name w:val="Title Char"/>
    <w:basedOn w:val="DefaultParagraphFont"/>
    <w:link w:val="Title"/>
    <w:uiPriority w:val="10"/>
    <w:rsid w:val="00E70968"/>
    <w:rPr>
      <w:rFonts w:ascii="Tahoma" w:eastAsia="MS Gothic" w:hAnsi="Tahoma" w:cstheme="majorBidi"/>
      <w:b/>
      <w:color w:val="5D85A9" w:themeColor="accent2"/>
      <w:spacing w:val="5"/>
      <w:sz w:val="44"/>
      <w:szCs w:val="44"/>
      <w:lang w:bidi="en-US"/>
    </w:rPr>
  </w:style>
  <w:style w:type="paragraph" w:customStyle="1" w:styleId="FERCparanumber">
    <w:name w:val="FERC paranumber"/>
    <w:basedOn w:val="Normal"/>
    <w:link w:val="FERCparanumberChar1"/>
    <w:rsid w:val="00E70968"/>
    <w:pPr>
      <w:numPr>
        <w:numId w:val="31"/>
      </w:numPr>
      <w:autoSpaceDE w:val="0"/>
      <w:autoSpaceDN w:val="0"/>
      <w:adjustRightInd w:val="0"/>
      <w:spacing w:before="0" w:after="0" w:line="480" w:lineRule="auto"/>
    </w:pPr>
    <w:rPr>
      <w:rFonts w:ascii="Times New Roman" w:eastAsia="Times New Roman" w:hAnsi="Times New Roman" w:cs="Times New Roman"/>
      <w:sz w:val="26"/>
      <w:szCs w:val="24"/>
      <w:lang w:bidi="ar-SA"/>
    </w:rPr>
  </w:style>
  <w:style w:type="character" w:customStyle="1" w:styleId="FERCparanumberChar1">
    <w:name w:val="FERC paranumber Char1"/>
    <w:basedOn w:val="DefaultParagraphFont"/>
    <w:link w:val="FERCparanumber"/>
    <w:rsid w:val="00E70968"/>
    <w:rPr>
      <w:sz w:val="26"/>
      <w:szCs w:val="24"/>
    </w:rPr>
  </w:style>
  <w:style w:type="paragraph" w:styleId="ListNumber">
    <w:name w:val="List Number"/>
    <w:basedOn w:val="Normal"/>
    <w:rsid w:val="00E70968"/>
    <w:pPr>
      <w:numPr>
        <w:numId w:val="32"/>
      </w:numPr>
      <w:tabs>
        <w:tab w:val="left" w:pos="2160"/>
      </w:tabs>
      <w:spacing w:before="0" w:after="120" w:line="240" w:lineRule="auto"/>
    </w:pPr>
    <w:rPr>
      <w:rFonts w:ascii="Times New Roman" w:eastAsia="Times New Roman" w:hAnsi="Times New Roman" w:cs="Times New Roman"/>
      <w:szCs w:val="24"/>
      <w:lang w:bidi="ar-SA"/>
    </w:rPr>
  </w:style>
  <w:style w:type="character" w:customStyle="1" w:styleId="BoxText">
    <w:name w:val="Box Text"/>
    <w:rsid w:val="00E70968"/>
    <w:rPr>
      <w:rFonts w:ascii="Arial" w:hAnsi="Arial"/>
      <w:sz w:val="20"/>
    </w:rPr>
  </w:style>
  <w:style w:type="paragraph" w:customStyle="1" w:styleId="TableText">
    <w:name w:val="Table Text"/>
    <w:basedOn w:val="Normal"/>
    <w:rsid w:val="00E70968"/>
    <w:pPr>
      <w:spacing w:line="240" w:lineRule="auto"/>
    </w:pPr>
    <w:rPr>
      <w:rFonts w:ascii="Courier" w:eastAsia="Times New Roman" w:hAnsi="Courier"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y.Rodriquez@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y.Rodriquez@nerc.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14" Type="http://schemas.openxmlformats.org/officeDocument/2006/relationships/footer" Target="foot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A736483E04154EBB0BA013E2D72EF0" ma:contentTypeVersion="0" ma:contentTypeDescription="Create a new document." ma:contentTypeScope="" ma:versionID="2a83864791cb11f301a15b0091a4ce4d">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34EFD607491F4458E630BC3E41C9021" ma:contentTypeVersion="26" ma:contentTypeDescription="Create a new document." ma:contentTypeScope="" ma:versionID="a65ff2b9d26b5ab70481700f4ccab1ed">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36131-6851-4056-B2ED-577AE2DA98DC}"/>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EC4C3A2C-A2E9-4D6A-AB04-31FC2987D493}"/>
</file>

<file path=customXml/itemProps5.xml><?xml version="1.0" encoding="utf-8"?>
<ds:datastoreItem xmlns:ds="http://schemas.openxmlformats.org/officeDocument/2006/customXml" ds:itemID="{09F945B2-8623-4438-8F90-E7C2062403DB}"/>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10166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Document Portrait</vt:lpstr>
    </vt:vector>
  </TitlesOfParts>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dc:title>
  <dc:subject/>
  <dc:creator/>
  <cp:keywords/>
  <cp:lastModifiedBy/>
  <cp:revision>1</cp:revision>
  <dcterms:created xsi:type="dcterms:W3CDTF">2015-07-13T19:44:00Z</dcterms:created>
  <dcterms:modified xsi:type="dcterms:W3CDTF">2015-07-13T19:44:00Z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0x010100034EFD607491F4458E630BC3E41C9021</vt:lpwstr>
  </property>
  <property fmtid="{D5CDD505-2E9C-101B-9397-08002B2CF9AE}" pid="3" name="Order">
    <vt:r8>7900</vt:r8>
  </property>
  <property fmtid="{D5CDD505-2E9C-101B-9397-08002B2CF9AE}" pid="4" name="_dlc_DocIdItemGuid">
    <vt:lpwstr>364f5db7-3ace-4540-809e-5bc8d9014972</vt:lpwstr>
  </property>
</Properties>
</file>