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10" w:rsidRPr="00164523" w:rsidRDefault="00062510" w:rsidP="00062510">
      <w:pPr>
        <w:rPr>
          <w:rFonts w:ascii="Verdana" w:hAnsi="Verdana"/>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proofErr w:type="gramStart"/>
      <w:r>
        <w:rPr>
          <w:rFonts w:ascii="Verdana" w:hAnsi="Verdana"/>
          <w:sz w:val="20"/>
        </w:rPr>
        <w:t>use</w:t>
      </w:r>
      <w:proofErr w:type="gramEnd"/>
      <w:r>
        <w:rPr>
          <w:rFonts w:ascii="Verdana" w:hAnsi="Verdana"/>
          <w:sz w:val="20"/>
        </w:rPr>
        <w:t xml:space="preserve"> this form</w:t>
      </w:r>
      <w:r w:rsidRPr="00182CEE">
        <w:rPr>
          <w:rFonts w:ascii="Verdana" w:hAnsi="Verdana"/>
          <w:sz w:val="20"/>
        </w:rPr>
        <w:t xml:space="preserve"> to submit comments</w:t>
      </w:r>
      <w:r>
        <w:rPr>
          <w:rFonts w:ascii="Verdana" w:hAnsi="Verdana"/>
          <w:sz w:val="20"/>
        </w:rPr>
        <w:t>.  Please use the electronic comment form located at the link below</w:t>
      </w:r>
      <w:r w:rsidRPr="00BB38E7">
        <w:rPr>
          <w:rFonts w:ascii="Verdana" w:hAnsi="Verdana"/>
          <w:sz w:val="20"/>
        </w:rPr>
        <w:t xml:space="preserve"> to submit comments</w:t>
      </w:r>
      <w:r w:rsidRPr="00182CEE">
        <w:rPr>
          <w:rFonts w:ascii="Verdana" w:hAnsi="Verdana"/>
          <w:sz w:val="20"/>
        </w:rPr>
        <w:t xml:space="preserve"> on the </w:t>
      </w:r>
      <w:r>
        <w:rPr>
          <w:rFonts w:ascii="Verdana" w:hAnsi="Verdana"/>
          <w:sz w:val="20"/>
        </w:rPr>
        <w:t>First Posting of FAC-008-3, Facility Ratings</w:t>
      </w:r>
      <w:r w:rsidRPr="009607B0">
        <w:rPr>
          <w:rFonts w:ascii="Verdana" w:hAnsi="Verdana"/>
          <w:bCs/>
          <w:sz w:val="20"/>
        </w:rPr>
        <w:t xml:space="preserve"> (Project </w:t>
      </w:r>
      <w:r>
        <w:rPr>
          <w:rFonts w:ascii="Verdana" w:hAnsi="Verdana"/>
          <w:bCs/>
          <w:sz w:val="20"/>
        </w:rPr>
        <w:t>2009-06</w:t>
      </w:r>
      <w:r w:rsidRPr="009607B0">
        <w:rPr>
          <w:rFonts w:ascii="Verdana" w:hAnsi="Verdana"/>
          <w:bCs/>
          <w:sz w:val="20"/>
        </w:rPr>
        <w:t>)</w:t>
      </w:r>
      <w:r w:rsidRPr="00182CEE">
        <w:rPr>
          <w:rFonts w:ascii="Verdana" w:hAnsi="Verdana"/>
          <w:sz w:val="20"/>
        </w:rPr>
        <w:t xml:space="preserve">.  </w:t>
      </w:r>
      <w:r w:rsidRPr="0067216F">
        <w:rPr>
          <w:rFonts w:ascii="Verdana" w:hAnsi="Verdana"/>
          <w:sz w:val="20"/>
        </w:rPr>
        <w:t>Th</w:t>
      </w:r>
      <w:r>
        <w:rPr>
          <w:rFonts w:ascii="Verdana" w:hAnsi="Verdana"/>
          <w:sz w:val="20"/>
        </w:rPr>
        <w:t>e electronic</w:t>
      </w:r>
      <w:r w:rsidRPr="0067216F">
        <w:rPr>
          <w:rFonts w:ascii="Verdana" w:hAnsi="Verdana"/>
          <w:sz w:val="20"/>
        </w:rPr>
        <w:t xml:space="preserve"> comment form must be completed by </w:t>
      </w:r>
      <w:r>
        <w:rPr>
          <w:rFonts w:ascii="Verdana" w:hAnsi="Verdana"/>
          <w:b/>
          <w:color w:val="FF0000"/>
          <w:sz w:val="20"/>
        </w:rPr>
        <w:t>May 2, 2011</w:t>
      </w:r>
      <w:r w:rsidRPr="0067216F">
        <w:rPr>
          <w:rFonts w:ascii="Verdana" w:hAnsi="Verdana"/>
          <w:b/>
          <w:color w:val="FF0000"/>
          <w:sz w:val="20"/>
        </w:rPr>
        <w:t>.</w:t>
      </w:r>
    </w:p>
    <w:p w:rsidR="00062510" w:rsidRDefault="00607316" w:rsidP="00062510">
      <w:pPr>
        <w:jc w:val="center"/>
        <w:rPr>
          <w:rFonts w:ascii="Verdana" w:hAnsi="Verdana"/>
          <w:sz w:val="20"/>
        </w:rPr>
      </w:pPr>
      <w:hyperlink r:id="rId7" w:history="1">
        <w:r w:rsidR="00062510" w:rsidRPr="001852B9">
          <w:rPr>
            <w:rStyle w:val="Hyperlink"/>
            <w:rFonts w:ascii="Verdana" w:hAnsi="Verdana"/>
            <w:sz w:val="20"/>
          </w:rPr>
          <w:t>Project 2009-06 Facility Ratings</w:t>
        </w:r>
      </w:hyperlink>
    </w:p>
    <w:p w:rsidR="00B86DB5" w:rsidRDefault="00062510" w:rsidP="00B86DB5">
      <w:pPr>
        <w:spacing w:after="0"/>
        <w:rPr>
          <w:rFonts w:ascii="Verdana" w:hAnsi="Verdana"/>
          <w:sz w:val="20"/>
        </w:rPr>
      </w:pPr>
      <w:r w:rsidRPr="00182CEE">
        <w:rPr>
          <w:rFonts w:ascii="Verdana" w:hAnsi="Verdana"/>
          <w:sz w:val="20"/>
        </w:rPr>
        <w:t xml:space="preserve">If you have questions please contact </w:t>
      </w:r>
      <w:r>
        <w:rPr>
          <w:rFonts w:ascii="Verdana" w:hAnsi="Verdana"/>
          <w:sz w:val="20"/>
        </w:rPr>
        <w:t xml:space="preserve">Stephen Crutchfield </w:t>
      </w:r>
      <w:r w:rsidRPr="00182CEE">
        <w:rPr>
          <w:rFonts w:ascii="Verdana" w:hAnsi="Verdana"/>
          <w:sz w:val="20"/>
        </w:rPr>
        <w:t xml:space="preserve">at </w:t>
      </w:r>
      <w:hyperlink r:id="rId8" w:history="1">
        <w:r w:rsidR="00B86DB5" w:rsidRPr="001431A0">
          <w:rPr>
            <w:rStyle w:val="Hyperlink"/>
            <w:rFonts w:ascii="Verdana" w:hAnsi="Verdana"/>
            <w:sz w:val="20"/>
          </w:rPr>
          <w:t>stephen.crutchfield@nerc.net</w:t>
        </w:r>
      </w:hyperlink>
    </w:p>
    <w:p w:rsidR="00062510" w:rsidRDefault="00062510" w:rsidP="00B86DB5">
      <w:pPr>
        <w:spacing w:after="0"/>
        <w:rPr>
          <w:rFonts w:ascii="Verdana" w:hAnsi="Verdana"/>
          <w:sz w:val="20"/>
        </w:rPr>
      </w:pPr>
      <w:proofErr w:type="gramStart"/>
      <w:r w:rsidRPr="00182CEE">
        <w:rPr>
          <w:rFonts w:ascii="Verdana" w:hAnsi="Verdana"/>
          <w:sz w:val="20"/>
        </w:rPr>
        <w:t>or</w:t>
      </w:r>
      <w:proofErr w:type="gramEnd"/>
      <w:r w:rsidRPr="00182CEE">
        <w:rPr>
          <w:rFonts w:ascii="Verdana" w:hAnsi="Verdana"/>
          <w:sz w:val="20"/>
        </w:rPr>
        <w:t xml:space="preserve"> by telephone at </w:t>
      </w:r>
      <w:r>
        <w:rPr>
          <w:rFonts w:ascii="Verdana" w:hAnsi="Verdana"/>
          <w:sz w:val="20"/>
        </w:rPr>
        <w:t>609-651-9455</w:t>
      </w:r>
      <w:r w:rsidRPr="00182CEE">
        <w:rPr>
          <w:rFonts w:ascii="Verdana" w:hAnsi="Verdana"/>
          <w:sz w:val="20"/>
        </w:rPr>
        <w:t>.</w:t>
      </w:r>
    </w:p>
    <w:p w:rsidR="00B86DB5" w:rsidRDefault="00B86DB5" w:rsidP="00B86DB5">
      <w:pPr>
        <w:spacing w:after="0"/>
        <w:rPr>
          <w:rFonts w:ascii="Verdana" w:hAnsi="Verdana"/>
          <w:sz w:val="20"/>
        </w:rPr>
      </w:pPr>
    </w:p>
    <w:p w:rsidR="00B86DB5" w:rsidRDefault="00B86DB5" w:rsidP="00B86DB5">
      <w:pPr>
        <w:spacing w:after="0"/>
        <w:rPr>
          <w:rFonts w:ascii="Verdana" w:hAnsi="Verdana"/>
          <w:sz w:val="20"/>
        </w:rPr>
      </w:pPr>
    </w:p>
    <w:p w:rsidR="00062510" w:rsidRPr="00012FDD" w:rsidRDefault="00062510" w:rsidP="00062510">
      <w:pPr>
        <w:pStyle w:val="Heading3"/>
        <w:spacing w:after="0"/>
        <w:rPr>
          <w:rFonts w:ascii="Verdana" w:hAnsi="Verdana"/>
          <w:sz w:val="22"/>
          <w:szCs w:val="22"/>
        </w:rPr>
      </w:pPr>
      <w:r w:rsidRPr="00012FDD">
        <w:rPr>
          <w:rFonts w:ascii="Verdana" w:hAnsi="Verdana"/>
          <w:sz w:val="22"/>
          <w:szCs w:val="22"/>
        </w:rPr>
        <w:t xml:space="preserve">Background Information </w:t>
      </w:r>
    </w:p>
    <w:p w:rsidR="00062510" w:rsidRDefault="00062510" w:rsidP="00062510">
      <w:pPr>
        <w:pStyle w:val="Bullet"/>
        <w:numPr>
          <w:ilvl w:val="0"/>
          <w:numId w:val="0"/>
        </w:numPr>
        <w:spacing w:after="120"/>
        <w:rPr>
          <w:rFonts w:ascii="Verdana" w:hAnsi="Verdana"/>
          <w:sz w:val="20"/>
        </w:rPr>
      </w:pPr>
      <w:r>
        <w:rPr>
          <w:rFonts w:ascii="Verdana" w:hAnsi="Verdana"/>
          <w:sz w:val="20"/>
        </w:rPr>
        <w:t>The Facility Ratings Standard Drafting Team (FR SDT) has been tasked with creating a requirement to address a Supplemental SAR t</w:t>
      </w:r>
      <w:r w:rsidRPr="00DD6973">
        <w:rPr>
          <w:rFonts w:ascii="Verdana" w:hAnsi="Verdana"/>
          <w:sz w:val="20"/>
        </w:rPr>
        <w:t xml:space="preserve">o address the reliability concerns related to Facility Ratings initially discussed in paragraphs 756 and 771 of FERC’s Order 693, and further explained in paragraph 76 of FERC’s “Order Denying Rehearing, Denying Clarification, Denying Reconsideration, and Denying Request for a Stay,” September 16, 2010.  These concerns relate to ensuring broad situational awareness regarding the most limiting elements of </w:t>
      </w:r>
      <w:r>
        <w:rPr>
          <w:rFonts w:ascii="Verdana" w:hAnsi="Verdana"/>
          <w:sz w:val="20"/>
        </w:rPr>
        <w:t>F</w:t>
      </w:r>
      <w:r w:rsidRPr="00DD6973">
        <w:rPr>
          <w:rFonts w:ascii="Verdana" w:hAnsi="Verdana"/>
          <w:sz w:val="20"/>
        </w:rPr>
        <w:t>acilities</w:t>
      </w:r>
      <w:r>
        <w:rPr>
          <w:rFonts w:ascii="Verdana" w:hAnsi="Verdana"/>
          <w:sz w:val="20"/>
        </w:rPr>
        <w:t>.</w:t>
      </w:r>
      <w:r w:rsidRPr="00DD6973">
        <w:rPr>
          <w:rFonts w:ascii="Verdana" w:hAnsi="Verdana"/>
          <w:sz w:val="20"/>
        </w:rPr>
        <w:t xml:space="preserve">  </w:t>
      </w:r>
    </w:p>
    <w:p w:rsidR="00062510" w:rsidRPr="00DD6973" w:rsidRDefault="00062510" w:rsidP="00062510">
      <w:pPr>
        <w:pStyle w:val="Bullet"/>
        <w:numPr>
          <w:ilvl w:val="0"/>
          <w:numId w:val="0"/>
        </w:numPr>
        <w:spacing w:after="120"/>
        <w:rPr>
          <w:rFonts w:ascii="Verdana" w:hAnsi="Verdana"/>
          <w:sz w:val="20"/>
        </w:rPr>
      </w:pPr>
      <w:r w:rsidRPr="00DD6973">
        <w:rPr>
          <w:rFonts w:ascii="Verdana" w:hAnsi="Verdana"/>
          <w:sz w:val="20"/>
        </w:rPr>
        <w:t>In Order 693, FERC explained in paragraph 756:</w:t>
      </w:r>
    </w:p>
    <w:p w:rsidR="00062510" w:rsidRPr="00DD6973" w:rsidRDefault="00062510" w:rsidP="00062510">
      <w:pPr>
        <w:pStyle w:val="Bullet"/>
        <w:numPr>
          <w:ilvl w:val="0"/>
          <w:numId w:val="0"/>
        </w:numPr>
        <w:spacing w:after="120"/>
        <w:ind w:left="720"/>
        <w:rPr>
          <w:rFonts w:ascii="Verdana" w:hAnsi="Verdana"/>
          <w:sz w:val="20"/>
        </w:rPr>
      </w:pPr>
      <w:r w:rsidRPr="00DD6973">
        <w:rPr>
          <w:rFonts w:ascii="Verdana" w:hAnsi="Verdana"/>
          <w:sz w:val="20"/>
        </w:rPr>
        <w:t>“…The Commission’s proposed modification would require identifying and documenting the limiting component for all facilities and the increase in rating if that component were no longer the most limiting component; in other words, the rating based on the second-most limiting component. The Commission further clarifies that this Reliability Standard will require this additional thermal rating information only for those facilities for which thermal ratings cause the following: (1) an IROL; (2) a limitation of TTC; (3) an impediment to generation deliverability or (4) an impediment to service to major cities or load pockets.”</w:t>
      </w:r>
    </w:p>
    <w:p w:rsidR="00062510" w:rsidRPr="00DD6973" w:rsidRDefault="00062510" w:rsidP="00062510">
      <w:pPr>
        <w:pStyle w:val="Bullet"/>
        <w:numPr>
          <w:ilvl w:val="0"/>
          <w:numId w:val="0"/>
        </w:numPr>
        <w:spacing w:after="120"/>
        <w:rPr>
          <w:rFonts w:ascii="Verdana" w:hAnsi="Verdana"/>
          <w:sz w:val="20"/>
        </w:rPr>
      </w:pPr>
      <w:proofErr w:type="gramStart"/>
      <w:r w:rsidRPr="00DD6973">
        <w:rPr>
          <w:rFonts w:ascii="Verdana" w:hAnsi="Verdana"/>
          <w:sz w:val="20"/>
        </w:rPr>
        <w:t>And provided further direction in paragraph 771:</w:t>
      </w:r>
      <w:proofErr w:type="gramEnd"/>
    </w:p>
    <w:p w:rsidR="00062510" w:rsidRPr="003D5BC5" w:rsidRDefault="00062510" w:rsidP="00062510">
      <w:pPr>
        <w:pStyle w:val="Bullet"/>
        <w:numPr>
          <w:ilvl w:val="0"/>
          <w:numId w:val="0"/>
        </w:numPr>
        <w:spacing w:after="120"/>
        <w:ind w:left="720"/>
        <w:rPr>
          <w:rFonts w:ascii="Verdana" w:hAnsi="Verdana"/>
          <w:sz w:val="20"/>
        </w:rPr>
      </w:pPr>
      <w:r w:rsidRPr="00DD6973">
        <w:rPr>
          <w:rFonts w:ascii="Verdana" w:hAnsi="Verdana"/>
          <w:sz w:val="20"/>
        </w:rPr>
        <w:t xml:space="preserve">“…we direct the ERO to develop modifications to FAC-008-1 through its Reliability Standards development process requiring transmission and generation facility owners to: (1) document underlying assumptions and methods used to determine normal and emergency facility ratings; (2) develop facility ratings consistent with </w:t>
      </w:r>
      <w:r w:rsidRPr="003D5BC5">
        <w:rPr>
          <w:rFonts w:ascii="Verdana" w:hAnsi="Verdana"/>
          <w:sz w:val="20"/>
        </w:rPr>
        <w:t>industry standards developed through an open, transparent and validated process and (3) for each facility, identify the limiting component and, for critical facilities, the resulting increase in rating if that component is no longer limiting.”</w:t>
      </w:r>
    </w:p>
    <w:p w:rsidR="00062510" w:rsidRPr="003D5BC5" w:rsidRDefault="00062510" w:rsidP="00062510">
      <w:pPr>
        <w:pStyle w:val="Bullet"/>
        <w:numPr>
          <w:ilvl w:val="0"/>
          <w:numId w:val="0"/>
        </w:numPr>
        <w:spacing w:after="120"/>
        <w:rPr>
          <w:rFonts w:ascii="Verdana" w:hAnsi="Verdana"/>
          <w:sz w:val="20"/>
        </w:rPr>
      </w:pPr>
      <w:r w:rsidRPr="003D5BC5">
        <w:rPr>
          <w:rFonts w:ascii="Verdana" w:hAnsi="Verdana"/>
          <w:sz w:val="20"/>
        </w:rPr>
        <w:t>FERC later explained in paragraph 76 of its September 16, 2010 Order Denying Rehearing, Denying Clarification, Denying Reconsideration, and Denying Request for a Stay:</w:t>
      </w:r>
    </w:p>
    <w:p w:rsidR="00062510" w:rsidRPr="003D5BC5" w:rsidRDefault="00062510" w:rsidP="00062510">
      <w:pPr>
        <w:pStyle w:val="Bullet"/>
        <w:numPr>
          <w:ilvl w:val="0"/>
          <w:numId w:val="0"/>
        </w:numPr>
        <w:spacing w:after="120"/>
        <w:ind w:left="720"/>
        <w:rPr>
          <w:rFonts w:ascii="Verdana" w:hAnsi="Verdana"/>
          <w:sz w:val="20"/>
        </w:rPr>
      </w:pPr>
      <w:r w:rsidRPr="003D5BC5">
        <w:rPr>
          <w:rFonts w:ascii="Verdana" w:hAnsi="Verdana"/>
          <w:sz w:val="20"/>
        </w:rPr>
        <w:t xml:space="preserve">“In order to determine facility ratings, entities must identify the most limiting component that comprises the facility, based on a validated methodology that considers the specific characteristics and ratings of all of the components to determine their limits for a range of ambient conditions, including if and for what duration these limits can be exceeded.  This is, in part, because the limiting element upon which a facility rating is based can change under different operating conditions. For example, an underground high voltage cable may be the limiting element for continuous ratings, but a disconnect switch may be the limiting element for a four-hour emergency rating. With heavy power flows from generators through critical facilities to load, contingency conditions could reveal a thermal overload above the normal rating of the first limiting component of one of these </w:t>
      </w:r>
      <w:r w:rsidRPr="003D5BC5">
        <w:rPr>
          <w:rFonts w:ascii="Verdana" w:hAnsi="Verdana"/>
          <w:sz w:val="20"/>
        </w:rPr>
        <w:lastRenderedPageBreak/>
        <w:t>facilities. However, that component also likely has a documented short time rating that could sustain the overload. If the second-most limiting component does not afford much increase in rating above the first, and its overload can result in the unintended removal of the facility from service (i.e., a relay or other protection system component that trips a facility out of service due to the overload), the prior identification of this second limiting component could alter the mitigation plans and avoid relay operations that trip facilities out-of-service, and thus potentially prevent a cascading event.”</w:t>
      </w:r>
    </w:p>
    <w:p w:rsidR="00062510" w:rsidRPr="003D5BC5" w:rsidRDefault="00062510" w:rsidP="00062510">
      <w:pPr>
        <w:pStyle w:val="Bullet"/>
        <w:numPr>
          <w:ilvl w:val="0"/>
          <w:numId w:val="0"/>
        </w:numPr>
        <w:spacing w:after="120"/>
        <w:rPr>
          <w:rFonts w:ascii="Verdana" w:hAnsi="Verdana"/>
          <w:sz w:val="20"/>
        </w:rPr>
      </w:pPr>
      <w:r w:rsidRPr="003D5BC5">
        <w:rPr>
          <w:rFonts w:ascii="Verdana" w:hAnsi="Verdana"/>
          <w:sz w:val="20"/>
        </w:rPr>
        <w:t>On February 24, 2011, members of the FR SDT met with NERC and FERC staff to discuss the original directive from FERC Order 693 as well as the subsequent guidance issued in the September 16, 2010 Order.</w:t>
      </w:r>
    </w:p>
    <w:p w:rsidR="00062510" w:rsidRPr="003D5BC5" w:rsidRDefault="00062510" w:rsidP="00062510">
      <w:pPr>
        <w:pStyle w:val="Bullet"/>
        <w:numPr>
          <w:ilvl w:val="0"/>
          <w:numId w:val="0"/>
        </w:numPr>
        <w:rPr>
          <w:rFonts w:ascii="Verdana" w:hAnsi="Verdana"/>
          <w:b/>
          <w:sz w:val="20"/>
        </w:rPr>
      </w:pPr>
      <w:r w:rsidRPr="003D5BC5">
        <w:rPr>
          <w:rFonts w:ascii="Verdana" w:hAnsi="Verdana"/>
          <w:b/>
          <w:sz w:val="20"/>
        </w:rPr>
        <w:t>Reliability Objective Discussion:</w:t>
      </w:r>
    </w:p>
    <w:p w:rsidR="00062510" w:rsidRDefault="00062510" w:rsidP="00062510">
      <w:pPr>
        <w:pStyle w:val="Bullet"/>
        <w:numPr>
          <w:ilvl w:val="0"/>
          <w:numId w:val="0"/>
        </w:numPr>
        <w:rPr>
          <w:rFonts w:ascii="Verdana" w:hAnsi="Verdana"/>
          <w:sz w:val="20"/>
        </w:rPr>
      </w:pPr>
      <w:r w:rsidRPr="003D5BC5">
        <w:rPr>
          <w:rFonts w:ascii="Verdana" w:hAnsi="Verdana"/>
          <w:sz w:val="20"/>
        </w:rPr>
        <w:t>During the discussions on February 24, FERC staff clarified that the intent of the Order 693 directive was for reliability entities (as defined in the functional Model) to be able to take the Rating information and prepare Operating Plans or Planning Assessments prior to Real-time which could allow for better situational awareness and improved reliability of the bulk electric system.  The directive was not intended to provide the System Operator with information to change Ratings in Real-time, but rather to have Operating Plans, Processes or Procedures in place for implementation for the limited subset of Facilities, when requested, whose thermal ratings cause (1) an IROL; (2) a limitation of TTC; (3) an impediment to generation deliverability or (4) an impediment to service to major cities or load pockets.  Each Transmission Owner and Generator Owner is required to have a valid rating methodology (under the requirements of FAC-008-1), each having somewhat unique inherent assumptions.  Transmission Owners and Generator Owners define ratings (Normal and Emergency) for some time period at a loading level for each Facility, and the most limiting piece of equipment determ</w:t>
      </w:r>
      <w:r>
        <w:rPr>
          <w:rFonts w:ascii="Verdana" w:hAnsi="Verdana"/>
          <w:sz w:val="20"/>
        </w:rPr>
        <w:t xml:space="preserve">ines the Rating of the </w:t>
      </w:r>
      <w:r w:rsidRPr="00841FA6">
        <w:rPr>
          <w:rFonts w:ascii="Verdana" w:hAnsi="Verdana"/>
          <w:sz w:val="20"/>
        </w:rPr>
        <w:t xml:space="preserve">Facility </w:t>
      </w:r>
      <w:r>
        <w:rPr>
          <w:rFonts w:ascii="Verdana" w:hAnsi="Verdana"/>
          <w:sz w:val="20"/>
        </w:rPr>
        <w:t>for</w:t>
      </w:r>
      <w:r w:rsidRPr="00841FA6">
        <w:rPr>
          <w:rFonts w:ascii="Verdana" w:hAnsi="Verdana"/>
          <w:sz w:val="20"/>
        </w:rPr>
        <w:t xml:space="preserve"> that time period. </w:t>
      </w:r>
      <w:r>
        <w:rPr>
          <w:rFonts w:ascii="Verdana" w:hAnsi="Verdana"/>
          <w:sz w:val="20"/>
        </w:rPr>
        <w:t xml:space="preserve"> </w:t>
      </w:r>
      <w:r w:rsidRPr="00841FA6">
        <w:rPr>
          <w:rFonts w:ascii="Verdana" w:hAnsi="Verdana"/>
          <w:sz w:val="20"/>
        </w:rPr>
        <w:t>Some owners may elect to de</w:t>
      </w:r>
      <w:r>
        <w:rPr>
          <w:rFonts w:ascii="Verdana" w:hAnsi="Verdana"/>
          <w:sz w:val="20"/>
        </w:rPr>
        <w:t>fine</w:t>
      </w:r>
      <w:r w:rsidRPr="00841FA6">
        <w:rPr>
          <w:rFonts w:ascii="Verdana" w:hAnsi="Verdana"/>
          <w:sz w:val="20"/>
        </w:rPr>
        <w:t xml:space="preserve"> the “Emergency Rating” </w:t>
      </w:r>
      <w:r>
        <w:rPr>
          <w:rFonts w:ascii="Verdana" w:hAnsi="Verdana"/>
          <w:sz w:val="20"/>
        </w:rPr>
        <w:t xml:space="preserve">or “shorter term rating” </w:t>
      </w:r>
      <w:r w:rsidRPr="00841FA6">
        <w:rPr>
          <w:rFonts w:ascii="Verdana" w:hAnsi="Verdana"/>
          <w:sz w:val="20"/>
        </w:rPr>
        <w:t>a</w:t>
      </w:r>
      <w:r>
        <w:rPr>
          <w:rFonts w:ascii="Verdana" w:hAnsi="Verdana"/>
          <w:sz w:val="20"/>
        </w:rPr>
        <w:t>s</w:t>
      </w:r>
      <w:r w:rsidRPr="00841FA6">
        <w:rPr>
          <w:rFonts w:ascii="Verdana" w:hAnsi="Verdana"/>
          <w:sz w:val="20"/>
        </w:rPr>
        <w:t xml:space="preserve"> </w:t>
      </w:r>
      <w:r>
        <w:rPr>
          <w:rFonts w:ascii="Verdana" w:hAnsi="Verdana"/>
          <w:sz w:val="20"/>
        </w:rPr>
        <w:t>an 8</w:t>
      </w:r>
      <w:r w:rsidRPr="00841FA6">
        <w:rPr>
          <w:rFonts w:ascii="Verdana" w:hAnsi="Verdana"/>
          <w:sz w:val="20"/>
        </w:rPr>
        <w:t xml:space="preserve">–hour rating, others may elect to use a 4-hour rating, and some a 1-hour rating or </w:t>
      </w:r>
      <w:r>
        <w:rPr>
          <w:rFonts w:ascii="Verdana" w:hAnsi="Verdana"/>
          <w:sz w:val="20"/>
        </w:rPr>
        <w:t>some</w:t>
      </w:r>
      <w:r w:rsidRPr="00841FA6">
        <w:rPr>
          <w:rFonts w:ascii="Verdana" w:hAnsi="Verdana"/>
          <w:sz w:val="20"/>
        </w:rPr>
        <w:t xml:space="preserve"> other value. </w:t>
      </w:r>
    </w:p>
    <w:p w:rsidR="00062510" w:rsidRPr="00841FA6" w:rsidRDefault="00062510" w:rsidP="00062510">
      <w:pPr>
        <w:pStyle w:val="Bullet"/>
        <w:numPr>
          <w:ilvl w:val="0"/>
          <w:numId w:val="0"/>
        </w:numPr>
        <w:rPr>
          <w:rFonts w:ascii="Verdana" w:hAnsi="Verdana"/>
          <w:sz w:val="20"/>
        </w:rPr>
      </w:pPr>
    </w:p>
    <w:p w:rsidR="00062510" w:rsidRDefault="00062510" w:rsidP="00062510">
      <w:pPr>
        <w:rPr>
          <w:rFonts w:ascii="Verdana" w:hAnsi="Verdana"/>
          <w:sz w:val="20"/>
        </w:rPr>
      </w:pPr>
      <w:r>
        <w:rPr>
          <w:rFonts w:ascii="Verdana" w:hAnsi="Verdana"/>
          <w:sz w:val="20"/>
        </w:rPr>
        <w:t>As an example, a</w:t>
      </w:r>
      <w:r w:rsidRPr="00841FA6">
        <w:rPr>
          <w:rFonts w:ascii="Verdana" w:hAnsi="Verdana"/>
          <w:sz w:val="20"/>
        </w:rPr>
        <w:t xml:space="preserve">ssume that a </w:t>
      </w:r>
      <w:r>
        <w:rPr>
          <w:rFonts w:ascii="Verdana" w:hAnsi="Verdana"/>
          <w:sz w:val="20"/>
        </w:rPr>
        <w:t>F</w:t>
      </w:r>
      <w:r w:rsidRPr="00841FA6">
        <w:rPr>
          <w:rFonts w:ascii="Verdana" w:hAnsi="Verdana"/>
          <w:sz w:val="20"/>
        </w:rPr>
        <w:t xml:space="preserve">acility has only three </w:t>
      </w:r>
      <w:r>
        <w:rPr>
          <w:rFonts w:ascii="Verdana" w:hAnsi="Verdana"/>
          <w:sz w:val="20"/>
        </w:rPr>
        <w:t>pieces of equipment (see Diagram 1 below) and</w:t>
      </w:r>
      <w:r w:rsidRPr="00841FA6">
        <w:rPr>
          <w:rFonts w:ascii="Verdana" w:hAnsi="Verdana"/>
          <w:sz w:val="20"/>
        </w:rPr>
        <w:t xml:space="preserve"> each </w:t>
      </w:r>
      <w:r>
        <w:rPr>
          <w:rFonts w:ascii="Verdana" w:hAnsi="Verdana"/>
          <w:sz w:val="20"/>
        </w:rPr>
        <w:t>piece of equipment</w:t>
      </w:r>
      <w:r w:rsidRPr="00841FA6">
        <w:rPr>
          <w:rFonts w:ascii="Verdana" w:hAnsi="Verdana"/>
          <w:sz w:val="20"/>
        </w:rPr>
        <w:t xml:space="preserve"> ha</w:t>
      </w:r>
      <w:r>
        <w:rPr>
          <w:rFonts w:ascii="Verdana" w:hAnsi="Verdana"/>
          <w:sz w:val="20"/>
        </w:rPr>
        <w:t>s</w:t>
      </w:r>
      <w:r w:rsidRPr="00841FA6">
        <w:rPr>
          <w:rFonts w:ascii="Verdana" w:hAnsi="Verdana"/>
          <w:sz w:val="20"/>
        </w:rPr>
        <w:t xml:space="preserve"> its own ‘time based’ </w:t>
      </w:r>
      <w:r>
        <w:rPr>
          <w:rFonts w:ascii="Verdana" w:hAnsi="Verdana"/>
          <w:sz w:val="20"/>
        </w:rPr>
        <w:t>Thermal R</w:t>
      </w:r>
      <w:r w:rsidRPr="00841FA6">
        <w:rPr>
          <w:rFonts w:ascii="Verdana" w:hAnsi="Verdana"/>
          <w:sz w:val="20"/>
        </w:rPr>
        <w:t>ating function.</w:t>
      </w:r>
      <w:r>
        <w:rPr>
          <w:rFonts w:ascii="Verdana" w:hAnsi="Verdana"/>
          <w:sz w:val="20"/>
        </w:rPr>
        <w:t xml:space="preserve"> </w:t>
      </w:r>
      <w:r w:rsidRPr="00841FA6">
        <w:rPr>
          <w:rFonts w:ascii="Verdana" w:hAnsi="Verdana"/>
          <w:sz w:val="20"/>
        </w:rPr>
        <w:t xml:space="preserve"> </w:t>
      </w:r>
      <w:r>
        <w:rPr>
          <w:rFonts w:ascii="Verdana" w:hAnsi="Verdana"/>
          <w:sz w:val="20"/>
        </w:rPr>
        <w:t>The</w:t>
      </w:r>
      <w:r w:rsidRPr="00841FA6">
        <w:rPr>
          <w:rFonts w:ascii="Verdana" w:hAnsi="Verdana"/>
          <w:sz w:val="20"/>
        </w:rPr>
        <w:t xml:space="preserve"> </w:t>
      </w:r>
      <w:r>
        <w:rPr>
          <w:rFonts w:ascii="Verdana" w:hAnsi="Verdana"/>
          <w:sz w:val="20"/>
        </w:rPr>
        <w:t xml:space="preserve">continuous </w:t>
      </w:r>
      <w:r w:rsidRPr="00841FA6">
        <w:rPr>
          <w:rFonts w:ascii="Verdana" w:hAnsi="Verdana"/>
          <w:sz w:val="20"/>
        </w:rPr>
        <w:t xml:space="preserve">rating </w:t>
      </w:r>
      <w:r>
        <w:rPr>
          <w:rFonts w:ascii="Verdana" w:hAnsi="Verdana"/>
          <w:sz w:val="20"/>
        </w:rPr>
        <w:t>of the Facility</w:t>
      </w:r>
      <w:r w:rsidRPr="00841FA6">
        <w:rPr>
          <w:rFonts w:ascii="Verdana" w:hAnsi="Verdana"/>
          <w:sz w:val="20"/>
        </w:rPr>
        <w:t xml:space="preserve"> would be ‘governed’ by the </w:t>
      </w:r>
      <w:r>
        <w:rPr>
          <w:rFonts w:ascii="Verdana" w:hAnsi="Verdana"/>
          <w:sz w:val="20"/>
        </w:rPr>
        <w:t xml:space="preserve">Equipment </w:t>
      </w:r>
      <w:r w:rsidRPr="00841FA6">
        <w:rPr>
          <w:rFonts w:ascii="Verdana" w:hAnsi="Verdana"/>
          <w:sz w:val="20"/>
        </w:rPr>
        <w:t>Rating o</w:t>
      </w:r>
      <w:r>
        <w:rPr>
          <w:rFonts w:ascii="Verdana" w:hAnsi="Verdana"/>
          <w:sz w:val="20"/>
        </w:rPr>
        <w:t xml:space="preserve">f Equipment 3 (E3). However, for owners that define a shorter term rating, </w:t>
      </w:r>
      <w:r w:rsidRPr="00841FA6">
        <w:rPr>
          <w:rFonts w:ascii="Verdana" w:hAnsi="Verdana"/>
          <w:sz w:val="20"/>
        </w:rPr>
        <w:t xml:space="preserve">the Facility could safely </w:t>
      </w:r>
      <w:r>
        <w:rPr>
          <w:rFonts w:ascii="Verdana" w:hAnsi="Verdana"/>
          <w:sz w:val="20"/>
        </w:rPr>
        <w:t>o</w:t>
      </w:r>
      <w:r w:rsidRPr="00841FA6">
        <w:rPr>
          <w:rFonts w:ascii="Verdana" w:hAnsi="Verdana"/>
          <w:sz w:val="20"/>
        </w:rPr>
        <w:t>perat</w:t>
      </w:r>
      <w:r>
        <w:rPr>
          <w:rFonts w:ascii="Verdana" w:hAnsi="Verdana"/>
          <w:sz w:val="20"/>
        </w:rPr>
        <w:t>e</w:t>
      </w:r>
      <w:r w:rsidRPr="00841FA6">
        <w:rPr>
          <w:rFonts w:ascii="Verdana" w:hAnsi="Verdana"/>
          <w:sz w:val="20"/>
        </w:rPr>
        <w:t xml:space="preserve"> at a rating ‘governed’ by the </w:t>
      </w:r>
      <w:r>
        <w:rPr>
          <w:rFonts w:ascii="Verdana" w:hAnsi="Verdana"/>
          <w:sz w:val="20"/>
        </w:rPr>
        <w:t>Equipment R</w:t>
      </w:r>
      <w:r w:rsidRPr="00841FA6">
        <w:rPr>
          <w:rFonts w:ascii="Verdana" w:hAnsi="Verdana"/>
          <w:sz w:val="20"/>
        </w:rPr>
        <w:t>ating of E</w:t>
      </w:r>
      <w:r>
        <w:rPr>
          <w:rFonts w:ascii="Verdana" w:hAnsi="Verdana"/>
          <w:sz w:val="20"/>
        </w:rPr>
        <w:t>quipment</w:t>
      </w:r>
      <w:r w:rsidRPr="00841FA6">
        <w:rPr>
          <w:rFonts w:ascii="Verdana" w:hAnsi="Verdana"/>
          <w:sz w:val="20"/>
        </w:rPr>
        <w:t xml:space="preserve"> 2 (E2)</w:t>
      </w:r>
      <w:r>
        <w:rPr>
          <w:rFonts w:ascii="Verdana" w:hAnsi="Verdana"/>
          <w:sz w:val="20"/>
        </w:rPr>
        <w:t xml:space="preserve"> for t</w:t>
      </w:r>
      <w:r w:rsidRPr="00841FA6">
        <w:rPr>
          <w:rFonts w:ascii="Verdana" w:hAnsi="Verdana"/>
          <w:sz w:val="20"/>
        </w:rPr>
        <w:t>ime less tha</w:t>
      </w:r>
      <w:r>
        <w:rPr>
          <w:rFonts w:ascii="Verdana" w:hAnsi="Verdana"/>
          <w:sz w:val="20"/>
        </w:rPr>
        <w:t>n</w:t>
      </w:r>
      <w:r w:rsidRPr="00841FA6">
        <w:rPr>
          <w:rFonts w:ascii="Verdana" w:hAnsi="Verdana"/>
          <w:sz w:val="20"/>
        </w:rPr>
        <w:t xml:space="preserve"> the E2/3 crossover.</w:t>
      </w:r>
      <w:r>
        <w:rPr>
          <w:rFonts w:ascii="Verdana" w:hAnsi="Verdana"/>
          <w:sz w:val="20"/>
        </w:rPr>
        <w:t xml:space="preserve">  </w:t>
      </w:r>
      <w:r w:rsidRPr="00841FA6">
        <w:rPr>
          <w:rFonts w:ascii="Verdana" w:hAnsi="Verdana"/>
          <w:sz w:val="20"/>
        </w:rPr>
        <w:t>Therefore</w:t>
      </w:r>
      <w:r>
        <w:rPr>
          <w:rFonts w:ascii="Verdana" w:hAnsi="Verdana"/>
          <w:sz w:val="20"/>
        </w:rPr>
        <w:t>,</w:t>
      </w:r>
      <w:r w:rsidRPr="00841FA6">
        <w:rPr>
          <w:rFonts w:ascii="Verdana" w:hAnsi="Verdana"/>
          <w:sz w:val="20"/>
        </w:rPr>
        <w:t xml:space="preserve"> knowledge of the </w:t>
      </w:r>
      <w:r>
        <w:rPr>
          <w:rFonts w:ascii="Verdana" w:hAnsi="Verdana"/>
          <w:sz w:val="20"/>
        </w:rPr>
        <w:t>shorter term rating</w:t>
      </w:r>
      <w:r w:rsidRPr="00841FA6">
        <w:rPr>
          <w:rFonts w:ascii="Verdana" w:hAnsi="Verdana"/>
          <w:sz w:val="20"/>
        </w:rPr>
        <w:t xml:space="preserve"> could assist the Operations Planning Engineer with a strategy to operate (real or contingency) above the established </w:t>
      </w:r>
      <w:r>
        <w:rPr>
          <w:rFonts w:ascii="Verdana" w:hAnsi="Verdana"/>
          <w:sz w:val="20"/>
        </w:rPr>
        <w:t>continuous</w:t>
      </w:r>
      <w:r w:rsidRPr="00841FA6">
        <w:rPr>
          <w:rFonts w:ascii="Verdana" w:hAnsi="Verdana"/>
          <w:sz w:val="20"/>
        </w:rPr>
        <w:t xml:space="preserve"> rating, for a period of time, without violating the rating of any </w:t>
      </w:r>
      <w:r>
        <w:rPr>
          <w:rFonts w:ascii="Verdana" w:hAnsi="Verdana"/>
          <w:sz w:val="20"/>
        </w:rPr>
        <w:t>equipment</w:t>
      </w:r>
      <w:r w:rsidRPr="00841FA6">
        <w:rPr>
          <w:rFonts w:ascii="Verdana" w:hAnsi="Verdana"/>
          <w:sz w:val="20"/>
        </w:rPr>
        <w:t xml:space="preserve"> of that Facility. </w:t>
      </w:r>
      <w:r>
        <w:rPr>
          <w:rFonts w:ascii="Verdana" w:hAnsi="Verdana"/>
          <w:sz w:val="20"/>
        </w:rPr>
        <w:t xml:space="preserve"> </w:t>
      </w:r>
      <w:r w:rsidRPr="00841FA6">
        <w:rPr>
          <w:rFonts w:ascii="Verdana" w:hAnsi="Verdana"/>
          <w:sz w:val="20"/>
        </w:rPr>
        <w:t xml:space="preserve">For </w:t>
      </w:r>
      <w:r>
        <w:rPr>
          <w:rFonts w:ascii="Verdana" w:hAnsi="Verdana"/>
          <w:sz w:val="20"/>
        </w:rPr>
        <w:t>o</w:t>
      </w:r>
      <w:r w:rsidRPr="00841FA6">
        <w:rPr>
          <w:rFonts w:ascii="Verdana" w:hAnsi="Verdana"/>
          <w:sz w:val="20"/>
        </w:rPr>
        <w:t>wners that define a</w:t>
      </w:r>
      <w:r>
        <w:rPr>
          <w:rFonts w:ascii="Verdana" w:hAnsi="Verdana"/>
          <w:sz w:val="20"/>
        </w:rPr>
        <w:t xml:space="preserve"> very short term</w:t>
      </w:r>
      <w:r w:rsidRPr="00841FA6">
        <w:rPr>
          <w:rFonts w:ascii="Verdana" w:hAnsi="Verdana"/>
          <w:sz w:val="20"/>
        </w:rPr>
        <w:t xml:space="preserve"> rating</w:t>
      </w:r>
      <w:r>
        <w:rPr>
          <w:rFonts w:ascii="Verdana" w:hAnsi="Verdana"/>
          <w:sz w:val="20"/>
        </w:rPr>
        <w:t xml:space="preserve">, an analogous example could be drawn with Equipment 1 and 2.  </w:t>
      </w:r>
    </w:p>
    <w:p w:rsidR="00062510" w:rsidRDefault="00062510" w:rsidP="00062510">
      <w:pPr>
        <w:rPr>
          <w:rFonts w:ascii="Verdana" w:hAnsi="Verdana"/>
          <w:sz w:val="20"/>
        </w:rPr>
      </w:pPr>
      <w:r w:rsidRPr="008B34E1">
        <w:rPr>
          <w:rFonts w:ascii="Verdana" w:hAnsi="Verdana"/>
          <w:sz w:val="20"/>
        </w:rPr>
        <w:t xml:space="preserve">For this example, Requirement </w:t>
      </w:r>
      <w:r>
        <w:rPr>
          <w:rFonts w:ascii="Verdana" w:hAnsi="Verdana"/>
          <w:sz w:val="20"/>
        </w:rPr>
        <w:t>8</w:t>
      </w:r>
      <w:r w:rsidRPr="008B34E1">
        <w:rPr>
          <w:rFonts w:ascii="Verdana" w:hAnsi="Verdana"/>
          <w:sz w:val="20"/>
        </w:rPr>
        <w:t xml:space="preserve">, Part 1 and its sub-parts requires a Transmission Owner </w:t>
      </w:r>
      <w:r>
        <w:rPr>
          <w:rFonts w:ascii="Verdana" w:hAnsi="Verdana"/>
          <w:sz w:val="20"/>
        </w:rPr>
        <w:t>(and the Generator Owner that must comply with Requirement R2)</w:t>
      </w:r>
      <w:r w:rsidRPr="008B34E1">
        <w:rPr>
          <w:rFonts w:ascii="Verdana" w:hAnsi="Verdana"/>
          <w:sz w:val="20"/>
        </w:rPr>
        <w:t xml:space="preserve"> to provide two data points as scheduled by requesting entities.  </w:t>
      </w:r>
    </w:p>
    <w:p w:rsidR="00062510" w:rsidRDefault="00062510" w:rsidP="00062510">
      <w:pPr>
        <w:numPr>
          <w:ilvl w:val="0"/>
          <w:numId w:val="37"/>
        </w:numPr>
        <w:spacing w:after="0"/>
        <w:rPr>
          <w:rFonts w:ascii="Verdana" w:hAnsi="Verdana"/>
          <w:sz w:val="20"/>
        </w:rPr>
      </w:pPr>
      <w:r w:rsidRPr="008B34E1">
        <w:rPr>
          <w:rFonts w:ascii="Verdana" w:hAnsi="Verdana"/>
          <w:sz w:val="20"/>
        </w:rPr>
        <w:t xml:space="preserve">For the Continuous Rating:  </w:t>
      </w:r>
      <w:r>
        <w:rPr>
          <w:rFonts w:ascii="Verdana" w:hAnsi="Verdana"/>
          <w:sz w:val="20"/>
        </w:rPr>
        <w:t xml:space="preserve">The Facility Rating (the </w:t>
      </w:r>
      <w:r w:rsidRPr="008B34E1">
        <w:rPr>
          <w:rFonts w:ascii="Verdana" w:hAnsi="Verdana"/>
          <w:sz w:val="20"/>
        </w:rPr>
        <w:t>Equipment</w:t>
      </w:r>
      <w:r>
        <w:rPr>
          <w:rFonts w:ascii="Verdana" w:hAnsi="Verdana"/>
          <w:sz w:val="20"/>
        </w:rPr>
        <w:t xml:space="preserve"> Rating of E</w:t>
      </w:r>
      <w:r w:rsidRPr="008B34E1">
        <w:rPr>
          <w:rFonts w:ascii="Verdana" w:hAnsi="Verdana"/>
          <w:sz w:val="20"/>
        </w:rPr>
        <w:t>3</w:t>
      </w:r>
      <w:r>
        <w:rPr>
          <w:rFonts w:ascii="Verdana" w:hAnsi="Verdana"/>
          <w:sz w:val="20"/>
        </w:rPr>
        <w:t>)</w:t>
      </w:r>
      <w:r w:rsidRPr="008B34E1">
        <w:rPr>
          <w:rFonts w:ascii="Verdana" w:hAnsi="Verdana"/>
          <w:sz w:val="20"/>
        </w:rPr>
        <w:t xml:space="preserve"> and</w:t>
      </w:r>
      <w:r>
        <w:rPr>
          <w:rFonts w:ascii="Verdana" w:hAnsi="Verdana"/>
          <w:sz w:val="20"/>
        </w:rPr>
        <w:t xml:space="preserve"> identification of the most limiting equipment of the Facility (E3)</w:t>
      </w:r>
      <w:r w:rsidRPr="008B34E1">
        <w:rPr>
          <w:rFonts w:ascii="Verdana" w:hAnsi="Verdana"/>
          <w:sz w:val="20"/>
        </w:rPr>
        <w:t xml:space="preserve">.  </w:t>
      </w:r>
    </w:p>
    <w:p w:rsidR="00062510" w:rsidRPr="008B34E1" w:rsidRDefault="00062510" w:rsidP="00062510">
      <w:pPr>
        <w:numPr>
          <w:ilvl w:val="0"/>
          <w:numId w:val="37"/>
        </w:numPr>
        <w:spacing w:after="0"/>
        <w:rPr>
          <w:rFonts w:ascii="Verdana" w:hAnsi="Verdana"/>
          <w:sz w:val="20"/>
        </w:rPr>
      </w:pPr>
      <w:r w:rsidRPr="008B34E1">
        <w:rPr>
          <w:rFonts w:ascii="Verdana" w:hAnsi="Verdana"/>
          <w:sz w:val="20"/>
        </w:rPr>
        <w:t xml:space="preserve">For the Shorter Term Rating:  </w:t>
      </w:r>
      <w:r>
        <w:rPr>
          <w:rFonts w:ascii="Verdana" w:hAnsi="Verdana"/>
          <w:sz w:val="20"/>
        </w:rPr>
        <w:t xml:space="preserve">The Facility Rating (the </w:t>
      </w:r>
      <w:r w:rsidRPr="008B34E1">
        <w:rPr>
          <w:rFonts w:ascii="Verdana" w:hAnsi="Verdana"/>
          <w:sz w:val="20"/>
        </w:rPr>
        <w:t>Equipment</w:t>
      </w:r>
      <w:r>
        <w:rPr>
          <w:rFonts w:ascii="Verdana" w:hAnsi="Verdana"/>
          <w:sz w:val="20"/>
        </w:rPr>
        <w:t xml:space="preserve"> Rating for E2) and identification of the most limiting equipment of the Facility (E</w:t>
      </w:r>
      <w:r w:rsidRPr="008B34E1">
        <w:rPr>
          <w:rFonts w:ascii="Verdana" w:hAnsi="Verdana"/>
          <w:sz w:val="20"/>
        </w:rPr>
        <w:t>2</w:t>
      </w:r>
      <w:r>
        <w:rPr>
          <w:rFonts w:ascii="Verdana" w:hAnsi="Verdana"/>
          <w:sz w:val="20"/>
        </w:rPr>
        <w:t>).</w:t>
      </w:r>
    </w:p>
    <w:p w:rsidR="00062510" w:rsidRPr="008B34E1" w:rsidRDefault="00062510" w:rsidP="00062510">
      <w:pPr>
        <w:rPr>
          <w:rFonts w:ascii="Verdana" w:hAnsi="Verdana"/>
          <w:sz w:val="20"/>
        </w:rPr>
      </w:pPr>
    </w:p>
    <w:p w:rsidR="00062510" w:rsidRDefault="00062510" w:rsidP="00062510">
      <w:pPr>
        <w:rPr>
          <w:rFonts w:ascii="Verdana" w:hAnsi="Verdana"/>
          <w:sz w:val="20"/>
        </w:rPr>
      </w:pPr>
      <w:r w:rsidRPr="008B34E1">
        <w:rPr>
          <w:rFonts w:ascii="Verdana" w:hAnsi="Verdana"/>
          <w:sz w:val="20"/>
        </w:rPr>
        <w:lastRenderedPageBreak/>
        <w:t>For th</w:t>
      </w:r>
      <w:r>
        <w:rPr>
          <w:rFonts w:ascii="Verdana" w:hAnsi="Verdana"/>
          <w:sz w:val="20"/>
        </w:rPr>
        <w:t>is</w:t>
      </w:r>
      <w:r w:rsidRPr="008B34E1">
        <w:rPr>
          <w:rFonts w:ascii="Verdana" w:hAnsi="Verdana"/>
          <w:sz w:val="20"/>
        </w:rPr>
        <w:t xml:space="preserve"> example, Requirement </w:t>
      </w:r>
      <w:r>
        <w:rPr>
          <w:rFonts w:ascii="Verdana" w:hAnsi="Verdana"/>
          <w:sz w:val="20"/>
        </w:rPr>
        <w:t>8</w:t>
      </w:r>
      <w:r w:rsidRPr="008B34E1">
        <w:rPr>
          <w:rFonts w:ascii="Verdana" w:hAnsi="Verdana"/>
          <w:sz w:val="20"/>
        </w:rPr>
        <w:t xml:space="preserve">, Part 2 and its sub-parts requires a Transmission Owner </w:t>
      </w:r>
      <w:r>
        <w:rPr>
          <w:rFonts w:ascii="Verdana" w:hAnsi="Verdana"/>
          <w:sz w:val="20"/>
        </w:rPr>
        <w:t xml:space="preserve">(and the Generator Owner that must comply with Requirement R2) </w:t>
      </w:r>
      <w:r w:rsidRPr="008B34E1">
        <w:rPr>
          <w:rFonts w:ascii="Verdana" w:hAnsi="Verdana"/>
          <w:sz w:val="20"/>
        </w:rPr>
        <w:t xml:space="preserve">to provide four data points upon request for a specific subset of Facilities.  </w:t>
      </w:r>
    </w:p>
    <w:p w:rsidR="00062510" w:rsidRDefault="00062510" w:rsidP="00062510">
      <w:pPr>
        <w:numPr>
          <w:ilvl w:val="0"/>
          <w:numId w:val="36"/>
        </w:numPr>
        <w:spacing w:after="0"/>
        <w:rPr>
          <w:rFonts w:ascii="Verdana" w:hAnsi="Verdana"/>
          <w:sz w:val="20"/>
        </w:rPr>
      </w:pPr>
      <w:r w:rsidRPr="008B34E1">
        <w:rPr>
          <w:rFonts w:ascii="Verdana" w:hAnsi="Verdana"/>
          <w:sz w:val="20"/>
        </w:rPr>
        <w:t xml:space="preserve">For the Continuous Rating:  </w:t>
      </w:r>
      <w:r>
        <w:rPr>
          <w:rFonts w:ascii="Verdana" w:hAnsi="Verdana"/>
          <w:sz w:val="20"/>
        </w:rPr>
        <w:t xml:space="preserve">Identification of the existing next most limiting equipment of the Facility (E2) </w:t>
      </w:r>
      <w:r w:rsidRPr="008B34E1">
        <w:rPr>
          <w:rFonts w:ascii="Verdana" w:hAnsi="Verdana"/>
          <w:sz w:val="20"/>
        </w:rPr>
        <w:t xml:space="preserve">and its </w:t>
      </w:r>
      <w:r>
        <w:rPr>
          <w:rFonts w:ascii="Verdana" w:hAnsi="Verdana"/>
          <w:sz w:val="20"/>
        </w:rPr>
        <w:t xml:space="preserve">Equipment </w:t>
      </w:r>
      <w:r w:rsidRPr="008B34E1">
        <w:rPr>
          <w:rFonts w:ascii="Verdana" w:hAnsi="Verdana"/>
          <w:sz w:val="20"/>
        </w:rPr>
        <w:t xml:space="preserve">Rating.  </w:t>
      </w:r>
    </w:p>
    <w:p w:rsidR="00062510" w:rsidRDefault="00062510" w:rsidP="00062510">
      <w:pPr>
        <w:numPr>
          <w:ilvl w:val="0"/>
          <w:numId w:val="36"/>
        </w:numPr>
        <w:spacing w:after="0"/>
        <w:rPr>
          <w:rFonts w:ascii="Verdana" w:hAnsi="Verdana"/>
          <w:sz w:val="20"/>
        </w:rPr>
      </w:pPr>
      <w:r w:rsidRPr="008B34E1">
        <w:rPr>
          <w:rFonts w:ascii="Verdana" w:hAnsi="Verdana"/>
          <w:sz w:val="20"/>
        </w:rPr>
        <w:t xml:space="preserve">For the Shorter Term Rating: </w:t>
      </w:r>
      <w:r>
        <w:rPr>
          <w:rFonts w:ascii="Verdana" w:hAnsi="Verdana"/>
          <w:sz w:val="20"/>
        </w:rPr>
        <w:t>Identification of the existing next most limiting equipment of the Facility (E1) and</w:t>
      </w:r>
      <w:r w:rsidRPr="008B34E1">
        <w:rPr>
          <w:rFonts w:ascii="Verdana" w:hAnsi="Verdana"/>
          <w:sz w:val="20"/>
        </w:rPr>
        <w:t xml:space="preserve"> its </w:t>
      </w:r>
      <w:r>
        <w:rPr>
          <w:rFonts w:ascii="Verdana" w:hAnsi="Verdana"/>
          <w:sz w:val="20"/>
        </w:rPr>
        <w:t xml:space="preserve">Equipment </w:t>
      </w:r>
      <w:r w:rsidRPr="008B34E1">
        <w:rPr>
          <w:rFonts w:ascii="Verdana" w:hAnsi="Verdana"/>
          <w:sz w:val="20"/>
        </w:rPr>
        <w:t>Rating.</w:t>
      </w:r>
    </w:p>
    <w:p w:rsidR="00062510" w:rsidRDefault="00062510" w:rsidP="00062510">
      <w:pPr>
        <w:pStyle w:val="Bullet"/>
        <w:numPr>
          <w:ilvl w:val="0"/>
          <w:numId w:val="0"/>
        </w:numPr>
        <w:spacing w:before="0"/>
        <w:rPr>
          <w:rFonts w:ascii="Verdana" w:hAnsi="Verdana"/>
          <w:sz w:val="20"/>
        </w:rPr>
      </w:pPr>
    </w:p>
    <w:p w:rsidR="00062510" w:rsidRPr="0038592D" w:rsidRDefault="00062510" w:rsidP="00062510">
      <w:pPr>
        <w:pStyle w:val="Bullet"/>
        <w:numPr>
          <w:ilvl w:val="0"/>
          <w:numId w:val="0"/>
        </w:numPr>
        <w:spacing w:before="0"/>
        <w:rPr>
          <w:rFonts w:ascii="Verdana" w:hAnsi="Verdana"/>
          <w:sz w:val="20"/>
        </w:rPr>
      </w:pPr>
      <w:r>
        <w:rPr>
          <w:rFonts w:ascii="Verdana" w:hAnsi="Verdana"/>
          <w:noProof/>
          <w:sz w:val="20"/>
        </w:rPr>
        <w:drawing>
          <wp:inline distT="0" distB="0" distL="0" distR="0">
            <wp:extent cx="5943600" cy="4933950"/>
            <wp:effectExtent l="19050" t="0" r="0" b="0"/>
            <wp:docPr id="1" name="Picture 1" descr="3ElemDiagram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ElemDiagram v2"/>
                    <pic:cNvPicPr>
                      <a:picLocks noChangeAspect="1" noChangeArrowheads="1"/>
                    </pic:cNvPicPr>
                  </pic:nvPicPr>
                  <pic:blipFill>
                    <a:blip r:embed="rId9" cstate="print"/>
                    <a:srcRect/>
                    <a:stretch>
                      <a:fillRect/>
                    </a:stretch>
                  </pic:blipFill>
                  <pic:spPr bwMode="auto">
                    <a:xfrm>
                      <a:off x="0" y="0"/>
                      <a:ext cx="5943600" cy="4933950"/>
                    </a:xfrm>
                    <a:prstGeom prst="rect">
                      <a:avLst/>
                    </a:prstGeom>
                    <a:noFill/>
                    <a:ln w="9525">
                      <a:noFill/>
                      <a:miter lim="800000"/>
                      <a:headEnd/>
                      <a:tailEnd/>
                    </a:ln>
                  </pic:spPr>
                </pic:pic>
              </a:graphicData>
            </a:graphic>
          </wp:inline>
        </w:drawing>
      </w:r>
    </w:p>
    <w:p w:rsidR="00062510" w:rsidRDefault="00062510" w:rsidP="00062510">
      <w:pPr>
        <w:rPr>
          <w:rFonts w:ascii="Verdana" w:hAnsi="Verdana"/>
          <w:sz w:val="20"/>
        </w:rPr>
      </w:pPr>
    </w:p>
    <w:p w:rsidR="00062510" w:rsidRPr="00C4478A" w:rsidRDefault="00062510" w:rsidP="00062510">
      <w:pPr>
        <w:rPr>
          <w:rStyle w:val="BoxText"/>
          <w:rFonts w:ascii="Verdana" w:hAnsi="Verdana"/>
        </w:rPr>
      </w:pPr>
      <w:r>
        <w:rPr>
          <w:rFonts w:ascii="Verdana" w:hAnsi="Verdana"/>
          <w:b/>
        </w:rPr>
        <w:br w:type="page"/>
      </w:r>
      <w:r w:rsidRPr="00C4478A">
        <w:rPr>
          <w:rFonts w:ascii="Verdana" w:hAnsi="Verdana"/>
          <w:b/>
        </w:rPr>
        <w:lastRenderedPageBreak/>
        <w:t xml:space="preserve">You do not have to answer all questions.  Enter All Comments in Simple Text Format.  </w:t>
      </w:r>
    </w:p>
    <w:p w:rsidR="00062510" w:rsidRPr="0038592D" w:rsidRDefault="00062510" w:rsidP="00062510">
      <w:pPr>
        <w:pStyle w:val="FootnoteText"/>
        <w:spacing w:before="240"/>
        <w:rPr>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062510" w:rsidRPr="00B65C08" w:rsidRDefault="00062510" w:rsidP="00062510">
      <w:pPr>
        <w:pStyle w:val="ListBullet2"/>
        <w:numPr>
          <w:ilvl w:val="0"/>
          <w:numId w:val="35"/>
        </w:numPr>
        <w:spacing w:after="120"/>
        <w:contextualSpacing w:val="0"/>
        <w:rPr>
          <w:rFonts w:ascii="Verdana" w:hAnsi="Verdana"/>
          <w:sz w:val="20"/>
        </w:rPr>
      </w:pPr>
      <w:r w:rsidRPr="0038592D">
        <w:rPr>
          <w:rFonts w:ascii="Verdana" w:hAnsi="Verdana"/>
          <w:sz w:val="20"/>
        </w:rPr>
        <w:t xml:space="preserve">Do you </w:t>
      </w:r>
      <w:r>
        <w:rPr>
          <w:rFonts w:ascii="Verdana" w:hAnsi="Verdana"/>
          <w:sz w:val="20"/>
        </w:rPr>
        <w:t xml:space="preserve">agree that the proposed Requirement R8 addresses the FERC Directive from Order 693, Paragraph 756?   If not, please explain why not and if possible, provide an alternative that would be acceptable to you.  </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Style w:val="BoxText"/>
          <w:rFonts w:ascii="Verdana" w:hAnsi="Verdana"/>
        </w:rPr>
        <w:t>Yes</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Fonts w:ascii="Verdana" w:hAnsi="Verdana"/>
          <w:sz w:val="20"/>
        </w:rPr>
        <w:t>No</w:t>
      </w:r>
    </w:p>
    <w:p w:rsidR="00062510" w:rsidRPr="0038592D" w:rsidRDefault="00062510" w:rsidP="00062510">
      <w:pPr>
        <w:ind w:left="360"/>
        <w:rPr>
          <w:rStyle w:val="BoxText"/>
          <w:rFonts w:ascii="Verdana" w:hAnsi="Verdana"/>
        </w:rPr>
      </w:pPr>
      <w:r w:rsidRPr="0038592D">
        <w:rPr>
          <w:rStyle w:val="BoxText"/>
          <w:rFonts w:ascii="Verdana" w:hAnsi="Verdana"/>
        </w:rPr>
        <w:t xml:space="preserve">Comments: </w:t>
      </w:r>
      <w:r w:rsidR="00607316"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07316" w:rsidRPr="0038592D">
        <w:rPr>
          <w:rStyle w:val="BoxText"/>
          <w:rFonts w:ascii="Verdana" w:hAnsi="Verdana"/>
        </w:rPr>
      </w:r>
      <w:r w:rsidR="00607316"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07316" w:rsidRPr="0038592D">
        <w:rPr>
          <w:rStyle w:val="BoxText"/>
          <w:rFonts w:ascii="Verdana" w:hAnsi="Verdana"/>
        </w:rPr>
        <w:fldChar w:fldCharType="end"/>
      </w:r>
    </w:p>
    <w:p w:rsidR="00062510" w:rsidRPr="0038592D" w:rsidRDefault="00062510" w:rsidP="00062510">
      <w:pPr>
        <w:pStyle w:val="ListBullet2"/>
        <w:numPr>
          <w:ilvl w:val="0"/>
          <w:numId w:val="0"/>
        </w:numPr>
        <w:spacing w:after="120"/>
        <w:ind w:left="720"/>
        <w:rPr>
          <w:rFonts w:ascii="Verdana" w:hAnsi="Verdana"/>
          <w:sz w:val="20"/>
        </w:rPr>
      </w:pPr>
    </w:p>
    <w:p w:rsidR="00062510" w:rsidRPr="00B65C08" w:rsidRDefault="00062510" w:rsidP="00062510">
      <w:pPr>
        <w:pStyle w:val="ListBullet2"/>
        <w:numPr>
          <w:ilvl w:val="0"/>
          <w:numId w:val="35"/>
        </w:numPr>
        <w:spacing w:after="120"/>
        <w:contextualSpacing w:val="0"/>
        <w:rPr>
          <w:rFonts w:ascii="Verdana" w:hAnsi="Verdana"/>
          <w:sz w:val="20"/>
        </w:rPr>
      </w:pPr>
      <w:r w:rsidRPr="0038592D">
        <w:rPr>
          <w:rFonts w:ascii="Verdana" w:hAnsi="Verdana"/>
          <w:sz w:val="20"/>
        </w:rPr>
        <w:t xml:space="preserve">Do you </w:t>
      </w:r>
      <w:r>
        <w:rPr>
          <w:rFonts w:ascii="Verdana" w:hAnsi="Verdana"/>
          <w:sz w:val="20"/>
        </w:rPr>
        <w:t xml:space="preserve">agree with the proposed Violation Risk Factor, Time Horizon and Violation Severity Levels for requirement R8?  If not, please explain why not and if possible, provide an alternative that would be acceptable to you.  </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Style w:val="BoxText"/>
          <w:rFonts w:ascii="Verdana" w:hAnsi="Verdana"/>
        </w:rPr>
        <w:t>Yes</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Fonts w:ascii="Verdana" w:hAnsi="Verdana"/>
          <w:sz w:val="20"/>
        </w:rPr>
        <w:t>No</w:t>
      </w:r>
    </w:p>
    <w:p w:rsidR="00062510" w:rsidRPr="0038592D" w:rsidRDefault="00062510" w:rsidP="00062510">
      <w:pPr>
        <w:ind w:left="360"/>
        <w:rPr>
          <w:rStyle w:val="BoxText"/>
          <w:rFonts w:ascii="Verdana" w:hAnsi="Verdana"/>
        </w:rPr>
      </w:pPr>
      <w:r w:rsidRPr="0038592D">
        <w:rPr>
          <w:rStyle w:val="BoxText"/>
          <w:rFonts w:ascii="Verdana" w:hAnsi="Verdana"/>
        </w:rPr>
        <w:t xml:space="preserve">Comments: </w:t>
      </w:r>
      <w:r w:rsidR="00607316"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07316" w:rsidRPr="0038592D">
        <w:rPr>
          <w:rStyle w:val="BoxText"/>
          <w:rFonts w:ascii="Verdana" w:hAnsi="Verdana"/>
        </w:rPr>
      </w:r>
      <w:r w:rsidR="00607316"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07316" w:rsidRPr="0038592D">
        <w:rPr>
          <w:rStyle w:val="BoxText"/>
          <w:rFonts w:ascii="Verdana" w:hAnsi="Verdana"/>
        </w:rPr>
        <w:fldChar w:fldCharType="end"/>
      </w:r>
    </w:p>
    <w:p w:rsidR="00062510" w:rsidRDefault="00062510" w:rsidP="00062510">
      <w:pPr>
        <w:ind w:left="360"/>
        <w:rPr>
          <w:rStyle w:val="BoxText"/>
          <w:rFonts w:ascii="Verdana" w:hAnsi="Verdana"/>
        </w:rPr>
      </w:pPr>
    </w:p>
    <w:p w:rsidR="00062510" w:rsidRPr="00B65C08" w:rsidRDefault="00062510" w:rsidP="00062510">
      <w:pPr>
        <w:pStyle w:val="ListBullet2"/>
        <w:numPr>
          <w:ilvl w:val="0"/>
          <w:numId w:val="35"/>
        </w:numPr>
        <w:spacing w:after="120"/>
        <w:contextualSpacing w:val="0"/>
        <w:rPr>
          <w:rFonts w:ascii="Verdana" w:hAnsi="Verdana"/>
          <w:sz w:val="20"/>
        </w:rPr>
      </w:pPr>
      <w:r w:rsidRPr="0038592D">
        <w:rPr>
          <w:rFonts w:ascii="Verdana" w:hAnsi="Verdana"/>
          <w:sz w:val="20"/>
        </w:rPr>
        <w:t xml:space="preserve">Do you </w:t>
      </w:r>
      <w:r>
        <w:rPr>
          <w:rFonts w:ascii="Verdana" w:hAnsi="Verdana"/>
          <w:sz w:val="20"/>
        </w:rPr>
        <w:t xml:space="preserve">agree with the proposed Measure M8?  If not, please explain why not and if possible, provide an alternative that would be acceptable to you.  </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Style w:val="BoxText"/>
          <w:rFonts w:ascii="Verdana" w:hAnsi="Verdana"/>
        </w:rPr>
        <w:t>Yes</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Fonts w:ascii="Verdana" w:hAnsi="Verdana"/>
          <w:sz w:val="20"/>
        </w:rPr>
        <w:t>No</w:t>
      </w:r>
    </w:p>
    <w:p w:rsidR="00062510" w:rsidRDefault="00062510" w:rsidP="00062510">
      <w:pPr>
        <w:ind w:left="360"/>
        <w:rPr>
          <w:rStyle w:val="BoxText"/>
          <w:rFonts w:ascii="Verdana" w:hAnsi="Verdana"/>
        </w:rPr>
      </w:pPr>
      <w:r w:rsidRPr="0038592D">
        <w:rPr>
          <w:rStyle w:val="BoxText"/>
          <w:rFonts w:ascii="Verdana" w:hAnsi="Verdana"/>
        </w:rPr>
        <w:t xml:space="preserve">Comments: </w:t>
      </w:r>
      <w:r w:rsidR="00607316"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07316" w:rsidRPr="0038592D">
        <w:rPr>
          <w:rStyle w:val="BoxText"/>
          <w:rFonts w:ascii="Verdana" w:hAnsi="Verdana"/>
        </w:rPr>
      </w:r>
      <w:r w:rsidR="00607316"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07316" w:rsidRPr="0038592D">
        <w:rPr>
          <w:rStyle w:val="BoxText"/>
          <w:rFonts w:ascii="Verdana" w:hAnsi="Verdana"/>
        </w:rPr>
        <w:fldChar w:fldCharType="end"/>
      </w:r>
    </w:p>
    <w:p w:rsidR="00062510" w:rsidRPr="00471F29" w:rsidRDefault="00062510" w:rsidP="00062510">
      <w:pPr>
        <w:ind w:left="360"/>
        <w:rPr>
          <w:rStyle w:val="BoxText"/>
          <w:rFonts w:ascii="Verdana" w:hAnsi="Verdana"/>
        </w:rPr>
      </w:pPr>
    </w:p>
    <w:p w:rsidR="00062510" w:rsidRPr="00B65C08" w:rsidRDefault="00062510" w:rsidP="00062510">
      <w:pPr>
        <w:pStyle w:val="ListBullet2"/>
        <w:numPr>
          <w:ilvl w:val="0"/>
          <w:numId w:val="35"/>
        </w:numPr>
        <w:spacing w:after="120"/>
        <w:contextualSpacing w:val="0"/>
        <w:rPr>
          <w:rFonts w:ascii="Verdana" w:hAnsi="Verdana"/>
          <w:sz w:val="20"/>
        </w:rPr>
      </w:pPr>
      <w:r w:rsidRPr="0038592D">
        <w:rPr>
          <w:rFonts w:ascii="Verdana" w:hAnsi="Verdana"/>
          <w:sz w:val="20"/>
        </w:rPr>
        <w:t xml:space="preserve">Do you </w:t>
      </w:r>
      <w:r>
        <w:rPr>
          <w:rFonts w:ascii="Verdana" w:hAnsi="Verdana"/>
          <w:sz w:val="20"/>
        </w:rPr>
        <w:t xml:space="preserve">agree with the proposed Implementation Plan for FAC-008-3, Facility Ratings?  If not, please explain why not and if possible, provide an alternative that would be acceptable to you.  </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Style w:val="BoxText"/>
          <w:rFonts w:ascii="Verdana" w:hAnsi="Verdana"/>
        </w:rPr>
        <w:t>Yes</w:t>
      </w:r>
    </w:p>
    <w:p w:rsidR="00062510" w:rsidRPr="0038592D" w:rsidRDefault="00607316" w:rsidP="00062510">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062510"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062510" w:rsidRPr="0038592D">
        <w:rPr>
          <w:rStyle w:val="BoxText"/>
          <w:rFonts w:ascii="Verdana" w:hAnsi="Verdana"/>
        </w:rPr>
        <w:t xml:space="preserve"> </w:t>
      </w:r>
      <w:r w:rsidR="00062510">
        <w:rPr>
          <w:rFonts w:ascii="Verdana" w:hAnsi="Verdana"/>
          <w:sz w:val="20"/>
        </w:rPr>
        <w:t>No</w:t>
      </w:r>
    </w:p>
    <w:p w:rsidR="00062510" w:rsidRDefault="00062510" w:rsidP="00062510">
      <w:pPr>
        <w:ind w:left="360"/>
        <w:rPr>
          <w:rStyle w:val="BoxText"/>
          <w:rFonts w:ascii="Verdana" w:hAnsi="Verdana"/>
        </w:rPr>
      </w:pPr>
      <w:r w:rsidRPr="0038592D">
        <w:rPr>
          <w:rStyle w:val="BoxText"/>
          <w:rFonts w:ascii="Verdana" w:hAnsi="Verdana"/>
        </w:rPr>
        <w:t xml:space="preserve">Comments: </w:t>
      </w:r>
      <w:r w:rsidR="00607316"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07316" w:rsidRPr="0038592D">
        <w:rPr>
          <w:rStyle w:val="BoxText"/>
          <w:rFonts w:ascii="Verdana" w:hAnsi="Verdana"/>
        </w:rPr>
      </w:r>
      <w:r w:rsidR="00607316"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07316" w:rsidRPr="0038592D">
        <w:rPr>
          <w:rStyle w:val="BoxText"/>
          <w:rFonts w:ascii="Verdana" w:hAnsi="Verdana"/>
        </w:rPr>
        <w:fldChar w:fldCharType="end"/>
      </w:r>
    </w:p>
    <w:p w:rsidR="00062510" w:rsidRDefault="00062510" w:rsidP="00062510">
      <w:pPr>
        <w:ind w:left="360"/>
        <w:rPr>
          <w:rStyle w:val="BoxText"/>
          <w:rFonts w:ascii="Verdana" w:hAnsi="Verdana"/>
        </w:rPr>
      </w:pPr>
    </w:p>
    <w:p w:rsidR="00062510" w:rsidRPr="00471F29" w:rsidRDefault="00062510" w:rsidP="00062510">
      <w:pPr>
        <w:pStyle w:val="ListBullet"/>
        <w:numPr>
          <w:ilvl w:val="0"/>
          <w:numId w:val="35"/>
        </w:numPr>
        <w:spacing w:after="120"/>
        <w:rPr>
          <w:rStyle w:val="BoxText"/>
          <w:rFonts w:ascii="Verdana" w:hAnsi="Verdana"/>
        </w:rPr>
      </w:pPr>
      <w:r>
        <w:rPr>
          <w:rFonts w:ascii="Verdana" w:hAnsi="Verdana"/>
          <w:sz w:val="20"/>
        </w:rPr>
        <w:t>If</w:t>
      </w:r>
      <w:r w:rsidRPr="00471F29">
        <w:rPr>
          <w:rFonts w:ascii="Verdana" w:hAnsi="Verdana"/>
          <w:sz w:val="20"/>
        </w:rPr>
        <w:t xml:space="preserve"> you have any other comment</w:t>
      </w:r>
      <w:r>
        <w:rPr>
          <w:rFonts w:ascii="Verdana" w:hAnsi="Verdana"/>
          <w:sz w:val="20"/>
        </w:rPr>
        <w:t>s related to the FERC directive (paragraphs 756 and 771) and this Supplemental SAR that you have not already provided in response to the questions above, please provide them here.</w:t>
      </w:r>
      <w:r w:rsidRPr="00471F29">
        <w:rPr>
          <w:rFonts w:ascii="Verdana" w:hAnsi="Verdana"/>
          <w:sz w:val="20"/>
        </w:rPr>
        <w:t xml:space="preserve"> </w:t>
      </w:r>
    </w:p>
    <w:p w:rsidR="00062510" w:rsidRPr="00182CEE" w:rsidRDefault="00062510" w:rsidP="00062510">
      <w:pPr>
        <w:ind w:left="360"/>
        <w:rPr>
          <w:rFonts w:ascii="Verdana" w:hAnsi="Verdana"/>
          <w:sz w:val="20"/>
        </w:rPr>
      </w:pPr>
      <w:r w:rsidRPr="00182CEE">
        <w:rPr>
          <w:rStyle w:val="BoxText"/>
          <w:rFonts w:ascii="Verdana" w:hAnsi="Verdana"/>
        </w:rPr>
        <w:t xml:space="preserve">Comments: </w:t>
      </w:r>
      <w:r w:rsidR="00607316"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607316" w:rsidRPr="00182CEE">
        <w:rPr>
          <w:rStyle w:val="BoxText"/>
          <w:rFonts w:ascii="Verdana" w:hAnsi="Verdana"/>
        </w:rPr>
      </w:r>
      <w:r w:rsidR="00607316" w:rsidRPr="00182CEE">
        <w:rPr>
          <w:rStyle w:val="BoxText"/>
          <w:rFonts w:ascii="Verdana" w:hAnsi="Verdana"/>
        </w:rPr>
        <w:fldChar w:fldCharType="separate"/>
      </w:r>
      <w:r w:rsidRPr="00182CEE">
        <w:rPr>
          <w:rStyle w:val="BoxText"/>
          <w:rFonts w:ascii="Verdana"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Pr="00182CEE">
        <w:rPr>
          <w:rStyle w:val="BoxText"/>
          <w:rFonts w:ascii="Verdana" w:eastAsia="Arial Unicode MS" w:hAnsi="Verdana" w:cs="Arial Unicode MS"/>
          <w:noProof/>
        </w:rPr>
        <w:t> </w:t>
      </w:r>
      <w:r w:rsidR="00607316" w:rsidRPr="00182CEE">
        <w:rPr>
          <w:rStyle w:val="BoxText"/>
          <w:rFonts w:ascii="Verdana" w:hAnsi="Verdana"/>
        </w:rPr>
        <w:fldChar w:fldCharType="end"/>
      </w:r>
    </w:p>
    <w:p w:rsidR="00062510" w:rsidRPr="0038592D" w:rsidRDefault="00062510" w:rsidP="00062510">
      <w:pPr>
        <w:ind w:left="360"/>
        <w:rPr>
          <w:rStyle w:val="BoxText"/>
          <w:rFonts w:ascii="Verdana" w:hAnsi="Verdana"/>
        </w:rPr>
      </w:pPr>
    </w:p>
    <w:p w:rsidR="00062510" w:rsidRPr="0038592D" w:rsidRDefault="00062510" w:rsidP="00062510">
      <w:pPr>
        <w:rPr>
          <w:rStyle w:val="BoxText"/>
          <w:rFonts w:ascii="Verdana" w:hAnsi="Verdana"/>
        </w:rPr>
      </w:pPr>
    </w:p>
    <w:p w:rsidR="00BC0CBA" w:rsidRDefault="00BC0CBA" w:rsidP="00BC0CBA">
      <w:pPr>
        <w:rPr>
          <w:rFonts w:ascii="Verdana" w:hAnsi="Verdana"/>
          <w:b/>
          <w:sz w:val="22"/>
          <w:szCs w:val="22"/>
        </w:rPr>
      </w:pPr>
    </w:p>
    <w:sectPr w:rsidR="00BC0CBA" w:rsidSect="0092040E">
      <w:headerReference w:type="default" r:id="rId10"/>
      <w:footerReference w:type="default" r:id="rId11"/>
      <w:pgSz w:w="12240" w:h="15840"/>
      <w:pgMar w:top="1440" w:right="180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C5" w:rsidRDefault="003D5BC5">
      <w:r>
        <w:separator/>
      </w:r>
    </w:p>
  </w:endnote>
  <w:endnote w:type="continuationSeparator" w:id="0">
    <w:p w:rsidR="003D5BC5" w:rsidRDefault="003D5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BC5" w:rsidRPr="00AE3BBA" w:rsidRDefault="003D5BC5" w:rsidP="00BD118F">
    <w:pPr>
      <w:pStyle w:val="Footer"/>
      <w:jc w:val="right"/>
      <w:rPr>
        <w:rFonts w:ascii="Verdana" w:hAnsi="Verdana"/>
        <w:sz w:val="20"/>
        <w:szCs w:val="20"/>
      </w:rPr>
    </w:pPr>
    <w:r w:rsidRPr="00AE3BBA">
      <w:rPr>
        <w:rStyle w:val="PageNumber"/>
        <w:rFonts w:ascii="Verdana" w:hAnsi="Verdana"/>
        <w:sz w:val="20"/>
        <w:szCs w:val="20"/>
      </w:rPr>
      <w:fldChar w:fldCharType="begin"/>
    </w:r>
    <w:r w:rsidRPr="00AE3BBA">
      <w:rPr>
        <w:rStyle w:val="PageNumber"/>
        <w:rFonts w:ascii="Verdana" w:hAnsi="Verdana"/>
        <w:sz w:val="20"/>
        <w:szCs w:val="20"/>
      </w:rPr>
      <w:instrText xml:space="preserve"> PAGE </w:instrText>
    </w:r>
    <w:r w:rsidRPr="00AE3BBA">
      <w:rPr>
        <w:rStyle w:val="PageNumber"/>
        <w:rFonts w:ascii="Verdana" w:hAnsi="Verdana"/>
        <w:sz w:val="20"/>
        <w:szCs w:val="20"/>
      </w:rPr>
      <w:fldChar w:fldCharType="separate"/>
    </w:r>
    <w:r w:rsidR="00070FFC">
      <w:rPr>
        <w:rStyle w:val="PageNumber"/>
        <w:rFonts w:ascii="Verdana" w:hAnsi="Verdana"/>
        <w:noProof/>
        <w:sz w:val="20"/>
        <w:szCs w:val="20"/>
      </w:rPr>
      <w:t>1</w:t>
    </w:r>
    <w:r w:rsidRPr="00AE3BBA">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C5" w:rsidRDefault="003D5BC5">
      <w:r>
        <w:separator/>
      </w:r>
    </w:p>
  </w:footnote>
  <w:footnote w:type="continuationSeparator" w:id="0">
    <w:p w:rsidR="003D5BC5" w:rsidRDefault="003D5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BC5" w:rsidRPr="00012FDD" w:rsidRDefault="003D5BC5" w:rsidP="0092040E">
    <w:pPr>
      <w:pStyle w:val="Header"/>
      <w:rPr>
        <w:rFonts w:ascii="Arial" w:hAnsi="Arial" w:cs="Arial"/>
        <w:b/>
        <w:szCs w:val="18"/>
      </w:rPr>
    </w:pPr>
    <w:r>
      <w:rPr>
        <w:noProof/>
        <w:szCs w:val="18"/>
      </w:rPr>
      <w:drawing>
        <wp:anchor distT="0" distB="0" distL="114300" distR="114300" simplePos="0" relativeHeight="251658240" behindDoc="1" locked="0" layoutInCell="1" allowOverlap="1">
          <wp:simplePos x="0" y="0"/>
          <wp:positionH relativeFrom="column">
            <wp:posOffset>-844846</wp:posOffset>
          </wp:positionH>
          <wp:positionV relativeFrom="paragraph">
            <wp:posOffset>-457200</wp:posOffset>
          </wp:positionV>
          <wp:extent cx="7820158" cy="1254642"/>
          <wp:effectExtent l="19050" t="0" r="9392" b="0"/>
          <wp:wrapNone/>
          <wp:docPr id="2" name="Picture 1" descr="slick-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k-header2"/>
                  <pic:cNvPicPr>
                    <a:picLocks noChangeAspect="1" noChangeArrowheads="1"/>
                  </pic:cNvPicPr>
                </pic:nvPicPr>
                <pic:blipFill>
                  <a:blip r:embed="rId1"/>
                  <a:srcRect b="71220"/>
                  <a:stretch>
                    <a:fillRect/>
                  </a:stretch>
                </pic:blipFill>
                <pic:spPr bwMode="auto">
                  <a:xfrm>
                    <a:off x="0" y="0"/>
                    <a:ext cx="7820158" cy="1254642"/>
                  </a:xfrm>
                  <a:prstGeom prst="rect">
                    <a:avLst/>
                  </a:prstGeom>
                  <a:noFill/>
                  <a:ln w="9525">
                    <a:noFill/>
                    <a:miter lim="800000"/>
                    <a:headEnd/>
                    <a:tailEnd/>
                  </a:ln>
                </pic:spPr>
              </pic:pic>
            </a:graphicData>
          </a:graphic>
        </wp:anchor>
      </w:drawing>
    </w:r>
    <w:r>
      <w:rPr>
        <w:szCs w:val="18"/>
      </w:rPr>
      <w:tab/>
      <w:t xml:space="preserve">                    </w:t>
    </w:r>
    <w:r w:rsidRPr="00012FDD">
      <w:rPr>
        <w:rFonts w:ascii="Arial" w:hAnsi="Arial" w:cs="Arial"/>
        <w:b/>
        <w:szCs w:val="18"/>
      </w:rPr>
      <w:t>Unofficial Comment Form for Facility Ratings (2009-06)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660F8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2">
    <w:nsid w:val="0ED52D09"/>
    <w:multiLevelType w:val="hybridMultilevel"/>
    <w:tmpl w:val="CD3E3E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9A168B"/>
    <w:multiLevelType w:val="multilevel"/>
    <w:tmpl w:val="7A102B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712A15"/>
    <w:multiLevelType w:val="hybridMultilevel"/>
    <w:tmpl w:val="27A6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D18C2"/>
    <w:multiLevelType w:val="singleLevel"/>
    <w:tmpl w:val="427E6382"/>
    <w:lvl w:ilvl="0">
      <w:start w:val="1"/>
      <w:numFmt w:val="decimal"/>
      <w:pStyle w:val="NumberedSteps"/>
      <w:lvlText w:val="%1."/>
      <w:lvlJc w:val="left"/>
      <w:pPr>
        <w:tabs>
          <w:tab w:val="num" w:pos="360"/>
        </w:tabs>
        <w:ind w:left="360" w:hanging="360"/>
      </w:pPr>
      <w:rPr>
        <w:b/>
        <w:sz w:val="22"/>
        <w:szCs w:val="22"/>
      </w:rPr>
    </w:lvl>
  </w:abstractNum>
  <w:abstractNum w:abstractNumId="6">
    <w:nsid w:val="2361079C"/>
    <w:multiLevelType w:val="hybridMultilevel"/>
    <w:tmpl w:val="1D68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442D0C"/>
    <w:multiLevelType w:val="hybridMultilevel"/>
    <w:tmpl w:val="6FDE323E"/>
    <w:lvl w:ilvl="0" w:tplc="B8CE6D72">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nsid w:val="36A34849"/>
    <w:multiLevelType w:val="multilevel"/>
    <w:tmpl w:val="F9B8C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C26C20"/>
    <w:multiLevelType w:val="multilevel"/>
    <w:tmpl w:val="20D862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0566B48"/>
    <w:multiLevelType w:val="multilevel"/>
    <w:tmpl w:val="1E2A7E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8104B0"/>
    <w:multiLevelType w:val="hybridMultilevel"/>
    <w:tmpl w:val="1E2A7E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B180F03"/>
    <w:multiLevelType w:val="hybridMultilevel"/>
    <w:tmpl w:val="20D86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0927D8"/>
    <w:multiLevelType w:val="hybridMultilevel"/>
    <w:tmpl w:val="86447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0C131F"/>
    <w:multiLevelType w:val="multilevel"/>
    <w:tmpl w:val="CD3E3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33A68F1"/>
    <w:multiLevelType w:val="hybridMultilevel"/>
    <w:tmpl w:val="F73A07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4E30CA"/>
    <w:multiLevelType w:val="multilevel"/>
    <w:tmpl w:val="D2882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BD4EAD"/>
    <w:multiLevelType w:val="multilevel"/>
    <w:tmpl w:val="F73A0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5C261B0"/>
    <w:multiLevelType w:val="hybridMultilevel"/>
    <w:tmpl w:val="D2882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990C0A"/>
    <w:multiLevelType w:val="hybridMultilevel"/>
    <w:tmpl w:val="F9B8C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3F4B0A"/>
    <w:multiLevelType w:val="singleLevel"/>
    <w:tmpl w:val="F8EE488E"/>
    <w:lvl w:ilvl="0">
      <w:start w:val="1"/>
      <w:numFmt w:val="decimal"/>
      <w:lvlText w:val="%1."/>
      <w:lvlJc w:val="left"/>
      <w:pPr>
        <w:tabs>
          <w:tab w:val="num" w:pos="360"/>
        </w:tabs>
        <w:ind w:left="360" w:hanging="360"/>
      </w:pPr>
      <w:rPr>
        <w:b/>
      </w:rPr>
    </w:lvl>
  </w:abstractNum>
  <w:abstractNum w:abstractNumId="23">
    <w:nsid w:val="7F8E4B2C"/>
    <w:multiLevelType w:val="multilevel"/>
    <w:tmpl w:val="6FDE32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20"/>
  </w:num>
  <w:num w:numId="4">
    <w:abstractNumId w:val="3"/>
  </w:num>
  <w:num w:numId="5">
    <w:abstractNumId w:val="2"/>
  </w:num>
  <w:num w:numId="6">
    <w:abstractNumId w:val="16"/>
  </w:num>
  <w:num w:numId="7">
    <w:abstractNumId w:val="13"/>
  </w:num>
  <w:num w:numId="8">
    <w:abstractNumId w:val="12"/>
  </w:num>
  <w:num w:numId="9">
    <w:abstractNumId w:val="21"/>
  </w:num>
  <w:num w:numId="10">
    <w:abstractNumId w:val="10"/>
  </w:num>
  <w:num w:numId="11">
    <w:abstractNumId w:val="14"/>
  </w:num>
  <w:num w:numId="12">
    <w:abstractNumId w:val="11"/>
  </w:num>
  <w:num w:numId="13">
    <w:abstractNumId w:val="15"/>
  </w:num>
  <w:num w:numId="14">
    <w:abstractNumId w:val="9"/>
  </w:num>
  <w:num w:numId="15">
    <w:abstractNumId w:val="18"/>
  </w:num>
  <w:num w:numId="16">
    <w:abstractNumId w:val="19"/>
  </w:num>
  <w:num w:numId="17">
    <w:abstractNumId w:val="5"/>
    <w:lvlOverride w:ilvl="0">
      <w:startOverride w:val="1"/>
    </w:lvlOverride>
  </w:num>
  <w:num w:numId="18">
    <w:abstractNumId w:val="5"/>
    <w:lvlOverride w:ilvl="0">
      <w:startOverride w:val="1"/>
    </w:lvlOverride>
  </w:num>
  <w:num w:numId="19">
    <w:abstractNumId w:val="7"/>
  </w:num>
  <w:num w:numId="20">
    <w:abstractNumId w:val="22"/>
  </w:num>
  <w:num w:numId="21">
    <w:abstractNumId w:val="5"/>
  </w:num>
  <w:num w:numId="22">
    <w:abstractNumId w:val="1"/>
  </w:num>
  <w:num w:numId="23">
    <w:abstractNumId w:val="5"/>
  </w:num>
  <w:num w:numId="24">
    <w:abstractNumId w:val="23"/>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0"/>
  </w:num>
  <w:num w:numId="35">
    <w:abstractNumId w:val="8"/>
  </w:num>
  <w:num w:numId="36">
    <w:abstractNumId w:val="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15E8D"/>
    <w:rsid w:val="00012FDD"/>
    <w:rsid w:val="000369E0"/>
    <w:rsid w:val="00050960"/>
    <w:rsid w:val="00062510"/>
    <w:rsid w:val="00070FFC"/>
    <w:rsid w:val="000711A0"/>
    <w:rsid w:val="00083AF6"/>
    <w:rsid w:val="000A132C"/>
    <w:rsid w:val="000C02FA"/>
    <w:rsid w:val="000C64AC"/>
    <w:rsid w:val="000F202D"/>
    <w:rsid w:val="0011640C"/>
    <w:rsid w:val="0012155C"/>
    <w:rsid w:val="0012554C"/>
    <w:rsid w:val="0015055E"/>
    <w:rsid w:val="001505AB"/>
    <w:rsid w:val="00195AFB"/>
    <w:rsid w:val="001A1583"/>
    <w:rsid w:val="001B38F1"/>
    <w:rsid w:val="001B4099"/>
    <w:rsid w:val="001B6416"/>
    <w:rsid w:val="001C240E"/>
    <w:rsid w:val="001E14BE"/>
    <w:rsid w:val="002148CC"/>
    <w:rsid w:val="00240F98"/>
    <w:rsid w:val="00253146"/>
    <w:rsid w:val="00253B10"/>
    <w:rsid w:val="0025527E"/>
    <w:rsid w:val="00295073"/>
    <w:rsid w:val="002B79B6"/>
    <w:rsid w:val="002E13A1"/>
    <w:rsid w:val="002F46E2"/>
    <w:rsid w:val="00306F38"/>
    <w:rsid w:val="00321AAF"/>
    <w:rsid w:val="00327423"/>
    <w:rsid w:val="00330BAD"/>
    <w:rsid w:val="00351FF9"/>
    <w:rsid w:val="00352416"/>
    <w:rsid w:val="00390902"/>
    <w:rsid w:val="003D24C1"/>
    <w:rsid w:val="003D5BC5"/>
    <w:rsid w:val="003E624E"/>
    <w:rsid w:val="00402C10"/>
    <w:rsid w:val="004155DE"/>
    <w:rsid w:val="00435E77"/>
    <w:rsid w:val="00450462"/>
    <w:rsid w:val="00454F82"/>
    <w:rsid w:val="0045545C"/>
    <w:rsid w:val="00472E8D"/>
    <w:rsid w:val="00481622"/>
    <w:rsid w:val="004A679F"/>
    <w:rsid w:val="004D20A9"/>
    <w:rsid w:val="00502624"/>
    <w:rsid w:val="00511319"/>
    <w:rsid w:val="00521345"/>
    <w:rsid w:val="00523763"/>
    <w:rsid w:val="005375AF"/>
    <w:rsid w:val="00555F3F"/>
    <w:rsid w:val="005624B7"/>
    <w:rsid w:val="00567296"/>
    <w:rsid w:val="00591A6F"/>
    <w:rsid w:val="005B1E45"/>
    <w:rsid w:val="005B35FA"/>
    <w:rsid w:val="006043CB"/>
    <w:rsid w:val="00607316"/>
    <w:rsid w:val="00633354"/>
    <w:rsid w:val="006C3F94"/>
    <w:rsid w:val="006D03A9"/>
    <w:rsid w:val="006D2995"/>
    <w:rsid w:val="006F3C07"/>
    <w:rsid w:val="007534C5"/>
    <w:rsid w:val="00757A51"/>
    <w:rsid w:val="007644AE"/>
    <w:rsid w:val="00767814"/>
    <w:rsid w:val="007716F8"/>
    <w:rsid w:val="00775FA5"/>
    <w:rsid w:val="007879C1"/>
    <w:rsid w:val="007B4572"/>
    <w:rsid w:val="007C0E75"/>
    <w:rsid w:val="007C28A2"/>
    <w:rsid w:val="007E4ED4"/>
    <w:rsid w:val="00816982"/>
    <w:rsid w:val="0082594D"/>
    <w:rsid w:val="00831AEC"/>
    <w:rsid w:val="008433B5"/>
    <w:rsid w:val="0088457C"/>
    <w:rsid w:val="00890426"/>
    <w:rsid w:val="008A3E43"/>
    <w:rsid w:val="008A4966"/>
    <w:rsid w:val="008D63A9"/>
    <w:rsid w:val="008E3429"/>
    <w:rsid w:val="0092040E"/>
    <w:rsid w:val="00985712"/>
    <w:rsid w:val="009D5369"/>
    <w:rsid w:val="009D6CAC"/>
    <w:rsid w:val="00A15E8D"/>
    <w:rsid w:val="00A35591"/>
    <w:rsid w:val="00A615F9"/>
    <w:rsid w:val="00AB1ABB"/>
    <w:rsid w:val="00AC2F98"/>
    <w:rsid w:val="00AD725E"/>
    <w:rsid w:val="00B86DB5"/>
    <w:rsid w:val="00BB6697"/>
    <w:rsid w:val="00BC0CBA"/>
    <w:rsid w:val="00BC0F91"/>
    <w:rsid w:val="00BD118F"/>
    <w:rsid w:val="00BE445B"/>
    <w:rsid w:val="00BE77FF"/>
    <w:rsid w:val="00BF778C"/>
    <w:rsid w:val="00C126BD"/>
    <w:rsid w:val="00C155D5"/>
    <w:rsid w:val="00C2187E"/>
    <w:rsid w:val="00C4022C"/>
    <w:rsid w:val="00C4533C"/>
    <w:rsid w:val="00C47911"/>
    <w:rsid w:val="00C5450B"/>
    <w:rsid w:val="00C75C3D"/>
    <w:rsid w:val="00C93E7F"/>
    <w:rsid w:val="00CA042B"/>
    <w:rsid w:val="00CB0E25"/>
    <w:rsid w:val="00D154D0"/>
    <w:rsid w:val="00DC77AD"/>
    <w:rsid w:val="00E14F02"/>
    <w:rsid w:val="00E160F7"/>
    <w:rsid w:val="00E47D0D"/>
    <w:rsid w:val="00E60725"/>
    <w:rsid w:val="00E614D2"/>
    <w:rsid w:val="00E623C8"/>
    <w:rsid w:val="00E6490A"/>
    <w:rsid w:val="00E77386"/>
    <w:rsid w:val="00EA340A"/>
    <w:rsid w:val="00EB1B88"/>
    <w:rsid w:val="00F15251"/>
    <w:rsid w:val="00F25EDC"/>
    <w:rsid w:val="00F33731"/>
    <w:rsid w:val="00F52189"/>
    <w:rsid w:val="00F57618"/>
    <w:rsid w:val="00F6468B"/>
    <w:rsid w:val="00F93B09"/>
    <w:rsid w:val="00F93E1B"/>
    <w:rsid w:val="00FB1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CBA"/>
    <w:pPr>
      <w:spacing w:after="240"/>
    </w:pPr>
    <w:rPr>
      <w:sz w:val="24"/>
      <w:szCs w:val="24"/>
    </w:rPr>
  </w:style>
  <w:style w:type="paragraph" w:styleId="Heading3">
    <w:name w:val="heading 3"/>
    <w:basedOn w:val="Normal"/>
    <w:next w:val="Normal"/>
    <w:qFormat/>
    <w:rsid w:val="00BC0CBA"/>
    <w:pPr>
      <w:spacing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0CBA"/>
    <w:rPr>
      <w:color w:val="0000FF"/>
      <w:u w:val="single"/>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ootnote Text Char"/>
    <w:basedOn w:val="Normal"/>
    <w:semiHidden/>
    <w:rsid w:val="00BC0CBA"/>
    <w:pPr>
      <w:spacing w:after="120"/>
    </w:pPr>
    <w:rPr>
      <w:noProof/>
      <w:sz w:val="20"/>
      <w:szCs w:val="20"/>
    </w:rPr>
  </w:style>
  <w:style w:type="character" w:styleId="FootnoteReference">
    <w:name w:val="footnote reference"/>
    <w:basedOn w:val="DefaultParagraphFont"/>
    <w:semiHidden/>
    <w:rsid w:val="00BC0CBA"/>
    <w:rPr>
      <w:vertAlign w:val="superscript"/>
    </w:rPr>
  </w:style>
  <w:style w:type="paragraph" w:styleId="Header">
    <w:name w:val="header"/>
    <w:basedOn w:val="Normal"/>
    <w:rsid w:val="00BC0CBA"/>
    <w:pPr>
      <w:tabs>
        <w:tab w:val="center" w:pos="4320"/>
        <w:tab w:val="right" w:pos="8640"/>
      </w:tabs>
    </w:pPr>
  </w:style>
  <w:style w:type="paragraph" w:styleId="Footer">
    <w:name w:val="footer"/>
    <w:basedOn w:val="Normal"/>
    <w:rsid w:val="00BC0CBA"/>
    <w:pPr>
      <w:tabs>
        <w:tab w:val="center" w:pos="4320"/>
        <w:tab w:val="right" w:pos="8640"/>
      </w:tabs>
    </w:pPr>
  </w:style>
  <w:style w:type="character" w:styleId="PageNumber">
    <w:name w:val="page number"/>
    <w:basedOn w:val="DefaultParagraphFont"/>
    <w:rsid w:val="00BC0CBA"/>
  </w:style>
  <w:style w:type="paragraph" w:styleId="TOC1">
    <w:name w:val="toc 1"/>
    <w:basedOn w:val="Normal"/>
    <w:next w:val="Normal"/>
    <w:autoRedefine/>
    <w:uiPriority w:val="39"/>
    <w:rsid w:val="00BC0CBA"/>
    <w:pPr>
      <w:tabs>
        <w:tab w:val="left" w:pos="480"/>
        <w:tab w:val="right" w:leader="dot" w:pos="9360"/>
      </w:tabs>
      <w:spacing w:after="0"/>
      <w:ind w:left="480" w:hanging="480"/>
    </w:pPr>
    <w:rPr>
      <w:rFonts w:ascii="Verdana" w:hAnsi="Verdana"/>
      <w:sz w:val="20"/>
    </w:rPr>
  </w:style>
  <w:style w:type="paragraph" w:customStyle="1" w:styleId="NumberedSteps">
    <w:name w:val="Numbered Steps"/>
    <w:basedOn w:val="Normal"/>
    <w:rsid w:val="002F46E2"/>
    <w:pPr>
      <w:numPr>
        <w:numId w:val="1"/>
      </w:numPr>
      <w:spacing w:after="0"/>
    </w:pPr>
    <w:rPr>
      <w:rFonts w:ascii="Verdana" w:hAnsi="Verdana"/>
      <w:noProof/>
      <w:sz w:val="18"/>
      <w:szCs w:val="20"/>
    </w:rPr>
  </w:style>
  <w:style w:type="character" w:customStyle="1" w:styleId="BoxText">
    <w:name w:val="Box Text"/>
    <w:basedOn w:val="DefaultParagraphFont"/>
    <w:rsid w:val="002F46E2"/>
    <w:rPr>
      <w:rFonts w:ascii="Arial" w:hAnsi="Arial"/>
      <w:sz w:val="20"/>
    </w:rPr>
  </w:style>
  <w:style w:type="paragraph" w:customStyle="1" w:styleId="Bullet">
    <w:name w:val="Bullet"/>
    <w:basedOn w:val="Normal"/>
    <w:rsid w:val="00BB6697"/>
    <w:pPr>
      <w:numPr>
        <w:numId w:val="14"/>
      </w:numPr>
      <w:spacing w:before="120" w:after="0"/>
      <w:ind w:left="1080"/>
    </w:pPr>
    <w:rPr>
      <w:sz w:val="22"/>
      <w:szCs w:val="20"/>
    </w:rPr>
  </w:style>
  <w:style w:type="table" w:styleId="TableGrid">
    <w:name w:val="Table Grid"/>
    <w:basedOn w:val="TableNormal"/>
    <w:rsid w:val="00E6072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ponsedetailsmatrixheader1">
    <w:name w:val="responsedetailsmatrixheader1"/>
    <w:basedOn w:val="DefaultParagraphFont"/>
    <w:rsid w:val="00E60725"/>
    <w:rPr>
      <w:rFonts w:ascii="Arial" w:hAnsi="Arial" w:cs="Arial" w:hint="default"/>
      <w:b/>
      <w:bCs/>
      <w:sz w:val="17"/>
      <w:szCs w:val="17"/>
    </w:rPr>
  </w:style>
  <w:style w:type="character" w:customStyle="1" w:styleId="responsedetailsanswer1">
    <w:name w:val="responsedetailsanswer1"/>
    <w:basedOn w:val="DefaultParagraphFont"/>
    <w:rsid w:val="00F15251"/>
    <w:rPr>
      <w:rFonts w:ascii="Arial" w:hAnsi="Arial" w:cs="Arial" w:hint="default"/>
      <w:sz w:val="19"/>
      <w:szCs w:val="19"/>
    </w:rPr>
  </w:style>
  <w:style w:type="character" w:customStyle="1" w:styleId="style411">
    <w:name w:val="style411"/>
    <w:basedOn w:val="DefaultParagraphFont"/>
    <w:rsid w:val="000369E0"/>
    <w:rPr>
      <w:rFonts w:ascii="Verdana" w:hAnsi="Verdana" w:hint="default"/>
      <w:color w:val="CC0000"/>
      <w:sz w:val="24"/>
      <w:szCs w:val="24"/>
    </w:rPr>
  </w:style>
  <w:style w:type="character" w:customStyle="1" w:styleId="RequirementChar">
    <w:name w:val="Requirement Char"/>
    <w:basedOn w:val="DefaultParagraphFont"/>
    <w:link w:val="Requirement"/>
    <w:locked/>
    <w:rsid w:val="00F93B09"/>
    <w:rPr>
      <w:sz w:val="22"/>
      <w:szCs w:val="24"/>
      <w:lang w:val="en-US" w:eastAsia="en-US" w:bidi="ar-SA"/>
    </w:rPr>
  </w:style>
  <w:style w:type="paragraph" w:customStyle="1" w:styleId="Requirement">
    <w:name w:val="Requirement"/>
    <w:basedOn w:val="List2"/>
    <w:link w:val="RequirementChar"/>
    <w:rsid w:val="00F93B09"/>
    <w:pPr>
      <w:tabs>
        <w:tab w:val="left" w:pos="2592"/>
        <w:tab w:val="left" w:pos="3240"/>
      </w:tabs>
      <w:spacing w:after="120"/>
      <w:ind w:left="0" w:firstLine="0"/>
    </w:pPr>
    <w:rPr>
      <w:sz w:val="22"/>
    </w:rPr>
  </w:style>
  <w:style w:type="paragraph" w:styleId="List2">
    <w:name w:val="List 2"/>
    <w:basedOn w:val="Normal"/>
    <w:rsid w:val="00F93B09"/>
    <w:pPr>
      <w:ind w:left="720" w:hanging="360"/>
    </w:pPr>
  </w:style>
  <w:style w:type="paragraph" w:styleId="ListBullet">
    <w:name w:val="List Bullet"/>
    <w:basedOn w:val="Normal"/>
    <w:rsid w:val="00F93B09"/>
    <w:pPr>
      <w:numPr>
        <w:numId w:val="22"/>
      </w:numPr>
      <w:spacing w:after="0"/>
    </w:pPr>
    <w:rPr>
      <w:sz w:val="22"/>
      <w:szCs w:val="20"/>
    </w:rPr>
  </w:style>
  <w:style w:type="paragraph" w:styleId="NormalWeb">
    <w:name w:val="Normal (Web)"/>
    <w:basedOn w:val="Normal"/>
    <w:uiPriority w:val="99"/>
    <w:rsid w:val="00F93B09"/>
    <w:pPr>
      <w:spacing w:before="100" w:beforeAutospacing="1" w:after="100" w:afterAutospacing="1"/>
    </w:pPr>
  </w:style>
  <w:style w:type="character" w:customStyle="1" w:styleId="responsedetailstext1">
    <w:name w:val="responsedetailstext1"/>
    <w:basedOn w:val="DefaultParagraphFont"/>
    <w:rsid w:val="0025527E"/>
    <w:rPr>
      <w:rFonts w:ascii="Arial" w:hAnsi="Arial" w:cs="Arial" w:hint="default"/>
      <w:b/>
      <w:bCs/>
      <w:sz w:val="20"/>
      <w:szCs w:val="20"/>
    </w:rPr>
  </w:style>
  <w:style w:type="character" w:customStyle="1" w:styleId="z-TopofFormChar">
    <w:name w:val="z-Top of Form Char"/>
    <w:basedOn w:val="DefaultParagraphFont"/>
    <w:link w:val="z-TopofForm"/>
    <w:uiPriority w:val="99"/>
    <w:rsid w:val="0092040E"/>
    <w:rPr>
      <w:rFonts w:ascii="Arial" w:hAnsi="Arial" w:cs="Arial"/>
      <w:vanish/>
      <w:sz w:val="16"/>
      <w:szCs w:val="16"/>
    </w:rPr>
  </w:style>
  <w:style w:type="paragraph" w:styleId="z-TopofForm">
    <w:name w:val="HTML Top of Form"/>
    <w:basedOn w:val="Normal"/>
    <w:next w:val="Normal"/>
    <w:link w:val="z-TopofFormChar"/>
    <w:hidden/>
    <w:uiPriority w:val="99"/>
    <w:unhideWhenUsed/>
    <w:rsid w:val="0092040E"/>
    <w:pPr>
      <w:pBdr>
        <w:bottom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2040E"/>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2040E"/>
    <w:pPr>
      <w:pBdr>
        <w:top w:val="single" w:sz="6" w:space="1" w:color="auto"/>
      </w:pBdr>
      <w:spacing w:after="0"/>
      <w:jc w:val="center"/>
    </w:pPr>
    <w:rPr>
      <w:rFonts w:ascii="Arial" w:hAnsi="Arial" w:cs="Arial"/>
      <w:vanish/>
      <w:sz w:val="16"/>
      <w:szCs w:val="16"/>
    </w:rPr>
  </w:style>
  <w:style w:type="paragraph" w:customStyle="1" w:styleId="Default">
    <w:name w:val="Default"/>
    <w:rsid w:val="00890426"/>
    <w:pPr>
      <w:autoSpaceDE w:val="0"/>
      <w:autoSpaceDN w:val="0"/>
      <w:adjustRightInd w:val="0"/>
    </w:pPr>
    <w:rPr>
      <w:rFonts w:ascii="Verdana" w:hAnsi="Verdana" w:cs="Verdana"/>
      <w:color w:val="000000"/>
      <w:sz w:val="24"/>
      <w:szCs w:val="24"/>
    </w:rPr>
  </w:style>
  <w:style w:type="paragraph" w:styleId="ListBullet2">
    <w:name w:val="List Bullet 2"/>
    <w:basedOn w:val="Normal"/>
    <w:rsid w:val="00633354"/>
    <w:pPr>
      <w:numPr>
        <w:numId w:val="34"/>
      </w:numPr>
      <w:contextualSpacing/>
    </w:pPr>
  </w:style>
  <w:style w:type="paragraph" w:styleId="BalloonText">
    <w:name w:val="Balloon Text"/>
    <w:basedOn w:val="Normal"/>
    <w:link w:val="BalloonTextChar"/>
    <w:rsid w:val="00633354"/>
    <w:pPr>
      <w:spacing w:after="0"/>
    </w:pPr>
    <w:rPr>
      <w:rFonts w:ascii="Tahoma" w:hAnsi="Tahoma" w:cs="Tahoma"/>
      <w:sz w:val="16"/>
      <w:szCs w:val="16"/>
    </w:rPr>
  </w:style>
  <w:style w:type="character" w:customStyle="1" w:styleId="BalloonTextChar">
    <w:name w:val="Balloon Text Char"/>
    <w:basedOn w:val="DefaultParagraphFont"/>
    <w:link w:val="BalloonText"/>
    <w:rsid w:val="00633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195">
      <w:bodyDiv w:val="1"/>
      <w:marLeft w:val="0"/>
      <w:marRight w:val="0"/>
      <w:marTop w:val="0"/>
      <w:marBottom w:val="0"/>
      <w:divBdr>
        <w:top w:val="none" w:sz="0" w:space="0" w:color="auto"/>
        <w:left w:val="none" w:sz="0" w:space="0" w:color="auto"/>
        <w:bottom w:val="none" w:sz="0" w:space="0" w:color="auto"/>
        <w:right w:val="none" w:sz="0" w:space="0" w:color="auto"/>
      </w:divBdr>
    </w:div>
    <w:div w:id="71394903">
      <w:bodyDiv w:val="1"/>
      <w:marLeft w:val="0"/>
      <w:marRight w:val="0"/>
      <w:marTop w:val="0"/>
      <w:marBottom w:val="0"/>
      <w:divBdr>
        <w:top w:val="none" w:sz="0" w:space="0" w:color="auto"/>
        <w:left w:val="none" w:sz="0" w:space="0" w:color="auto"/>
        <w:bottom w:val="none" w:sz="0" w:space="0" w:color="auto"/>
        <w:right w:val="none" w:sz="0" w:space="0" w:color="auto"/>
      </w:divBdr>
    </w:div>
    <w:div w:id="125895270">
      <w:bodyDiv w:val="1"/>
      <w:marLeft w:val="0"/>
      <w:marRight w:val="0"/>
      <w:marTop w:val="0"/>
      <w:marBottom w:val="0"/>
      <w:divBdr>
        <w:top w:val="none" w:sz="0" w:space="0" w:color="auto"/>
        <w:left w:val="none" w:sz="0" w:space="0" w:color="auto"/>
        <w:bottom w:val="none" w:sz="0" w:space="0" w:color="auto"/>
        <w:right w:val="none" w:sz="0" w:space="0" w:color="auto"/>
      </w:divBdr>
    </w:div>
    <w:div w:id="149254660">
      <w:bodyDiv w:val="1"/>
      <w:marLeft w:val="0"/>
      <w:marRight w:val="0"/>
      <w:marTop w:val="0"/>
      <w:marBottom w:val="0"/>
      <w:divBdr>
        <w:top w:val="none" w:sz="0" w:space="0" w:color="auto"/>
        <w:left w:val="none" w:sz="0" w:space="0" w:color="auto"/>
        <w:bottom w:val="none" w:sz="0" w:space="0" w:color="auto"/>
        <w:right w:val="none" w:sz="0" w:space="0" w:color="auto"/>
      </w:divBdr>
    </w:div>
    <w:div w:id="170222335">
      <w:bodyDiv w:val="1"/>
      <w:marLeft w:val="0"/>
      <w:marRight w:val="0"/>
      <w:marTop w:val="0"/>
      <w:marBottom w:val="0"/>
      <w:divBdr>
        <w:top w:val="none" w:sz="0" w:space="0" w:color="auto"/>
        <w:left w:val="none" w:sz="0" w:space="0" w:color="auto"/>
        <w:bottom w:val="none" w:sz="0" w:space="0" w:color="auto"/>
        <w:right w:val="none" w:sz="0" w:space="0" w:color="auto"/>
      </w:divBdr>
    </w:div>
    <w:div w:id="187068976">
      <w:bodyDiv w:val="1"/>
      <w:marLeft w:val="0"/>
      <w:marRight w:val="0"/>
      <w:marTop w:val="0"/>
      <w:marBottom w:val="0"/>
      <w:divBdr>
        <w:top w:val="none" w:sz="0" w:space="0" w:color="auto"/>
        <w:left w:val="none" w:sz="0" w:space="0" w:color="auto"/>
        <w:bottom w:val="none" w:sz="0" w:space="0" w:color="auto"/>
        <w:right w:val="none" w:sz="0" w:space="0" w:color="auto"/>
      </w:divBdr>
    </w:div>
    <w:div w:id="227882093">
      <w:bodyDiv w:val="1"/>
      <w:marLeft w:val="0"/>
      <w:marRight w:val="0"/>
      <w:marTop w:val="0"/>
      <w:marBottom w:val="0"/>
      <w:divBdr>
        <w:top w:val="none" w:sz="0" w:space="0" w:color="auto"/>
        <w:left w:val="none" w:sz="0" w:space="0" w:color="auto"/>
        <w:bottom w:val="none" w:sz="0" w:space="0" w:color="auto"/>
        <w:right w:val="none" w:sz="0" w:space="0" w:color="auto"/>
      </w:divBdr>
    </w:div>
    <w:div w:id="254939940">
      <w:bodyDiv w:val="1"/>
      <w:marLeft w:val="0"/>
      <w:marRight w:val="0"/>
      <w:marTop w:val="0"/>
      <w:marBottom w:val="0"/>
      <w:divBdr>
        <w:top w:val="none" w:sz="0" w:space="0" w:color="auto"/>
        <w:left w:val="none" w:sz="0" w:space="0" w:color="auto"/>
        <w:bottom w:val="none" w:sz="0" w:space="0" w:color="auto"/>
        <w:right w:val="none" w:sz="0" w:space="0" w:color="auto"/>
      </w:divBdr>
    </w:div>
    <w:div w:id="255676282">
      <w:bodyDiv w:val="1"/>
      <w:marLeft w:val="0"/>
      <w:marRight w:val="0"/>
      <w:marTop w:val="0"/>
      <w:marBottom w:val="0"/>
      <w:divBdr>
        <w:top w:val="none" w:sz="0" w:space="0" w:color="auto"/>
        <w:left w:val="none" w:sz="0" w:space="0" w:color="auto"/>
        <w:bottom w:val="none" w:sz="0" w:space="0" w:color="auto"/>
        <w:right w:val="none" w:sz="0" w:space="0" w:color="auto"/>
      </w:divBdr>
    </w:div>
    <w:div w:id="269824602">
      <w:bodyDiv w:val="1"/>
      <w:marLeft w:val="0"/>
      <w:marRight w:val="0"/>
      <w:marTop w:val="0"/>
      <w:marBottom w:val="0"/>
      <w:divBdr>
        <w:top w:val="none" w:sz="0" w:space="0" w:color="auto"/>
        <w:left w:val="none" w:sz="0" w:space="0" w:color="auto"/>
        <w:bottom w:val="none" w:sz="0" w:space="0" w:color="auto"/>
        <w:right w:val="none" w:sz="0" w:space="0" w:color="auto"/>
      </w:divBdr>
    </w:div>
    <w:div w:id="426121953">
      <w:bodyDiv w:val="1"/>
      <w:marLeft w:val="0"/>
      <w:marRight w:val="0"/>
      <w:marTop w:val="0"/>
      <w:marBottom w:val="0"/>
      <w:divBdr>
        <w:top w:val="none" w:sz="0" w:space="0" w:color="auto"/>
        <w:left w:val="none" w:sz="0" w:space="0" w:color="auto"/>
        <w:bottom w:val="none" w:sz="0" w:space="0" w:color="auto"/>
        <w:right w:val="none" w:sz="0" w:space="0" w:color="auto"/>
      </w:divBdr>
    </w:div>
    <w:div w:id="428232809">
      <w:bodyDiv w:val="1"/>
      <w:marLeft w:val="0"/>
      <w:marRight w:val="0"/>
      <w:marTop w:val="0"/>
      <w:marBottom w:val="0"/>
      <w:divBdr>
        <w:top w:val="none" w:sz="0" w:space="0" w:color="auto"/>
        <w:left w:val="none" w:sz="0" w:space="0" w:color="auto"/>
        <w:bottom w:val="none" w:sz="0" w:space="0" w:color="auto"/>
        <w:right w:val="none" w:sz="0" w:space="0" w:color="auto"/>
      </w:divBdr>
    </w:div>
    <w:div w:id="505172529">
      <w:bodyDiv w:val="1"/>
      <w:marLeft w:val="0"/>
      <w:marRight w:val="0"/>
      <w:marTop w:val="0"/>
      <w:marBottom w:val="0"/>
      <w:divBdr>
        <w:top w:val="none" w:sz="0" w:space="0" w:color="auto"/>
        <w:left w:val="none" w:sz="0" w:space="0" w:color="auto"/>
        <w:bottom w:val="none" w:sz="0" w:space="0" w:color="auto"/>
        <w:right w:val="none" w:sz="0" w:space="0" w:color="auto"/>
      </w:divBdr>
    </w:div>
    <w:div w:id="621837810">
      <w:bodyDiv w:val="1"/>
      <w:marLeft w:val="0"/>
      <w:marRight w:val="0"/>
      <w:marTop w:val="0"/>
      <w:marBottom w:val="0"/>
      <w:divBdr>
        <w:top w:val="none" w:sz="0" w:space="0" w:color="auto"/>
        <w:left w:val="none" w:sz="0" w:space="0" w:color="auto"/>
        <w:bottom w:val="none" w:sz="0" w:space="0" w:color="auto"/>
        <w:right w:val="none" w:sz="0" w:space="0" w:color="auto"/>
      </w:divBdr>
    </w:div>
    <w:div w:id="630938938">
      <w:bodyDiv w:val="1"/>
      <w:marLeft w:val="0"/>
      <w:marRight w:val="0"/>
      <w:marTop w:val="0"/>
      <w:marBottom w:val="0"/>
      <w:divBdr>
        <w:top w:val="none" w:sz="0" w:space="0" w:color="auto"/>
        <w:left w:val="none" w:sz="0" w:space="0" w:color="auto"/>
        <w:bottom w:val="none" w:sz="0" w:space="0" w:color="auto"/>
        <w:right w:val="none" w:sz="0" w:space="0" w:color="auto"/>
      </w:divBdr>
    </w:div>
    <w:div w:id="642731104">
      <w:bodyDiv w:val="1"/>
      <w:marLeft w:val="0"/>
      <w:marRight w:val="0"/>
      <w:marTop w:val="0"/>
      <w:marBottom w:val="0"/>
      <w:divBdr>
        <w:top w:val="none" w:sz="0" w:space="0" w:color="auto"/>
        <w:left w:val="none" w:sz="0" w:space="0" w:color="auto"/>
        <w:bottom w:val="none" w:sz="0" w:space="0" w:color="auto"/>
        <w:right w:val="none" w:sz="0" w:space="0" w:color="auto"/>
      </w:divBdr>
    </w:div>
    <w:div w:id="697049500">
      <w:bodyDiv w:val="1"/>
      <w:marLeft w:val="0"/>
      <w:marRight w:val="0"/>
      <w:marTop w:val="0"/>
      <w:marBottom w:val="0"/>
      <w:divBdr>
        <w:top w:val="none" w:sz="0" w:space="0" w:color="auto"/>
        <w:left w:val="none" w:sz="0" w:space="0" w:color="auto"/>
        <w:bottom w:val="none" w:sz="0" w:space="0" w:color="auto"/>
        <w:right w:val="none" w:sz="0" w:space="0" w:color="auto"/>
      </w:divBdr>
    </w:div>
    <w:div w:id="704600858">
      <w:bodyDiv w:val="1"/>
      <w:marLeft w:val="0"/>
      <w:marRight w:val="0"/>
      <w:marTop w:val="0"/>
      <w:marBottom w:val="0"/>
      <w:divBdr>
        <w:top w:val="none" w:sz="0" w:space="0" w:color="auto"/>
        <w:left w:val="none" w:sz="0" w:space="0" w:color="auto"/>
        <w:bottom w:val="none" w:sz="0" w:space="0" w:color="auto"/>
        <w:right w:val="none" w:sz="0" w:space="0" w:color="auto"/>
      </w:divBdr>
    </w:div>
    <w:div w:id="750545382">
      <w:bodyDiv w:val="1"/>
      <w:marLeft w:val="0"/>
      <w:marRight w:val="0"/>
      <w:marTop w:val="0"/>
      <w:marBottom w:val="0"/>
      <w:divBdr>
        <w:top w:val="none" w:sz="0" w:space="0" w:color="auto"/>
        <w:left w:val="none" w:sz="0" w:space="0" w:color="auto"/>
        <w:bottom w:val="none" w:sz="0" w:space="0" w:color="auto"/>
        <w:right w:val="none" w:sz="0" w:space="0" w:color="auto"/>
      </w:divBdr>
    </w:div>
    <w:div w:id="784080838">
      <w:bodyDiv w:val="1"/>
      <w:marLeft w:val="0"/>
      <w:marRight w:val="0"/>
      <w:marTop w:val="0"/>
      <w:marBottom w:val="0"/>
      <w:divBdr>
        <w:top w:val="none" w:sz="0" w:space="0" w:color="auto"/>
        <w:left w:val="none" w:sz="0" w:space="0" w:color="auto"/>
        <w:bottom w:val="none" w:sz="0" w:space="0" w:color="auto"/>
        <w:right w:val="none" w:sz="0" w:space="0" w:color="auto"/>
      </w:divBdr>
    </w:div>
    <w:div w:id="792556163">
      <w:bodyDiv w:val="1"/>
      <w:marLeft w:val="0"/>
      <w:marRight w:val="0"/>
      <w:marTop w:val="0"/>
      <w:marBottom w:val="0"/>
      <w:divBdr>
        <w:top w:val="none" w:sz="0" w:space="0" w:color="auto"/>
        <w:left w:val="none" w:sz="0" w:space="0" w:color="auto"/>
        <w:bottom w:val="none" w:sz="0" w:space="0" w:color="auto"/>
        <w:right w:val="none" w:sz="0" w:space="0" w:color="auto"/>
      </w:divBdr>
    </w:div>
    <w:div w:id="803743347">
      <w:bodyDiv w:val="1"/>
      <w:marLeft w:val="0"/>
      <w:marRight w:val="0"/>
      <w:marTop w:val="0"/>
      <w:marBottom w:val="0"/>
      <w:divBdr>
        <w:top w:val="none" w:sz="0" w:space="0" w:color="auto"/>
        <w:left w:val="none" w:sz="0" w:space="0" w:color="auto"/>
        <w:bottom w:val="none" w:sz="0" w:space="0" w:color="auto"/>
        <w:right w:val="none" w:sz="0" w:space="0" w:color="auto"/>
      </w:divBdr>
    </w:div>
    <w:div w:id="812021800">
      <w:bodyDiv w:val="1"/>
      <w:marLeft w:val="0"/>
      <w:marRight w:val="0"/>
      <w:marTop w:val="0"/>
      <w:marBottom w:val="0"/>
      <w:divBdr>
        <w:top w:val="none" w:sz="0" w:space="0" w:color="auto"/>
        <w:left w:val="none" w:sz="0" w:space="0" w:color="auto"/>
        <w:bottom w:val="none" w:sz="0" w:space="0" w:color="auto"/>
        <w:right w:val="none" w:sz="0" w:space="0" w:color="auto"/>
      </w:divBdr>
    </w:div>
    <w:div w:id="825827116">
      <w:bodyDiv w:val="1"/>
      <w:marLeft w:val="0"/>
      <w:marRight w:val="0"/>
      <w:marTop w:val="0"/>
      <w:marBottom w:val="0"/>
      <w:divBdr>
        <w:top w:val="none" w:sz="0" w:space="0" w:color="auto"/>
        <w:left w:val="none" w:sz="0" w:space="0" w:color="auto"/>
        <w:bottom w:val="none" w:sz="0" w:space="0" w:color="auto"/>
        <w:right w:val="none" w:sz="0" w:space="0" w:color="auto"/>
      </w:divBdr>
    </w:div>
    <w:div w:id="877665527">
      <w:bodyDiv w:val="1"/>
      <w:marLeft w:val="0"/>
      <w:marRight w:val="0"/>
      <w:marTop w:val="0"/>
      <w:marBottom w:val="0"/>
      <w:divBdr>
        <w:top w:val="none" w:sz="0" w:space="0" w:color="auto"/>
        <w:left w:val="none" w:sz="0" w:space="0" w:color="auto"/>
        <w:bottom w:val="none" w:sz="0" w:space="0" w:color="auto"/>
        <w:right w:val="none" w:sz="0" w:space="0" w:color="auto"/>
      </w:divBdr>
    </w:div>
    <w:div w:id="915285078">
      <w:bodyDiv w:val="1"/>
      <w:marLeft w:val="0"/>
      <w:marRight w:val="0"/>
      <w:marTop w:val="0"/>
      <w:marBottom w:val="0"/>
      <w:divBdr>
        <w:top w:val="none" w:sz="0" w:space="0" w:color="auto"/>
        <w:left w:val="none" w:sz="0" w:space="0" w:color="auto"/>
        <w:bottom w:val="none" w:sz="0" w:space="0" w:color="auto"/>
        <w:right w:val="none" w:sz="0" w:space="0" w:color="auto"/>
      </w:divBdr>
      <w:divsChild>
        <w:div w:id="318579716">
          <w:marLeft w:val="0"/>
          <w:marRight w:val="0"/>
          <w:marTop w:val="0"/>
          <w:marBottom w:val="0"/>
          <w:divBdr>
            <w:top w:val="none" w:sz="0" w:space="0" w:color="auto"/>
            <w:left w:val="none" w:sz="0" w:space="0" w:color="auto"/>
            <w:bottom w:val="none" w:sz="0" w:space="0" w:color="auto"/>
            <w:right w:val="none" w:sz="0" w:space="0" w:color="auto"/>
          </w:divBdr>
          <w:divsChild>
            <w:div w:id="9500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9084">
      <w:bodyDiv w:val="1"/>
      <w:marLeft w:val="0"/>
      <w:marRight w:val="0"/>
      <w:marTop w:val="0"/>
      <w:marBottom w:val="0"/>
      <w:divBdr>
        <w:top w:val="none" w:sz="0" w:space="0" w:color="auto"/>
        <w:left w:val="none" w:sz="0" w:space="0" w:color="auto"/>
        <w:bottom w:val="none" w:sz="0" w:space="0" w:color="auto"/>
        <w:right w:val="none" w:sz="0" w:space="0" w:color="auto"/>
      </w:divBdr>
    </w:div>
    <w:div w:id="970286076">
      <w:bodyDiv w:val="1"/>
      <w:marLeft w:val="0"/>
      <w:marRight w:val="0"/>
      <w:marTop w:val="0"/>
      <w:marBottom w:val="0"/>
      <w:divBdr>
        <w:top w:val="none" w:sz="0" w:space="0" w:color="auto"/>
        <w:left w:val="none" w:sz="0" w:space="0" w:color="auto"/>
        <w:bottom w:val="none" w:sz="0" w:space="0" w:color="auto"/>
        <w:right w:val="none" w:sz="0" w:space="0" w:color="auto"/>
      </w:divBdr>
    </w:div>
    <w:div w:id="1005477024">
      <w:bodyDiv w:val="1"/>
      <w:marLeft w:val="0"/>
      <w:marRight w:val="0"/>
      <w:marTop w:val="0"/>
      <w:marBottom w:val="0"/>
      <w:divBdr>
        <w:top w:val="none" w:sz="0" w:space="0" w:color="auto"/>
        <w:left w:val="none" w:sz="0" w:space="0" w:color="auto"/>
        <w:bottom w:val="none" w:sz="0" w:space="0" w:color="auto"/>
        <w:right w:val="none" w:sz="0" w:space="0" w:color="auto"/>
      </w:divBdr>
    </w:div>
    <w:div w:id="1050030000">
      <w:bodyDiv w:val="1"/>
      <w:marLeft w:val="0"/>
      <w:marRight w:val="0"/>
      <w:marTop w:val="0"/>
      <w:marBottom w:val="0"/>
      <w:divBdr>
        <w:top w:val="none" w:sz="0" w:space="0" w:color="auto"/>
        <w:left w:val="none" w:sz="0" w:space="0" w:color="auto"/>
        <w:bottom w:val="none" w:sz="0" w:space="0" w:color="auto"/>
        <w:right w:val="none" w:sz="0" w:space="0" w:color="auto"/>
      </w:divBdr>
    </w:div>
    <w:div w:id="1075930320">
      <w:bodyDiv w:val="1"/>
      <w:marLeft w:val="0"/>
      <w:marRight w:val="0"/>
      <w:marTop w:val="0"/>
      <w:marBottom w:val="0"/>
      <w:divBdr>
        <w:top w:val="none" w:sz="0" w:space="0" w:color="auto"/>
        <w:left w:val="none" w:sz="0" w:space="0" w:color="auto"/>
        <w:bottom w:val="none" w:sz="0" w:space="0" w:color="auto"/>
        <w:right w:val="none" w:sz="0" w:space="0" w:color="auto"/>
      </w:divBdr>
    </w:div>
    <w:div w:id="1085104034">
      <w:bodyDiv w:val="1"/>
      <w:marLeft w:val="0"/>
      <w:marRight w:val="0"/>
      <w:marTop w:val="0"/>
      <w:marBottom w:val="0"/>
      <w:divBdr>
        <w:top w:val="none" w:sz="0" w:space="0" w:color="auto"/>
        <w:left w:val="none" w:sz="0" w:space="0" w:color="auto"/>
        <w:bottom w:val="none" w:sz="0" w:space="0" w:color="auto"/>
        <w:right w:val="none" w:sz="0" w:space="0" w:color="auto"/>
      </w:divBdr>
    </w:div>
    <w:div w:id="1100178492">
      <w:bodyDiv w:val="1"/>
      <w:marLeft w:val="0"/>
      <w:marRight w:val="0"/>
      <w:marTop w:val="0"/>
      <w:marBottom w:val="0"/>
      <w:divBdr>
        <w:top w:val="none" w:sz="0" w:space="0" w:color="auto"/>
        <w:left w:val="none" w:sz="0" w:space="0" w:color="auto"/>
        <w:bottom w:val="none" w:sz="0" w:space="0" w:color="auto"/>
        <w:right w:val="none" w:sz="0" w:space="0" w:color="auto"/>
      </w:divBdr>
    </w:div>
    <w:div w:id="1117216037">
      <w:bodyDiv w:val="1"/>
      <w:marLeft w:val="0"/>
      <w:marRight w:val="0"/>
      <w:marTop w:val="0"/>
      <w:marBottom w:val="0"/>
      <w:divBdr>
        <w:top w:val="none" w:sz="0" w:space="0" w:color="auto"/>
        <w:left w:val="none" w:sz="0" w:space="0" w:color="auto"/>
        <w:bottom w:val="none" w:sz="0" w:space="0" w:color="auto"/>
        <w:right w:val="none" w:sz="0" w:space="0" w:color="auto"/>
      </w:divBdr>
    </w:div>
    <w:div w:id="1201942460">
      <w:bodyDiv w:val="1"/>
      <w:marLeft w:val="0"/>
      <w:marRight w:val="0"/>
      <w:marTop w:val="0"/>
      <w:marBottom w:val="0"/>
      <w:divBdr>
        <w:top w:val="none" w:sz="0" w:space="0" w:color="auto"/>
        <w:left w:val="none" w:sz="0" w:space="0" w:color="auto"/>
        <w:bottom w:val="none" w:sz="0" w:space="0" w:color="auto"/>
        <w:right w:val="none" w:sz="0" w:space="0" w:color="auto"/>
      </w:divBdr>
    </w:div>
    <w:div w:id="1263614047">
      <w:bodyDiv w:val="1"/>
      <w:marLeft w:val="0"/>
      <w:marRight w:val="0"/>
      <w:marTop w:val="0"/>
      <w:marBottom w:val="0"/>
      <w:divBdr>
        <w:top w:val="none" w:sz="0" w:space="0" w:color="auto"/>
        <w:left w:val="none" w:sz="0" w:space="0" w:color="auto"/>
        <w:bottom w:val="none" w:sz="0" w:space="0" w:color="auto"/>
        <w:right w:val="none" w:sz="0" w:space="0" w:color="auto"/>
      </w:divBdr>
    </w:div>
    <w:div w:id="1305892359">
      <w:bodyDiv w:val="1"/>
      <w:marLeft w:val="0"/>
      <w:marRight w:val="0"/>
      <w:marTop w:val="0"/>
      <w:marBottom w:val="0"/>
      <w:divBdr>
        <w:top w:val="none" w:sz="0" w:space="0" w:color="auto"/>
        <w:left w:val="none" w:sz="0" w:space="0" w:color="auto"/>
        <w:bottom w:val="none" w:sz="0" w:space="0" w:color="auto"/>
        <w:right w:val="none" w:sz="0" w:space="0" w:color="auto"/>
      </w:divBdr>
    </w:div>
    <w:div w:id="1316180360">
      <w:bodyDiv w:val="1"/>
      <w:marLeft w:val="0"/>
      <w:marRight w:val="0"/>
      <w:marTop w:val="0"/>
      <w:marBottom w:val="0"/>
      <w:divBdr>
        <w:top w:val="none" w:sz="0" w:space="0" w:color="auto"/>
        <w:left w:val="none" w:sz="0" w:space="0" w:color="auto"/>
        <w:bottom w:val="none" w:sz="0" w:space="0" w:color="auto"/>
        <w:right w:val="none" w:sz="0" w:space="0" w:color="auto"/>
      </w:divBdr>
    </w:div>
    <w:div w:id="1362704409">
      <w:bodyDiv w:val="1"/>
      <w:marLeft w:val="0"/>
      <w:marRight w:val="0"/>
      <w:marTop w:val="0"/>
      <w:marBottom w:val="0"/>
      <w:divBdr>
        <w:top w:val="none" w:sz="0" w:space="0" w:color="auto"/>
        <w:left w:val="none" w:sz="0" w:space="0" w:color="auto"/>
        <w:bottom w:val="none" w:sz="0" w:space="0" w:color="auto"/>
        <w:right w:val="none" w:sz="0" w:space="0" w:color="auto"/>
      </w:divBdr>
    </w:div>
    <w:div w:id="1457672520">
      <w:bodyDiv w:val="1"/>
      <w:marLeft w:val="0"/>
      <w:marRight w:val="0"/>
      <w:marTop w:val="0"/>
      <w:marBottom w:val="0"/>
      <w:divBdr>
        <w:top w:val="none" w:sz="0" w:space="0" w:color="auto"/>
        <w:left w:val="none" w:sz="0" w:space="0" w:color="auto"/>
        <w:bottom w:val="none" w:sz="0" w:space="0" w:color="auto"/>
        <w:right w:val="none" w:sz="0" w:space="0" w:color="auto"/>
      </w:divBdr>
    </w:div>
    <w:div w:id="1457918045">
      <w:bodyDiv w:val="1"/>
      <w:marLeft w:val="0"/>
      <w:marRight w:val="0"/>
      <w:marTop w:val="0"/>
      <w:marBottom w:val="0"/>
      <w:divBdr>
        <w:top w:val="none" w:sz="0" w:space="0" w:color="auto"/>
        <w:left w:val="none" w:sz="0" w:space="0" w:color="auto"/>
        <w:bottom w:val="none" w:sz="0" w:space="0" w:color="auto"/>
        <w:right w:val="none" w:sz="0" w:space="0" w:color="auto"/>
      </w:divBdr>
    </w:div>
    <w:div w:id="1464612504">
      <w:bodyDiv w:val="1"/>
      <w:marLeft w:val="0"/>
      <w:marRight w:val="0"/>
      <w:marTop w:val="0"/>
      <w:marBottom w:val="0"/>
      <w:divBdr>
        <w:top w:val="none" w:sz="0" w:space="0" w:color="auto"/>
        <w:left w:val="none" w:sz="0" w:space="0" w:color="auto"/>
        <w:bottom w:val="none" w:sz="0" w:space="0" w:color="auto"/>
        <w:right w:val="none" w:sz="0" w:space="0" w:color="auto"/>
      </w:divBdr>
    </w:div>
    <w:div w:id="1504397786">
      <w:bodyDiv w:val="1"/>
      <w:marLeft w:val="0"/>
      <w:marRight w:val="0"/>
      <w:marTop w:val="0"/>
      <w:marBottom w:val="0"/>
      <w:divBdr>
        <w:top w:val="none" w:sz="0" w:space="0" w:color="auto"/>
        <w:left w:val="none" w:sz="0" w:space="0" w:color="auto"/>
        <w:bottom w:val="none" w:sz="0" w:space="0" w:color="auto"/>
        <w:right w:val="none" w:sz="0" w:space="0" w:color="auto"/>
      </w:divBdr>
    </w:div>
    <w:div w:id="1567257640">
      <w:bodyDiv w:val="1"/>
      <w:marLeft w:val="0"/>
      <w:marRight w:val="0"/>
      <w:marTop w:val="0"/>
      <w:marBottom w:val="0"/>
      <w:divBdr>
        <w:top w:val="none" w:sz="0" w:space="0" w:color="auto"/>
        <w:left w:val="none" w:sz="0" w:space="0" w:color="auto"/>
        <w:bottom w:val="none" w:sz="0" w:space="0" w:color="auto"/>
        <w:right w:val="none" w:sz="0" w:space="0" w:color="auto"/>
      </w:divBdr>
    </w:div>
    <w:div w:id="1590233065">
      <w:bodyDiv w:val="1"/>
      <w:marLeft w:val="0"/>
      <w:marRight w:val="0"/>
      <w:marTop w:val="0"/>
      <w:marBottom w:val="0"/>
      <w:divBdr>
        <w:top w:val="none" w:sz="0" w:space="0" w:color="auto"/>
        <w:left w:val="none" w:sz="0" w:space="0" w:color="auto"/>
        <w:bottom w:val="none" w:sz="0" w:space="0" w:color="auto"/>
        <w:right w:val="none" w:sz="0" w:space="0" w:color="auto"/>
      </w:divBdr>
    </w:div>
    <w:div w:id="1626278824">
      <w:bodyDiv w:val="1"/>
      <w:marLeft w:val="0"/>
      <w:marRight w:val="0"/>
      <w:marTop w:val="0"/>
      <w:marBottom w:val="0"/>
      <w:divBdr>
        <w:top w:val="none" w:sz="0" w:space="0" w:color="auto"/>
        <w:left w:val="none" w:sz="0" w:space="0" w:color="auto"/>
        <w:bottom w:val="none" w:sz="0" w:space="0" w:color="auto"/>
        <w:right w:val="none" w:sz="0" w:space="0" w:color="auto"/>
      </w:divBdr>
    </w:div>
    <w:div w:id="1710376430">
      <w:bodyDiv w:val="1"/>
      <w:marLeft w:val="0"/>
      <w:marRight w:val="0"/>
      <w:marTop w:val="0"/>
      <w:marBottom w:val="0"/>
      <w:divBdr>
        <w:top w:val="none" w:sz="0" w:space="0" w:color="auto"/>
        <w:left w:val="none" w:sz="0" w:space="0" w:color="auto"/>
        <w:bottom w:val="none" w:sz="0" w:space="0" w:color="auto"/>
        <w:right w:val="none" w:sz="0" w:space="0" w:color="auto"/>
      </w:divBdr>
    </w:div>
    <w:div w:id="1734114816">
      <w:bodyDiv w:val="1"/>
      <w:marLeft w:val="0"/>
      <w:marRight w:val="0"/>
      <w:marTop w:val="0"/>
      <w:marBottom w:val="0"/>
      <w:divBdr>
        <w:top w:val="none" w:sz="0" w:space="0" w:color="auto"/>
        <w:left w:val="none" w:sz="0" w:space="0" w:color="auto"/>
        <w:bottom w:val="none" w:sz="0" w:space="0" w:color="auto"/>
        <w:right w:val="none" w:sz="0" w:space="0" w:color="auto"/>
      </w:divBdr>
    </w:div>
    <w:div w:id="1799103141">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24353123">
      <w:bodyDiv w:val="1"/>
      <w:marLeft w:val="0"/>
      <w:marRight w:val="0"/>
      <w:marTop w:val="0"/>
      <w:marBottom w:val="0"/>
      <w:divBdr>
        <w:top w:val="none" w:sz="0" w:space="0" w:color="auto"/>
        <w:left w:val="none" w:sz="0" w:space="0" w:color="auto"/>
        <w:bottom w:val="none" w:sz="0" w:space="0" w:color="auto"/>
        <w:right w:val="none" w:sz="0" w:space="0" w:color="auto"/>
      </w:divBdr>
    </w:div>
    <w:div w:id="1852453107">
      <w:bodyDiv w:val="1"/>
      <w:marLeft w:val="0"/>
      <w:marRight w:val="0"/>
      <w:marTop w:val="0"/>
      <w:marBottom w:val="0"/>
      <w:divBdr>
        <w:top w:val="none" w:sz="0" w:space="0" w:color="auto"/>
        <w:left w:val="none" w:sz="0" w:space="0" w:color="auto"/>
        <w:bottom w:val="none" w:sz="0" w:space="0" w:color="auto"/>
        <w:right w:val="none" w:sz="0" w:space="0" w:color="auto"/>
      </w:divBdr>
    </w:div>
    <w:div w:id="1884246416">
      <w:bodyDiv w:val="1"/>
      <w:marLeft w:val="0"/>
      <w:marRight w:val="0"/>
      <w:marTop w:val="0"/>
      <w:marBottom w:val="0"/>
      <w:divBdr>
        <w:top w:val="none" w:sz="0" w:space="0" w:color="auto"/>
        <w:left w:val="none" w:sz="0" w:space="0" w:color="auto"/>
        <w:bottom w:val="none" w:sz="0" w:space="0" w:color="auto"/>
        <w:right w:val="none" w:sz="0" w:space="0" w:color="auto"/>
      </w:divBdr>
    </w:div>
    <w:div w:id="1900360941">
      <w:bodyDiv w:val="1"/>
      <w:marLeft w:val="0"/>
      <w:marRight w:val="0"/>
      <w:marTop w:val="0"/>
      <w:marBottom w:val="0"/>
      <w:divBdr>
        <w:top w:val="none" w:sz="0" w:space="0" w:color="auto"/>
        <w:left w:val="none" w:sz="0" w:space="0" w:color="auto"/>
        <w:bottom w:val="none" w:sz="0" w:space="0" w:color="auto"/>
        <w:right w:val="none" w:sz="0" w:space="0" w:color="auto"/>
      </w:divBdr>
    </w:div>
    <w:div w:id="1920210563">
      <w:bodyDiv w:val="1"/>
      <w:marLeft w:val="0"/>
      <w:marRight w:val="0"/>
      <w:marTop w:val="0"/>
      <w:marBottom w:val="0"/>
      <w:divBdr>
        <w:top w:val="none" w:sz="0" w:space="0" w:color="auto"/>
        <w:left w:val="none" w:sz="0" w:space="0" w:color="auto"/>
        <w:bottom w:val="none" w:sz="0" w:space="0" w:color="auto"/>
        <w:right w:val="none" w:sz="0" w:space="0" w:color="auto"/>
      </w:divBdr>
    </w:div>
    <w:div w:id="1924952629">
      <w:bodyDiv w:val="1"/>
      <w:marLeft w:val="0"/>
      <w:marRight w:val="0"/>
      <w:marTop w:val="0"/>
      <w:marBottom w:val="0"/>
      <w:divBdr>
        <w:top w:val="none" w:sz="0" w:space="0" w:color="auto"/>
        <w:left w:val="none" w:sz="0" w:space="0" w:color="auto"/>
        <w:bottom w:val="none" w:sz="0" w:space="0" w:color="auto"/>
        <w:right w:val="none" w:sz="0" w:space="0" w:color="auto"/>
      </w:divBdr>
    </w:div>
    <w:div w:id="2077236751">
      <w:bodyDiv w:val="1"/>
      <w:marLeft w:val="0"/>
      <w:marRight w:val="0"/>
      <w:marTop w:val="0"/>
      <w:marBottom w:val="0"/>
      <w:divBdr>
        <w:top w:val="none" w:sz="0" w:space="0" w:color="auto"/>
        <w:left w:val="none" w:sz="0" w:space="0" w:color="auto"/>
        <w:bottom w:val="none" w:sz="0" w:space="0" w:color="auto"/>
        <w:right w:val="none" w:sz="0" w:space="0" w:color="auto"/>
      </w:divBdr>
    </w:div>
    <w:div w:id="2082100283">
      <w:bodyDiv w:val="1"/>
      <w:marLeft w:val="0"/>
      <w:marRight w:val="0"/>
      <w:marTop w:val="0"/>
      <w:marBottom w:val="0"/>
      <w:divBdr>
        <w:top w:val="none" w:sz="0" w:space="0" w:color="auto"/>
        <w:left w:val="none" w:sz="0" w:space="0" w:color="auto"/>
        <w:bottom w:val="none" w:sz="0" w:space="0" w:color="auto"/>
        <w:right w:val="none" w:sz="0" w:space="0" w:color="auto"/>
      </w:divBdr>
    </w:div>
    <w:div w:id="2090033493">
      <w:bodyDiv w:val="1"/>
      <w:marLeft w:val="0"/>
      <w:marRight w:val="0"/>
      <w:marTop w:val="0"/>
      <w:marBottom w:val="0"/>
      <w:divBdr>
        <w:top w:val="none" w:sz="0" w:space="0" w:color="auto"/>
        <w:left w:val="none" w:sz="0" w:space="0" w:color="auto"/>
        <w:bottom w:val="none" w:sz="0" w:space="0" w:color="auto"/>
        <w:right w:val="none" w:sz="0" w:space="0" w:color="auto"/>
      </w:divBdr>
    </w:div>
    <w:div w:id="21466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crutchfield@ner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rc.com/filez/standards/Project_2009-06_Facility_Ratings.html"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DA4DC43975E41A388661CB81CF900" ma:contentTypeVersion="0" ma:contentTypeDescription="Create a new document." ma:contentTypeScope="" ma:versionID="50112f6e2d4c98d97249d0f6dad4352f">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67F6934518CDB4790A83D8EABC73EF6" ma:contentTypeVersion="26" ma:contentTypeDescription="Create a new document." ma:contentTypeScope="" ma:versionID="4830fad68ee69f9954b0981435bd57f1">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01809-6511-4DAF-85D2-E04CA9CCDE51}"/>
</file>

<file path=customXml/itemProps2.xml><?xml version="1.0" encoding="utf-8"?>
<ds:datastoreItem xmlns:ds="http://schemas.openxmlformats.org/officeDocument/2006/customXml" ds:itemID="{0B781580-E57D-4750-AFDC-1D0050536503}"/>
</file>

<file path=customXml/itemProps3.xml><?xml version="1.0" encoding="utf-8"?>
<ds:datastoreItem xmlns:ds="http://schemas.openxmlformats.org/officeDocument/2006/customXml" ds:itemID="{0C511E3A-C6A4-484F-8F93-63957AA28964}"/>
</file>

<file path=customXml/itemProps4.xml><?xml version="1.0" encoding="utf-8"?>
<ds:datastoreItem xmlns:ds="http://schemas.openxmlformats.org/officeDocument/2006/customXml" ds:itemID="{32A59E2E-34E5-4E97-827C-2B3C6147342F}"/>
</file>

<file path=docProps/app.xml><?xml version="1.0" encoding="utf-8"?>
<Properties xmlns="http://schemas.openxmlformats.org/officeDocument/2006/extended-properties" xmlns:vt="http://schemas.openxmlformats.org/officeDocument/2006/docPropsVTypes">
  <Template>Normal.dotm</Template>
  <TotalTime>16</TotalTime>
  <Pages>4</Pages>
  <Words>1373</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Consideration of Comments on 1st Draft of SAR to Revise Cyber Security Standards — Project 2008-06</vt:lpstr>
    </vt:vector>
  </TitlesOfParts>
  <Company>NERC</Company>
  <LinksUpToDate>false</LinksUpToDate>
  <CharactersWithSpaces>9108</CharactersWithSpaces>
  <SharedDoc>false</SharedDoc>
  <HLinks>
    <vt:vector size="102" baseType="variant">
      <vt:variant>
        <vt:i4>1900593</vt:i4>
      </vt:variant>
      <vt:variant>
        <vt:i4>92</vt:i4>
      </vt:variant>
      <vt:variant>
        <vt:i4>0</vt:i4>
      </vt:variant>
      <vt:variant>
        <vt:i4>5</vt:i4>
      </vt:variant>
      <vt:variant>
        <vt:lpwstr/>
      </vt:variant>
      <vt:variant>
        <vt:lpwstr>_Toc238884353</vt:lpwstr>
      </vt:variant>
      <vt:variant>
        <vt:i4>1900593</vt:i4>
      </vt:variant>
      <vt:variant>
        <vt:i4>86</vt:i4>
      </vt:variant>
      <vt:variant>
        <vt:i4>0</vt:i4>
      </vt:variant>
      <vt:variant>
        <vt:i4>5</vt:i4>
      </vt:variant>
      <vt:variant>
        <vt:lpwstr/>
      </vt:variant>
      <vt:variant>
        <vt:lpwstr>_Toc238884352</vt:lpwstr>
      </vt:variant>
      <vt:variant>
        <vt:i4>1900593</vt:i4>
      </vt:variant>
      <vt:variant>
        <vt:i4>80</vt:i4>
      </vt:variant>
      <vt:variant>
        <vt:i4>0</vt:i4>
      </vt:variant>
      <vt:variant>
        <vt:i4>5</vt:i4>
      </vt:variant>
      <vt:variant>
        <vt:lpwstr/>
      </vt:variant>
      <vt:variant>
        <vt:lpwstr>_Toc238884351</vt:lpwstr>
      </vt:variant>
      <vt:variant>
        <vt:i4>1900593</vt:i4>
      </vt:variant>
      <vt:variant>
        <vt:i4>74</vt:i4>
      </vt:variant>
      <vt:variant>
        <vt:i4>0</vt:i4>
      </vt:variant>
      <vt:variant>
        <vt:i4>5</vt:i4>
      </vt:variant>
      <vt:variant>
        <vt:lpwstr/>
      </vt:variant>
      <vt:variant>
        <vt:lpwstr>_Toc238884350</vt:lpwstr>
      </vt:variant>
      <vt:variant>
        <vt:i4>1835057</vt:i4>
      </vt:variant>
      <vt:variant>
        <vt:i4>68</vt:i4>
      </vt:variant>
      <vt:variant>
        <vt:i4>0</vt:i4>
      </vt:variant>
      <vt:variant>
        <vt:i4>5</vt:i4>
      </vt:variant>
      <vt:variant>
        <vt:lpwstr/>
      </vt:variant>
      <vt:variant>
        <vt:lpwstr>_Toc238884349</vt:lpwstr>
      </vt:variant>
      <vt:variant>
        <vt:i4>1835057</vt:i4>
      </vt:variant>
      <vt:variant>
        <vt:i4>62</vt:i4>
      </vt:variant>
      <vt:variant>
        <vt:i4>0</vt:i4>
      </vt:variant>
      <vt:variant>
        <vt:i4>5</vt:i4>
      </vt:variant>
      <vt:variant>
        <vt:lpwstr/>
      </vt:variant>
      <vt:variant>
        <vt:lpwstr>_Toc238884348</vt:lpwstr>
      </vt:variant>
      <vt:variant>
        <vt:i4>1835057</vt:i4>
      </vt:variant>
      <vt:variant>
        <vt:i4>56</vt:i4>
      </vt:variant>
      <vt:variant>
        <vt:i4>0</vt:i4>
      </vt:variant>
      <vt:variant>
        <vt:i4>5</vt:i4>
      </vt:variant>
      <vt:variant>
        <vt:lpwstr/>
      </vt:variant>
      <vt:variant>
        <vt:lpwstr>_Toc238884347</vt:lpwstr>
      </vt:variant>
      <vt:variant>
        <vt:i4>1835057</vt:i4>
      </vt:variant>
      <vt:variant>
        <vt:i4>50</vt:i4>
      </vt:variant>
      <vt:variant>
        <vt:i4>0</vt:i4>
      </vt:variant>
      <vt:variant>
        <vt:i4>5</vt:i4>
      </vt:variant>
      <vt:variant>
        <vt:lpwstr/>
      </vt:variant>
      <vt:variant>
        <vt:lpwstr>_Toc238884346</vt:lpwstr>
      </vt:variant>
      <vt:variant>
        <vt:i4>1835057</vt:i4>
      </vt:variant>
      <vt:variant>
        <vt:i4>44</vt:i4>
      </vt:variant>
      <vt:variant>
        <vt:i4>0</vt:i4>
      </vt:variant>
      <vt:variant>
        <vt:i4>5</vt:i4>
      </vt:variant>
      <vt:variant>
        <vt:lpwstr/>
      </vt:variant>
      <vt:variant>
        <vt:lpwstr>_Toc238884345</vt:lpwstr>
      </vt:variant>
      <vt:variant>
        <vt:i4>1835057</vt:i4>
      </vt:variant>
      <vt:variant>
        <vt:i4>38</vt:i4>
      </vt:variant>
      <vt:variant>
        <vt:i4>0</vt:i4>
      </vt:variant>
      <vt:variant>
        <vt:i4>5</vt:i4>
      </vt:variant>
      <vt:variant>
        <vt:lpwstr/>
      </vt:variant>
      <vt:variant>
        <vt:lpwstr>_Toc238884344</vt:lpwstr>
      </vt:variant>
      <vt:variant>
        <vt:i4>1835057</vt:i4>
      </vt:variant>
      <vt:variant>
        <vt:i4>32</vt:i4>
      </vt:variant>
      <vt:variant>
        <vt:i4>0</vt:i4>
      </vt:variant>
      <vt:variant>
        <vt:i4>5</vt:i4>
      </vt:variant>
      <vt:variant>
        <vt:lpwstr/>
      </vt:variant>
      <vt:variant>
        <vt:lpwstr>_Toc238884343</vt:lpwstr>
      </vt:variant>
      <vt:variant>
        <vt:i4>1835057</vt:i4>
      </vt:variant>
      <vt:variant>
        <vt:i4>26</vt:i4>
      </vt:variant>
      <vt:variant>
        <vt:i4>0</vt:i4>
      </vt:variant>
      <vt:variant>
        <vt:i4>5</vt:i4>
      </vt:variant>
      <vt:variant>
        <vt:lpwstr/>
      </vt:variant>
      <vt:variant>
        <vt:lpwstr>_Toc238884342</vt:lpwstr>
      </vt:variant>
      <vt:variant>
        <vt:i4>1835057</vt:i4>
      </vt:variant>
      <vt:variant>
        <vt:i4>20</vt:i4>
      </vt:variant>
      <vt:variant>
        <vt:i4>0</vt:i4>
      </vt:variant>
      <vt:variant>
        <vt:i4>5</vt:i4>
      </vt:variant>
      <vt:variant>
        <vt:lpwstr/>
      </vt:variant>
      <vt:variant>
        <vt:lpwstr>_Toc238884341</vt:lpwstr>
      </vt:variant>
      <vt:variant>
        <vt:i4>1835057</vt:i4>
      </vt:variant>
      <vt:variant>
        <vt:i4>14</vt:i4>
      </vt:variant>
      <vt:variant>
        <vt:i4>0</vt:i4>
      </vt:variant>
      <vt:variant>
        <vt:i4>5</vt:i4>
      </vt:variant>
      <vt:variant>
        <vt:lpwstr/>
      </vt:variant>
      <vt:variant>
        <vt:lpwstr>_Toc238884340</vt:lpwstr>
      </vt:variant>
      <vt:variant>
        <vt:i4>1769521</vt:i4>
      </vt:variant>
      <vt:variant>
        <vt:i4>8</vt:i4>
      </vt:variant>
      <vt:variant>
        <vt:i4>0</vt:i4>
      </vt:variant>
      <vt:variant>
        <vt:i4>5</vt:i4>
      </vt:variant>
      <vt:variant>
        <vt:lpwstr/>
      </vt:variant>
      <vt:variant>
        <vt:lpwstr>_Toc238884339</vt:lpwstr>
      </vt:variant>
      <vt:variant>
        <vt:i4>4390969</vt:i4>
      </vt:variant>
      <vt:variant>
        <vt:i4>3</vt:i4>
      </vt:variant>
      <vt:variant>
        <vt:i4>0</vt:i4>
      </vt:variant>
      <vt:variant>
        <vt:i4>5</vt:i4>
      </vt:variant>
      <vt:variant>
        <vt:lpwstr>mailto:gerry.adamski@nerc.net</vt:lpwstr>
      </vt:variant>
      <vt:variant>
        <vt:lpwstr/>
      </vt:variant>
      <vt:variant>
        <vt:i4>1638411</vt:i4>
      </vt:variant>
      <vt:variant>
        <vt:i4>0</vt:i4>
      </vt:variant>
      <vt:variant>
        <vt:i4>0</vt:i4>
      </vt:variant>
      <vt:variant>
        <vt:i4>5</vt:i4>
      </vt:variant>
      <vt:variant>
        <vt:lpwstr>http://www.nerc.com/filez/standards/Project2009-08_Nuclear_Plant_Interface_Coordination.html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of Comments on 1st Draft of SAR to Revise Cyber Security Standards — Project 2008-06</dc:title>
  <dc:subject/>
  <dc:creator>bensonm</dc:creator>
  <cp:keywords/>
  <dc:description/>
  <cp:lastModifiedBy>Monica Benson</cp:lastModifiedBy>
  <cp:revision>7</cp:revision>
  <cp:lastPrinted>2011-03-17T19:21:00Z</cp:lastPrinted>
  <dcterms:created xsi:type="dcterms:W3CDTF">2011-03-17T13:07:00Z</dcterms:created>
  <dcterms:modified xsi:type="dcterms:W3CDTF">2011-03-17T19:27:00Z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0x010100667F6934518CDB4790A83D8EABC73EF6</vt:lpwstr>
  </property>
  <property fmtid="{D5CDD505-2E9C-101B-9397-08002B2CF9AE}" pid="3" name="_dlc_DocIdItemGuid">
    <vt:lpwstr>6fb6d366-02d6-40c5-aa15-4f7e2b762d51</vt:lpwstr>
  </property>
</Properties>
</file>