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9" w:rsidRPr="007F0B4C" w:rsidRDefault="00776F75" w:rsidP="00BC0E72">
      <w:pPr>
        <w:pStyle w:val="Title"/>
      </w:pPr>
      <w:r w:rsidRPr="007F0B4C">
        <w:t>Unofficial Comment Form</w:t>
      </w:r>
    </w:p>
    <w:p w:rsidR="0097456C" w:rsidRPr="007F0B4C" w:rsidRDefault="00776F75" w:rsidP="00BC0E72">
      <w:pPr>
        <w:spacing w:before="0" w:after="0" w:line="240" w:lineRule="auto"/>
        <w:rPr>
          <w:rFonts w:ascii="Tahoma" w:hAnsi="Tahoma" w:cs="Tahoma"/>
          <w:color w:val="204C81" w:themeColor="accent2"/>
          <w:sz w:val="36"/>
          <w:szCs w:val="36"/>
        </w:rPr>
      </w:pPr>
      <w:r w:rsidRPr="00BC0E72">
        <w:rPr>
          <w:rFonts w:ascii="Tahoma" w:eastAsia="Times New Roman" w:hAnsi="Tahoma" w:cs="Times New Roman"/>
          <w:bCs/>
          <w:color w:val="143970"/>
          <w:sz w:val="36"/>
          <w:szCs w:val="36"/>
          <w:lang w:bidi="ar-SA"/>
        </w:rPr>
        <w:t>Proje</w:t>
      </w:r>
      <w:r w:rsidRPr="007F0B4C">
        <w:rPr>
          <w:rFonts w:ascii="Tahoma" w:eastAsia="Times New Roman" w:hAnsi="Tahoma" w:cs="Times New Roman"/>
          <w:bCs/>
          <w:color w:val="143970"/>
          <w:sz w:val="36"/>
          <w:szCs w:val="36"/>
          <w:lang w:bidi="ar-SA"/>
        </w:rPr>
        <w:t>ct 2010-13.2</w:t>
      </w:r>
      <w:r w:rsidR="00BC0E72">
        <w:rPr>
          <w:rFonts w:ascii="Tahoma" w:eastAsia="Times New Roman" w:hAnsi="Tahoma" w:cs="Times New Roman"/>
          <w:bCs/>
          <w:color w:val="143970"/>
          <w:sz w:val="36"/>
          <w:szCs w:val="36"/>
          <w:lang w:bidi="ar-SA"/>
        </w:rPr>
        <w:t xml:space="preserve"> </w:t>
      </w:r>
      <w:r w:rsidR="00636D36">
        <w:rPr>
          <w:rFonts w:ascii="Tahoma" w:eastAsia="Times New Roman" w:hAnsi="Tahoma" w:cs="Times New Roman"/>
          <w:bCs/>
          <w:color w:val="143970"/>
          <w:sz w:val="36"/>
          <w:szCs w:val="36"/>
          <w:lang w:bidi="ar-SA"/>
        </w:rPr>
        <w:t>Phase II</w:t>
      </w:r>
      <w:r w:rsidR="00636D36" w:rsidRPr="007F0B4C">
        <w:rPr>
          <w:rFonts w:ascii="Tahoma" w:eastAsia="Times New Roman" w:hAnsi="Tahoma" w:cs="Times New Roman"/>
          <w:bCs/>
          <w:color w:val="143970"/>
          <w:sz w:val="36"/>
          <w:szCs w:val="36"/>
          <w:lang w:bidi="ar-SA"/>
        </w:rPr>
        <w:t xml:space="preserve"> </w:t>
      </w:r>
      <w:r w:rsidR="0097456C" w:rsidRPr="007F0B4C">
        <w:rPr>
          <w:rFonts w:ascii="Tahoma" w:eastAsia="Times New Roman" w:hAnsi="Tahoma" w:cs="Times New Roman"/>
          <w:bCs/>
          <w:color w:val="143970"/>
          <w:sz w:val="36"/>
          <w:szCs w:val="36"/>
          <w:lang w:bidi="ar-SA"/>
        </w:rPr>
        <w:t xml:space="preserve">Relay </w:t>
      </w:r>
      <w:proofErr w:type="gramStart"/>
      <w:r w:rsidR="0097456C" w:rsidRPr="007F0B4C">
        <w:rPr>
          <w:rFonts w:ascii="Tahoma" w:eastAsia="Times New Roman" w:hAnsi="Tahoma" w:cs="Times New Roman"/>
          <w:bCs/>
          <w:color w:val="143970"/>
          <w:sz w:val="36"/>
          <w:szCs w:val="36"/>
          <w:lang w:bidi="ar-SA"/>
        </w:rPr>
        <w:t>Loadability</w:t>
      </w:r>
      <w:proofErr w:type="gramEnd"/>
      <w:r w:rsidR="00BC0E72">
        <w:rPr>
          <w:rFonts w:ascii="Tahoma" w:eastAsia="Times New Roman" w:hAnsi="Tahoma" w:cs="Times New Roman"/>
          <w:bCs/>
          <w:color w:val="143970"/>
          <w:sz w:val="36"/>
          <w:szCs w:val="36"/>
          <w:lang w:bidi="ar-SA"/>
        </w:rPr>
        <w:br/>
      </w:r>
      <w:r w:rsidRPr="00636D36">
        <w:rPr>
          <w:rFonts w:ascii="Tahoma" w:eastAsia="Times New Roman" w:hAnsi="Tahoma" w:cs="Times New Roman"/>
          <w:bCs/>
          <w:color w:val="143970"/>
          <w:sz w:val="28"/>
          <w:szCs w:val="28"/>
          <w:lang w:bidi="ar-SA"/>
        </w:rPr>
        <w:t>(PRC-025-1</w:t>
      </w:r>
      <w:r w:rsidR="00571DF2" w:rsidRPr="00636D36">
        <w:rPr>
          <w:rFonts w:ascii="Tahoma" w:eastAsia="Times New Roman" w:hAnsi="Tahoma" w:cs="Times New Roman"/>
          <w:bCs/>
          <w:color w:val="143970"/>
          <w:sz w:val="28"/>
          <w:szCs w:val="28"/>
          <w:lang w:bidi="ar-SA"/>
        </w:rPr>
        <w:t xml:space="preserve"> and PRC-023-2</w:t>
      </w:r>
      <w:r w:rsidRPr="00636D36">
        <w:rPr>
          <w:rFonts w:ascii="Tahoma" w:eastAsia="Times New Roman" w:hAnsi="Tahoma" w:cs="Times New Roman"/>
          <w:bCs/>
          <w:color w:val="143970"/>
          <w:sz w:val="28"/>
          <w:szCs w:val="28"/>
          <w:lang w:bidi="ar-SA"/>
        </w:rPr>
        <w:t>)</w:t>
      </w:r>
    </w:p>
    <w:p w:rsidR="0097456C" w:rsidRDefault="0097456C" w:rsidP="00BC0E72">
      <w:pPr>
        <w:spacing w:before="0" w:after="0"/>
      </w:pPr>
    </w:p>
    <w:p w:rsidR="00776F75" w:rsidRDefault="000B7836" w:rsidP="00BC0E72">
      <w:pPr>
        <w:spacing w:before="0" w:after="0" w:line="240" w:lineRule="auto"/>
        <w:rPr>
          <w:rFonts w:ascii="Times New Roman" w:eastAsia="Times New Roman" w:hAnsi="Times New Roman" w:cs="Times New Roman"/>
          <w:szCs w:val="24"/>
          <w:lang w:bidi="ar-SA"/>
        </w:rPr>
      </w:pPr>
      <w:r w:rsidRPr="000B7836">
        <w:t xml:space="preserve">Please </w:t>
      </w:r>
      <w:r w:rsidRPr="000B7836">
        <w:rPr>
          <w:b/>
          <w:color w:val="FF0000" w:themeColor="accent4"/>
        </w:rPr>
        <w:t>DO NOT</w:t>
      </w:r>
      <w:r w:rsidRPr="000B7836">
        <w:t xml:space="preserve"> use this form</w:t>
      </w:r>
      <w:r>
        <w:t xml:space="preserve"> for submitting comments</w:t>
      </w:r>
      <w:r w:rsidR="00B26F31">
        <w:t xml:space="preserve">. </w:t>
      </w:r>
      <w:r w:rsidRPr="000B7836">
        <w:t xml:space="preserve">Please use the </w:t>
      </w:r>
      <w:hyperlink r:id="rId11" w:history="1">
        <w:r w:rsidRPr="003021AF">
          <w:rPr>
            <w:rStyle w:val="Hyperlink"/>
          </w:rPr>
          <w:t>electronic form</w:t>
        </w:r>
      </w:hyperlink>
      <w:r w:rsidRPr="003021AF">
        <w:t xml:space="preserve"> [insert hyperlink to electronic form]</w:t>
      </w:r>
      <w:r w:rsidRPr="000B7836">
        <w:t xml:space="preserve"> located at the link below to submit comments on the </w:t>
      </w:r>
      <w:r w:rsidR="006D722C">
        <w:t>Standard</w:t>
      </w:r>
      <w:r w:rsidR="00B26F31">
        <w:t xml:space="preserve">. </w:t>
      </w:r>
      <w:r w:rsidRPr="000B7836">
        <w:t>The electronic comment form must be completed by</w:t>
      </w:r>
      <w:r w:rsidR="003021AF">
        <w:t xml:space="preserve"> May 24, 2013</w:t>
      </w:r>
      <w:r w:rsidR="00776F75">
        <w:t>.</w:t>
      </w:r>
      <w:r w:rsidR="00C61F43">
        <w:t xml:space="preserve"> </w:t>
      </w:r>
      <w:r w:rsidRPr="000B7836">
        <w:t xml:space="preserve">If you have questions please contact </w:t>
      </w:r>
      <w:r w:rsidR="0097456C">
        <w:t xml:space="preserve">Scott Barfield-McGinnis at </w:t>
      </w:r>
      <w:hyperlink r:id="rId12" w:history="1">
        <w:r w:rsidR="0097456C" w:rsidRPr="00C614C8">
          <w:rPr>
            <w:rStyle w:val="Hyperlink"/>
          </w:rPr>
          <w:t>Scott.Barfield@nerc.net</w:t>
        </w:r>
      </w:hyperlink>
      <w:r w:rsidR="0097456C">
        <w:t xml:space="preserve"> </w:t>
      </w:r>
      <w:r w:rsidRPr="000B7836">
        <w:t xml:space="preserve">or by telephone at </w:t>
      </w:r>
      <w:r w:rsidR="00B336A7">
        <w:t>(</w:t>
      </w:r>
      <w:r w:rsidRPr="000B7836">
        <w:t>404</w:t>
      </w:r>
      <w:r w:rsidR="00B336A7">
        <w:t xml:space="preserve">) </w:t>
      </w:r>
      <w:r w:rsidRPr="000B7836">
        <w:t>446-</w:t>
      </w:r>
      <w:r w:rsidR="0097456C">
        <w:t>9689</w:t>
      </w:r>
      <w:r w:rsidRPr="000B7836">
        <w:t>.</w:t>
      </w:r>
    </w:p>
    <w:p w:rsidR="00776F75" w:rsidRDefault="00776F75" w:rsidP="00BC0E72">
      <w:pPr>
        <w:spacing w:before="0" w:after="0" w:line="240" w:lineRule="auto"/>
        <w:rPr>
          <w:rFonts w:ascii="Times New Roman" w:eastAsia="Times New Roman" w:hAnsi="Times New Roman" w:cs="Times New Roman"/>
          <w:szCs w:val="24"/>
          <w:lang w:bidi="ar-SA"/>
        </w:rPr>
      </w:pPr>
    </w:p>
    <w:p w:rsidR="0097456C" w:rsidRDefault="00EE4DF1" w:rsidP="00BC0E72">
      <w:pPr>
        <w:spacing w:before="0" w:after="0" w:line="240" w:lineRule="auto"/>
        <w:jc w:val="center"/>
        <w:rPr>
          <w:b/>
          <w:bCs/>
        </w:rPr>
      </w:pPr>
      <w:hyperlink r:id="rId13" w:history="1">
        <w:r w:rsidR="0097456C" w:rsidRPr="00C614C8">
          <w:rPr>
            <w:rStyle w:val="Hyperlink"/>
          </w:rPr>
          <w:t>http://www.nerc.com/filez/standards/Project_2010-13.2_Summary_Table.html</w:t>
        </w:r>
      </w:hyperlink>
    </w:p>
    <w:p w:rsidR="00BC0E72" w:rsidRDefault="00BC0E72" w:rsidP="00BC0E72">
      <w:pPr>
        <w:pStyle w:val="Heading"/>
        <w:spacing w:before="0" w:after="0" w:line="240" w:lineRule="auto"/>
      </w:pPr>
    </w:p>
    <w:p w:rsidR="000B7836" w:rsidRPr="007F0B4C" w:rsidRDefault="000B7836" w:rsidP="00BC0E72">
      <w:pPr>
        <w:pStyle w:val="Heading"/>
        <w:spacing w:before="0" w:after="0" w:line="240" w:lineRule="auto"/>
      </w:pPr>
      <w:r w:rsidRPr="007F0B4C">
        <w:t xml:space="preserve">Background Information </w:t>
      </w:r>
    </w:p>
    <w:p w:rsidR="000B7836" w:rsidRDefault="000B7836" w:rsidP="00BC0E72">
      <w:pPr>
        <w:spacing w:before="0" w:after="0" w:line="240" w:lineRule="auto"/>
      </w:pPr>
      <w:r w:rsidRPr="000B7836">
        <w:t xml:space="preserve">This posting is soliciting </w:t>
      </w:r>
      <w:r w:rsidR="003C0B1A">
        <w:t xml:space="preserve">formal comments in a </w:t>
      </w:r>
      <w:r w:rsidR="00884F34">
        <w:t>30</w:t>
      </w:r>
      <w:r w:rsidR="003C0B1A">
        <w:t xml:space="preserve">-day </w:t>
      </w:r>
      <w:r w:rsidR="004379DB">
        <w:t xml:space="preserve">formal </w:t>
      </w:r>
      <w:r w:rsidR="003C0B1A">
        <w:t>comment period.</w:t>
      </w:r>
    </w:p>
    <w:p w:rsidR="00776F75" w:rsidRDefault="00776F75" w:rsidP="00BC0E72">
      <w:pPr>
        <w:spacing w:before="0" w:after="0" w:line="240" w:lineRule="auto"/>
      </w:pPr>
    </w:p>
    <w:p w:rsidR="005D6722" w:rsidRDefault="005D6722" w:rsidP="00BC0E72">
      <w:pPr>
        <w:spacing w:before="0" w:after="0" w:line="240" w:lineRule="auto"/>
        <w:rPr>
          <w:rFonts w:cs="Arial"/>
        </w:rPr>
      </w:pPr>
      <w:r w:rsidRPr="00732F9F">
        <w:rPr>
          <w:rFonts w:cs="Arial"/>
        </w:rPr>
        <w:t xml:space="preserve">The Standard Authorization Request (SAR) for this project was initiated on </w:t>
      </w:r>
      <w:r>
        <w:rPr>
          <w:rFonts w:cs="Arial"/>
        </w:rPr>
        <w:t>August 5, 2010</w:t>
      </w:r>
      <w:r w:rsidRPr="00732F9F">
        <w:rPr>
          <w:rFonts w:cs="Arial"/>
        </w:rPr>
        <w:t xml:space="preserve"> and approved by the Standards Committee </w:t>
      </w:r>
      <w:r w:rsidR="00782923">
        <w:rPr>
          <w:rFonts w:cs="Arial"/>
        </w:rPr>
        <w:t xml:space="preserve">(SC) </w:t>
      </w:r>
      <w:r w:rsidRPr="00732F9F">
        <w:rPr>
          <w:rFonts w:cs="Arial"/>
        </w:rPr>
        <w:t xml:space="preserve">on </w:t>
      </w:r>
      <w:r>
        <w:rPr>
          <w:rFonts w:cs="Arial"/>
        </w:rPr>
        <w:t>August</w:t>
      </w:r>
      <w:r w:rsidRPr="00732F9F">
        <w:rPr>
          <w:rFonts w:cs="Arial"/>
        </w:rPr>
        <w:t xml:space="preserve"> </w:t>
      </w:r>
      <w:r>
        <w:rPr>
          <w:rFonts w:cs="Arial"/>
        </w:rPr>
        <w:t>12</w:t>
      </w:r>
      <w:r w:rsidRPr="00732F9F">
        <w:rPr>
          <w:rFonts w:cs="Arial"/>
        </w:rPr>
        <w:t>, 20</w:t>
      </w:r>
      <w:r>
        <w:rPr>
          <w:rFonts w:cs="Arial"/>
        </w:rPr>
        <w:t>10</w:t>
      </w:r>
      <w:r w:rsidR="00B26F31">
        <w:rPr>
          <w:rFonts w:cs="Arial"/>
        </w:rPr>
        <w:t xml:space="preserve">. </w:t>
      </w:r>
      <w:r w:rsidRPr="00732F9F">
        <w:rPr>
          <w:rFonts w:cs="Arial"/>
        </w:rPr>
        <w:t xml:space="preserve">It established the scope of work </w:t>
      </w:r>
      <w:r w:rsidR="004C2877">
        <w:rPr>
          <w:rFonts w:cs="Arial"/>
        </w:rPr>
        <w:t xml:space="preserve">for </w:t>
      </w:r>
      <w:r w:rsidR="004C2877" w:rsidRPr="00732F9F">
        <w:rPr>
          <w:rFonts w:cs="Arial"/>
        </w:rPr>
        <w:t>Project 20</w:t>
      </w:r>
      <w:r w:rsidR="004C2877">
        <w:rPr>
          <w:rFonts w:cs="Arial"/>
        </w:rPr>
        <w:t>10</w:t>
      </w:r>
      <w:r w:rsidR="004C2877" w:rsidRPr="00732F9F">
        <w:rPr>
          <w:rFonts w:cs="Arial"/>
        </w:rPr>
        <w:t>-</w:t>
      </w:r>
      <w:r w:rsidR="004C2877">
        <w:rPr>
          <w:rFonts w:cs="Arial"/>
        </w:rPr>
        <w:t>13.2</w:t>
      </w:r>
      <w:r w:rsidR="004C2877" w:rsidRPr="00732F9F">
        <w:rPr>
          <w:rFonts w:cs="Arial"/>
        </w:rPr>
        <w:t xml:space="preserve"> </w:t>
      </w:r>
      <w:r w:rsidRPr="00732F9F">
        <w:rPr>
          <w:rFonts w:cs="Arial"/>
        </w:rPr>
        <w:t xml:space="preserve">for </w:t>
      </w:r>
      <w:r w:rsidR="004C2877">
        <w:rPr>
          <w:rFonts w:cs="Arial"/>
        </w:rPr>
        <w:t>what is the second phase of Order 733, Transmission Relay Loadability Reliability Standard.</w:t>
      </w:r>
      <w:r w:rsidR="004C2877">
        <w:rPr>
          <w:rStyle w:val="FootnoteReference"/>
          <w:rFonts w:cs="Arial"/>
        </w:rPr>
        <w:footnoteReference w:id="1"/>
      </w:r>
      <w:r w:rsidR="004C2877">
        <w:rPr>
          <w:rFonts w:cs="Arial"/>
        </w:rPr>
        <w:t xml:space="preserve">   Phase I resulted in the NERC Reliability </w:t>
      </w:r>
      <w:r w:rsidR="00827D52">
        <w:rPr>
          <w:rFonts w:cs="Arial"/>
        </w:rPr>
        <w:t>S</w:t>
      </w:r>
      <w:r w:rsidR="004C2877">
        <w:rPr>
          <w:rFonts w:cs="Arial"/>
        </w:rPr>
        <w:t xml:space="preserve">tandard PRC-023-1 and Phase II </w:t>
      </w:r>
      <w:r w:rsidR="00827D52">
        <w:rPr>
          <w:rFonts w:cs="Arial"/>
        </w:rPr>
        <w:t xml:space="preserve">concerning this project </w:t>
      </w:r>
      <w:r w:rsidR="004C2877">
        <w:rPr>
          <w:rFonts w:cs="Arial"/>
        </w:rPr>
        <w:t xml:space="preserve">specifically addresses </w:t>
      </w:r>
      <w:r w:rsidR="004379DB">
        <w:rPr>
          <w:rFonts w:cs="Arial"/>
        </w:rPr>
        <w:t xml:space="preserve">protecting the generator, </w:t>
      </w:r>
      <w:r w:rsidR="004C2877">
        <w:rPr>
          <w:rFonts w:cs="Arial"/>
        </w:rPr>
        <w:t>generator step-up</w:t>
      </w:r>
      <w:r w:rsidR="004379DB">
        <w:rPr>
          <w:rFonts w:cs="Arial"/>
        </w:rPr>
        <w:t xml:space="preserve"> (GSU) transformer,</w:t>
      </w:r>
      <w:r w:rsidR="004C2877">
        <w:rPr>
          <w:rFonts w:cs="Arial"/>
        </w:rPr>
        <w:t xml:space="preserve"> and </w:t>
      </w:r>
      <w:r w:rsidR="004379DB">
        <w:rPr>
          <w:rFonts w:cs="Arial"/>
        </w:rPr>
        <w:t xml:space="preserve">unit </w:t>
      </w:r>
      <w:r w:rsidR="004C2877">
        <w:rPr>
          <w:rFonts w:cs="Arial"/>
        </w:rPr>
        <w:t>auxiliary transformers</w:t>
      </w:r>
      <w:r w:rsidR="004379DB">
        <w:rPr>
          <w:rFonts w:cs="Arial"/>
        </w:rPr>
        <w:t xml:space="preserve"> (UAT)</w:t>
      </w:r>
      <w:r w:rsidR="004C2877">
        <w:rPr>
          <w:rFonts w:cs="Arial"/>
        </w:rPr>
        <w:t xml:space="preserve"> in </w:t>
      </w:r>
      <w:r w:rsidR="00827D52">
        <w:rPr>
          <w:rFonts w:cs="Arial"/>
        </w:rPr>
        <w:t>the proposed</w:t>
      </w:r>
      <w:r w:rsidR="004C2877">
        <w:rPr>
          <w:rFonts w:cs="Arial"/>
        </w:rPr>
        <w:t xml:space="preserve"> new standard, PRC-025-1</w:t>
      </w:r>
      <w:r w:rsidR="00B26F31">
        <w:rPr>
          <w:rFonts w:cs="Arial"/>
        </w:rPr>
        <w:t xml:space="preserve">. </w:t>
      </w:r>
      <w:r w:rsidR="00782923">
        <w:rPr>
          <w:rFonts w:cs="Arial"/>
        </w:rPr>
        <w:t>The SC moved this project into active development on March 8, 2012.</w:t>
      </w:r>
    </w:p>
    <w:p w:rsidR="00776F75" w:rsidRDefault="00776F75" w:rsidP="00BC0E72">
      <w:pPr>
        <w:spacing w:before="0" w:after="0" w:line="240" w:lineRule="auto"/>
        <w:rPr>
          <w:rFonts w:cs="Arial"/>
        </w:rPr>
      </w:pPr>
    </w:p>
    <w:p w:rsidR="004379DB" w:rsidRDefault="003C0B1A" w:rsidP="00BC0E72">
      <w:pPr>
        <w:spacing w:before="0" w:after="0" w:line="240" w:lineRule="auto"/>
      </w:pPr>
      <w:r>
        <w:t>During analysis of many of the major disturbances in the last 25 years on the North American interconnected power system, generators have been found to have tripped for conditions that did not apparently pose a direct risk to those generators and associated equipment within the time period where the tripping occurred</w:t>
      </w:r>
      <w:r w:rsidR="00B26F31">
        <w:t xml:space="preserve">. </w:t>
      </w:r>
      <w:r>
        <w:t>This unnecessary tripping has often been evaluated to have extended the scope and/or duration of that disturbance</w:t>
      </w:r>
      <w:r w:rsidR="00B26F31">
        <w:t xml:space="preserve">. </w:t>
      </w:r>
      <w:r>
        <w:t>This was noted, in detail, to be a serious issue in the August 2003 “blackout’ in the northeastern North American continent.</w:t>
      </w:r>
    </w:p>
    <w:p w:rsidR="004379DB" w:rsidRDefault="004379DB" w:rsidP="00BC0E72">
      <w:pPr>
        <w:spacing w:before="0" w:after="0" w:line="240" w:lineRule="auto"/>
      </w:pPr>
    </w:p>
    <w:p w:rsidR="00776F75" w:rsidRDefault="003C0B1A" w:rsidP="00BC0E72">
      <w:pPr>
        <w:spacing w:before="0" w:after="0" w:line="240" w:lineRule="auto"/>
      </w:pPr>
      <w:r>
        <w:t>During the recoverable phase of a disturbance, the disturbance may exhibit a “voltage disturbance” behavior pattern, where system voltage is widely depressed</w:t>
      </w:r>
      <w:r w:rsidR="00B26F31">
        <w:t xml:space="preserve">. </w:t>
      </w:r>
      <w:r>
        <w:t>In order to support the system during this phase of a disturbance, this standard establishes criteria for setting load-responsive relays such that individual generators may provide Reactive Power within their dynamic capability during transient time periods to help the system recover from that voltage disturbance.</w:t>
      </w:r>
      <w:r w:rsidR="004379DB">
        <w:t xml:space="preserve"> </w:t>
      </w:r>
      <w:r w:rsidR="004379DB" w:rsidRPr="004379DB">
        <w:t>The premature or unnecessary tripping of generators resulting in the removal of dynamic Reactive Power exacerbates the severity of the voltage disturbance, and as a result changes the character of the system disturbance. In addition, the loss of Real Power could initiate or exacerbate a frequency disturbance.</w:t>
      </w:r>
    </w:p>
    <w:p w:rsidR="004379DB" w:rsidRDefault="004379DB" w:rsidP="00BC0E72">
      <w:pPr>
        <w:spacing w:before="0" w:after="0" w:line="240" w:lineRule="auto"/>
      </w:pPr>
    </w:p>
    <w:p w:rsidR="00827D52" w:rsidRDefault="003C0B1A" w:rsidP="00BC0E72">
      <w:pPr>
        <w:spacing w:before="0" w:after="0" w:line="240" w:lineRule="auto"/>
      </w:pPr>
      <w:r>
        <w:t>The Standa</w:t>
      </w:r>
      <w:r w:rsidR="00067B0B">
        <w:t xml:space="preserve">rd Drafting Team has developed </w:t>
      </w:r>
      <w:r>
        <w:t xml:space="preserve">draft </w:t>
      </w:r>
      <w:r w:rsidR="00AF67ED">
        <w:t xml:space="preserve">three </w:t>
      </w:r>
      <w:r>
        <w:t xml:space="preserve">of </w:t>
      </w:r>
      <w:r w:rsidR="00067B0B">
        <w:t>the</w:t>
      </w:r>
      <w:r>
        <w:t xml:space="preserve"> standard to provide requirements that address these concerns, and is presenting this draft to industry for a formal comment period to get industry comments to aid in further development.</w:t>
      </w:r>
    </w:p>
    <w:p w:rsidR="00B26F31" w:rsidRPr="00B26F31" w:rsidRDefault="00B26F31" w:rsidP="00BC0E72">
      <w:pPr>
        <w:spacing w:before="0" w:after="0" w:line="240" w:lineRule="auto"/>
        <w:rPr>
          <w:rFonts w:eastAsia="Times New Roman" w:cs="Arial"/>
          <w:bCs/>
          <w:szCs w:val="24"/>
          <w:lang w:bidi="ar-SA"/>
        </w:rPr>
      </w:pPr>
    </w:p>
    <w:p w:rsidR="00B26F31" w:rsidRPr="007F0B4C" w:rsidRDefault="00B26F31" w:rsidP="00B26F31">
      <w:pPr>
        <w:pStyle w:val="Heading"/>
        <w:spacing w:before="0" w:after="0" w:line="240" w:lineRule="auto"/>
      </w:pPr>
      <w:r>
        <w:t>Summary of changes</w:t>
      </w:r>
    </w:p>
    <w:p w:rsidR="00B26F31" w:rsidRDefault="00B26F31" w:rsidP="00B26F31">
      <w:pPr>
        <w:spacing w:before="0" w:after="0" w:line="240" w:lineRule="auto"/>
      </w:pPr>
      <w:r>
        <w:t xml:space="preserve">The generator relay loadability standard drafting team (“SDT”) has revised the </w:t>
      </w:r>
      <w:r w:rsidR="00884F34">
        <w:t xml:space="preserve">proposed the </w:t>
      </w:r>
      <w:r>
        <w:t>draft</w:t>
      </w:r>
      <w:r w:rsidR="00884F34">
        <w:t xml:space="preserve"> of PRC-023-3 – Transmission Relay Loadability </w:t>
      </w:r>
      <w:r>
        <w:t xml:space="preserve">based on stakeholder comments received during the </w:t>
      </w:r>
      <w:r w:rsidR="00884F34">
        <w:t>Standard Authorization Request (SAR) 45</w:t>
      </w:r>
      <w:r>
        <w:t xml:space="preserve">-day </w:t>
      </w:r>
      <w:r w:rsidR="00884F34">
        <w:t xml:space="preserve">formal </w:t>
      </w:r>
      <w:r>
        <w:t xml:space="preserve">posting of the </w:t>
      </w:r>
      <w:r w:rsidR="00884F34">
        <w:t xml:space="preserve">SAR </w:t>
      </w:r>
      <w:r w:rsidR="00603286">
        <w:t>which included</w:t>
      </w:r>
      <w:r w:rsidR="00884F34">
        <w:t xml:space="preserve"> a redline to the PRC-023-2 </w:t>
      </w:r>
      <w:r>
        <w:t xml:space="preserve">standard. </w:t>
      </w:r>
      <w:r w:rsidR="00884F34">
        <w:t xml:space="preserve">The SAR was not modified by the </w:t>
      </w:r>
      <w:r w:rsidR="00603286">
        <w:t>standard drafting team</w:t>
      </w:r>
      <w:r w:rsidR="00884F34">
        <w:t xml:space="preserve">. Contemporaneously with the SAR posting, the SDT has revised the proposed draft of PRC-025-1 – Generator Relay Loadability during its 45-day formal comment posting of the standard and initial ballot which received 54.65% stakeholder approval. </w:t>
      </w:r>
      <w:r>
        <w:t xml:space="preserve">The following narrative is a summary of the significant improvements made to the </w:t>
      </w:r>
      <w:r w:rsidR="00884F34">
        <w:t xml:space="preserve">above </w:t>
      </w:r>
      <w:r>
        <w:t>standard</w:t>
      </w:r>
      <w:r w:rsidR="00884F34">
        <w:t>s</w:t>
      </w:r>
      <w:r>
        <w:t>.</w:t>
      </w:r>
    </w:p>
    <w:p w:rsidR="005D7C81" w:rsidRDefault="005D7C81" w:rsidP="00B26F31">
      <w:pPr>
        <w:spacing w:before="0" w:after="0" w:line="240" w:lineRule="auto"/>
      </w:pPr>
    </w:p>
    <w:p w:rsidR="00A63197" w:rsidRDefault="0059398D">
      <w:pPr>
        <w:keepNext/>
        <w:spacing w:before="0" w:after="0" w:line="240" w:lineRule="auto"/>
        <w:rPr>
          <w:rFonts w:ascii="Tahoma" w:hAnsi="Tahoma"/>
          <w:b/>
          <w:bCs/>
          <w:sz w:val="22"/>
        </w:rPr>
      </w:pPr>
      <w:r>
        <w:rPr>
          <w:rFonts w:ascii="Tahoma" w:hAnsi="Tahoma"/>
          <w:b/>
          <w:bCs/>
          <w:sz w:val="22"/>
        </w:rPr>
        <w:t>Standard (PRC-023-3)</w:t>
      </w:r>
    </w:p>
    <w:p w:rsidR="00A63197" w:rsidRDefault="000A423B">
      <w:pPr>
        <w:pStyle w:val="ListParagraph"/>
        <w:keepNext/>
        <w:numPr>
          <w:ilvl w:val="0"/>
          <w:numId w:val="18"/>
        </w:numPr>
        <w:spacing w:before="0" w:after="0" w:line="240" w:lineRule="auto"/>
        <w:ind w:left="540"/>
      </w:pPr>
      <w:r>
        <w:rPr>
          <w:rFonts w:ascii="Calibri" w:hAnsi="Calibri"/>
        </w:rPr>
        <w:t>Applicability</w:t>
      </w:r>
    </w:p>
    <w:p w:rsidR="00A63197" w:rsidRDefault="0059398D">
      <w:pPr>
        <w:pStyle w:val="ListParagraph"/>
        <w:numPr>
          <w:ilvl w:val="1"/>
          <w:numId w:val="18"/>
        </w:numPr>
        <w:spacing w:before="0" w:after="0" w:line="240" w:lineRule="auto"/>
        <w:ind w:left="900"/>
      </w:pPr>
      <w:r>
        <w:t>The phase “at the terminal of the” was inserted in for each applicable entity of the standard</w:t>
      </w:r>
      <w:r w:rsidR="000E1BE5">
        <w:t xml:space="preserve"> to create a bright light between the proposed PRC-023-3 and PRC-025-1 standards</w:t>
      </w:r>
    </w:p>
    <w:p w:rsidR="00A63197" w:rsidRDefault="000E1BE5">
      <w:pPr>
        <w:pStyle w:val="ListParagraph"/>
        <w:numPr>
          <w:ilvl w:val="1"/>
          <w:numId w:val="18"/>
        </w:numPr>
        <w:spacing w:before="0" w:after="0" w:line="240" w:lineRule="auto"/>
        <w:ind w:left="900"/>
      </w:pPr>
      <w:r>
        <w:t>References to the two new Requirements (R7 and R8) was inserted for the applicable Distribution Provider and Transmission Owner</w:t>
      </w:r>
    </w:p>
    <w:p w:rsidR="000E1BE5" w:rsidRDefault="000E1BE5" w:rsidP="000E1BE5">
      <w:pPr>
        <w:pStyle w:val="ListParagraph"/>
        <w:numPr>
          <w:ilvl w:val="1"/>
          <w:numId w:val="18"/>
        </w:numPr>
        <w:spacing w:before="0" w:after="0" w:line="240" w:lineRule="auto"/>
        <w:ind w:left="900"/>
      </w:pPr>
      <w:r>
        <w:t>References to the two new Applicability for Circuits (4.2.3 and 4.24) were inserted</w:t>
      </w:r>
      <w:r w:rsidRPr="000E1BE5">
        <w:t xml:space="preserve"> </w:t>
      </w:r>
      <w:r>
        <w:t>for the applicable Distribution Provider and Transmission Owner</w:t>
      </w:r>
    </w:p>
    <w:p w:rsidR="00A63197" w:rsidRDefault="00BB5074">
      <w:pPr>
        <w:pStyle w:val="ListParagraph"/>
        <w:numPr>
          <w:ilvl w:val="1"/>
          <w:numId w:val="18"/>
        </w:numPr>
        <w:spacing w:before="0" w:after="0" w:line="240" w:lineRule="auto"/>
        <w:ind w:left="900"/>
      </w:pPr>
      <w:r>
        <w:t>Applicability 4.2.3 – Circuits Subject to Requirement R7 was added to create a bright line between the proposed PRC-023-3 and PRC-025-1 standards for the Distribution Provider and Transmission Owner regarding generator interconnection Facilities</w:t>
      </w:r>
    </w:p>
    <w:p w:rsidR="00A63197" w:rsidRDefault="00BB5074">
      <w:pPr>
        <w:pStyle w:val="ListParagraph"/>
        <w:numPr>
          <w:ilvl w:val="1"/>
          <w:numId w:val="18"/>
        </w:numPr>
        <w:spacing w:before="0" w:after="0" w:line="240" w:lineRule="auto"/>
        <w:ind w:left="900"/>
      </w:pPr>
      <w:r>
        <w:t>Applicability 4.2.4 – Circuits Subject to Requirement R8 was added to create a bright line between the proposed PRC-023-3 and PRC-025-1 standards for the Distribution Provider and Transmission Owner regarding generator step-up (GSU) transformers</w:t>
      </w:r>
    </w:p>
    <w:p w:rsidR="00A63197" w:rsidRDefault="00693BF4">
      <w:pPr>
        <w:pStyle w:val="ListParagraph"/>
        <w:keepNext/>
        <w:numPr>
          <w:ilvl w:val="0"/>
          <w:numId w:val="18"/>
        </w:numPr>
        <w:spacing w:before="0" w:after="0" w:line="240" w:lineRule="auto"/>
        <w:ind w:left="547"/>
      </w:pPr>
      <w:r>
        <w:rPr>
          <w:rFonts w:ascii="Calibri" w:hAnsi="Calibri"/>
        </w:rPr>
        <w:t>Requirements</w:t>
      </w:r>
    </w:p>
    <w:p w:rsidR="00A63197" w:rsidRDefault="00693BF4">
      <w:pPr>
        <w:pStyle w:val="ListParagraph"/>
        <w:numPr>
          <w:ilvl w:val="1"/>
          <w:numId w:val="18"/>
        </w:numPr>
        <w:spacing w:before="0" w:after="0" w:line="240" w:lineRule="auto"/>
        <w:ind w:left="900"/>
      </w:pPr>
      <w:r>
        <w:t>Requirement R1, Criterion 6 was removed and replaced by two new proposed Requirements R7 and R8</w:t>
      </w:r>
    </w:p>
    <w:p w:rsidR="00693BF4" w:rsidRPr="00BB5074" w:rsidRDefault="00693BF4" w:rsidP="00693BF4">
      <w:pPr>
        <w:pStyle w:val="ListParagraph"/>
        <w:numPr>
          <w:ilvl w:val="1"/>
          <w:numId w:val="18"/>
        </w:numPr>
        <w:spacing w:before="0" w:after="0" w:line="240" w:lineRule="auto"/>
        <w:ind w:left="900"/>
      </w:pPr>
      <w:r>
        <w:t>New Requirement R7 applicable to the Distribution Provider and Transmission Owner regarding generator interconnection Facilities to create a bright line between the proposed PRC-023-3 and PRC-025-1</w:t>
      </w:r>
      <w:r w:rsidRPr="00693BF4">
        <w:t xml:space="preserve"> </w:t>
      </w:r>
      <w:r>
        <w:t>in applying settings to load-responsive protective relay for loadability</w:t>
      </w:r>
    </w:p>
    <w:p w:rsidR="00693BF4" w:rsidRDefault="00693BF4" w:rsidP="00693BF4">
      <w:pPr>
        <w:pStyle w:val="ListParagraph"/>
        <w:numPr>
          <w:ilvl w:val="1"/>
          <w:numId w:val="18"/>
        </w:numPr>
        <w:spacing w:before="0" w:after="0" w:line="240" w:lineRule="auto"/>
        <w:ind w:left="900"/>
      </w:pPr>
      <w:r>
        <w:t xml:space="preserve">New Requirement R8 applicable to the Distribution Provider and Transmission Owner regarding generator step-up (GSU) transformer to create a bright line between the proposed PRC-023-3 and PRC-025-1 in applying settings to load-responsive protective relay for </w:t>
      </w:r>
      <w:proofErr w:type="spellStart"/>
      <w:r>
        <w:t>loadability</w:t>
      </w:r>
      <w:proofErr w:type="spellEnd"/>
    </w:p>
    <w:p w:rsidR="0022545F" w:rsidRPr="00BB5074" w:rsidRDefault="0022545F" w:rsidP="003021AF">
      <w:pPr>
        <w:spacing w:before="0" w:after="0" w:line="240" w:lineRule="auto"/>
        <w:ind w:left="540"/>
      </w:pPr>
    </w:p>
    <w:p w:rsidR="00A63197" w:rsidRDefault="008378D0">
      <w:pPr>
        <w:pStyle w:val="ListParagraph"/>
        <w:keepNext/>
        <w:numPr>
          <w:ilvl w:val="0"/>
          <w:numId w:val="18"/>
        </w:numPr>
        <w:spacing w:before="0" w:after="0" w:line="240" w:lineRule="auto"/>
        <w:ind w:left="547"/>
      </w:pPr>
      <w:r>
        <w:rPr>
          <w:rFonts w:ascii="Calibri" w:hAnsi="Calibri"/>
        </w:rPr>
        <w:t>Measures</w:t>
      </w:r>
    </w:p>
    <w:p w:rsidR="008378D0" w:rsidRDefault="008378D0" w:rsidP="008378D0">
      <w:pPr>
        <w:pStyle w:val="ListParagraph"/>
        <w:numPr>
          <w:ilvl w:val="1"/>
          <w:numId w:val="18"/>
        </w:numPr>
        <w:spacing w:before="0" w:after="0" w:line="240" w:lineRule="auto"/>
        <w:ind w:left="900"/>
      </w:pPr>
      <w:r>
        <w:t>New Measure M7 was inserted to correspond to the new Requirement R7</w:t>
      </w:r>
    </w:p>
    <w:p w:rsidR="008378D0" w:rsidRDefault="008378D0" w:rsidP="008378D0">
      <w:pPr>
        <w:pStyle w:val="ListParagraph"/>
        <w:numPr>
          <w:ilvl w:val="1"/>
          <w:numId w:val="18"/>
        </w:numPr>
        <w:spacing w:before="0" w:after="0" w:line="240" w:lineRule="auto"/>
        <w:ind w:left="900"/>
      </w:pPr>
      <w:r>
        <w:t>New Measure M8 was inserted to correspond to the new Requirement R8</w:t>
      </w:r>
    </w:p>
    <w:p w:rsidR="008378D0" w:rsidRPr="00BB5074" w:rsidRDefault="008378D0" w:rsidP="003021AF">
      <w:pPr>
        <w:spacing w:before="0" w:after="0" w:line="240" w:lineRule="auto"/>
        <w:ind w:left="540"/>
      </w:pPr>
    </w:p>
    <w:p w:rsidR="00A63197" w:rsidRDefault="008378D0">
      <w:pPr>
        <w:pStyle w:val="ListParagraph"/>
        <w:keepNext/>
        <w:numPr>
          <w:ilvl w:val="0"/>
          <w:numId w:val="18"/>
        </w:numPr>
        <w:spacing w:before="0" w:after="0" w:line="240" w:lineRule="auto"/>
        <w:ind w:left="547"/>
      </w:pPr>
      <w:r>
        <w:rPr>
          <w:rFonts w:ascii="Calibri" w:hAnsi="Calibri"/>
        </w:rPr>
        <w:t>Compliance</w:t>
      </w:r>
    </w:p>
    <w:p w:rsidR="00A63197" w:rsidRDefault="008378D0">
      <w:pPr>
        <w:pStyle w:val="ListParagraph"/>
        <w:numPr>
          <w:ilvl w:val="1"/>
          <w:numId w:val="18"/>
        </w:numPr>
        <w:spacing w:before="0" w:after="0" w:line="240" w:lineRule="auto"/>
        <w:ind w:left="900"/>
      </w:pPr>
      <w:r>
        <w:t>The Compliance Monitoring Responsibility section text was updated to current NERC Reliability Standards language</w:t>
      </w:r>
    </w:p>
    <w:p w:rsidR="00A63197" w:rsidRDefault="008378D0">
      <w:pPr>
        <w:pStyle w:val="ListParagraph"/>
        <w:numPr>
          <w:ilvl w:val="1"/>
          <w:numId w:val="18"/>
        </w:numPr>
        <w:spacing w:before="0" w:after="0" w:line="240" w:lineRule="auto"/>
        <w:ind w:left="900"/>
      </w:pPr>
      <w:r>
        <w:t>Requirements R7 and R8 were added to the Data Retention section</w:t>
      </w:r>
    </w:p>
    <w:p w:rsidR="008378D0" w:rsidRDefault="008378D0" w:rsidP="008378D0">
      <w:pPr>
        <w:pStyle w:val="ListParagraph"/>
        <w:numPr>
          <w:ilvl w:val="1"/>
          <w:numId w:val="18"/>
        </w:numPr>
        <w:spacing w:before="0" w:after="0" w:line="240" w:lineRule="auto"/>
        <w:ind w:left="900"/>
      </w:pPr>
      <w:r>
        <w:t xml:space="preserve">The reference to “Compliance Monitor” was updated to the </w:t>
      </w:r>
      <w:r w:rsidR="006B1AA7">
        <w:t xml:space="preserve">more </w:t>
      </w:r>
      <w:r>
        <w:t>correct term, “Compliance Enforcement Authority”</w:t>
      </w:r>
    </w:p>
    <w:p w:rsidR="0022545F" w:rsidRPr="00BB5074" w:rsidRDefault="0022545F" w:rsidP="003021AF">
      <w:pPr>
        <w:spacing w:before="0" w:after="0" w:line="240" w:lineRule="auto"/>
        <w:ind w:left="540"/>
      </w:pPr>
    </w:p>
    <w:p w:rsidR="00A63197" w:rsidRDefault="00983474">
      <w:pPr>
        <w:pStyle w:val="ListParagraph"/>
        <w:keepNext/>
        <w:numPr>
          <w:ilvl w:val="0"/>
          <w:numId w:val="18"/>
        </w:numPr>
        <w:spacing w:before="0" w:after="0" w:line="240" w:lineRule="auto"/>
        <w:ind w:left="547"/>
      </w:pPr>
      <w:r>
        <w:rPr>
          <w:rFonts w:ascii="Calibri" w:hAnsi="Calibri"/>
        </w:rPr>
        <w:t>Violation Severity Levels</w:t>
      </w:r>
    </w:p>
    <w:p w:rsidR="008378D0" w:rsidRDefault="00983474" w:rsidP="008378D0">
      <w:pPr>
        <w:pStyle w:val="ListParagraph"/>
        <w:numPr>
          <w:ilvl w:val="1"/>
          <w:numId w:val="18"/>
        </w:numPr>
        <w:spacing w:before="0" w:after="0" w:line="240" w:lineRule="auto"/>
        <w:ind w:left="900"/>
      </w:pPr>
      <w:r>
        <w:t xml:space="preserve">New VSL was inserted for </w:t>
      </w:r>
      <w:r w:rsidR="008378D0">
        <w:t>Requirement R7</w:t>
      </w:r>
    </w:p>
    <w:p w:rsidR="00983474" w:rsidRDefault="00983474" w:rsidP="00983474">
      <w:pPr>
        <w:pStyle w:val="ListParagraph"/>
        <w:numPr>
          <w:ilvl w:val="1"/>
          <w:numId w:val="18"/>
        </w:numPr>
        <w:spacing w:before="0" w:after="0" w:line="240" w:lineRule="auto"/>
        <w:ind w:left="900"/>
      </w:pPr>
      <w:r>
        <w:t>New VSL was inserted for Requirement R8</w:t>
      </w:r>
    </w:p>
    <w:p w:rsidR="008378D0" w:rsidRDefault="00983474" w:rsidP="008378D0">
      <w:pPr>
        <w:pStyle w:val="ListParagraph"/>
        <w:numPr>
          <w:ilvl w:val="1"/>
          <w:numId w:val="18"/>
        </w:numPr>
        <w:spacing w:before="0" w:after="0" w:line="240" w:lineRule="auto"/>
        <w:ind w:left="900"/>
      </w:pPr>
      <w:r>
        <w:t>Removed references to Requirement R1, Criterion 6 because it is no longer used</w:t>
      </w:r>
    </w:p>
    <w:p w:rsidR="0022545F" w:rsidRDefault="0022545F" w:rsidP="003021AF">
      <w:pPr>
        <w:spacing w:before="0" w:after="0" w:line="240" w:lineRule="auto"/>
        <w:ind w:left="540"/>
      </w:pPr>
    </w:p>
    <w:p w:rsidR="00A63197" w:rsidRDefault="00315743">
      <w:pPr>
        <w:pStyle w:val="ListParagraph"/>
        <w:keepNext/>
        <w:numPr>
          <w:ilvl w:val="0"/>
          <w:numId w:val="18"/>
        </w:numPr>
        <w:spacing w:before="0" w:after="0" w:line="240" w:lineRule="auto"/>
        <w:ind w:left="547"/>
      </w:pPr>
      <w:r>
        <w:rPr>
          <w:rFonts w:ascii="Calibri" w:hAnsi="Calibri"/>
        </w:rPr>
        <w:t>Attachment A</w:t>
      </w:r>
    </w:p>
    <w:p w:rsidR="00A63197" w:rsidRDefault="00315743">
      <w:pPr>
        <w:pStyle w:val="ListParagraph"/>
        <w:numPr>
          <w:ilvl w:val="1"/>
          <w:numId w:val="18"/>
        </w:numPr>
        <w:spacing w:before="0" w:after="0" w:line="240" w:lineRule="auto"/>
        <w:ind w:left="900"/>
      </w:pPr>
      <w:r>
        <w:t>Revised criterion 2.4 to address</w:t>
      </w:r>
      <w:r w:rsidRPr="00315743">
        <w:t xml:space="preserve"> relays applied at the terminals of generation Facilities in accordance with NERC Reliability Standard PRC-025-1</w:t>
      </w:r>
      <w:r>
        <w:t xml:space="preserve"> for the Planning Coordinator pursuant to Requirement R6</w:t>
      </w:r>
    </w:p>
    <w:p w:rsidR="0022545F" w:rsidRDefault="0022545F" w:rsidP="003021AF">
      <w:pPr>
        <w:spacing w:before="0" w:after="0" w:line="240" w:lineRule="auto"/>
        <w:ind w:left="540"/>
      </w:pPr>
    </w:p>
    <w:p w:rsidR="00A63197" w:rsidRDefault="002F4887">
      <w:pPr>
        <w:pStyle w:val="ListParagraph"/>
        <w:keepNext/>
        <w:numPr>
          <w:ilvl w:val="0"/>
          <w:numId w:val="18"/>
        </w:numPr>
        <w:spacing w:before="0" w:after="0" w:line="240" w:lineRule="auto"/>
        <w:ind w:left="547"/>
      </w:pPr>
      <w:r>
        <w:rPr>
          <w:rFonts w:ascii="Calibri" w:hAnsi="Calibri"/>
        </w:rPr>
        <w:t>Attachment C</w:t>
      </w:r>
    </w:p>
    <w:p w:rsidR="00A63197" w:rsidRDefault="002F4887">
      <w:pPr>
        <w:pStyle w:val="ListParagraph"/>
        <w:numPr>
          <w:ilvl w:val="1"/>
          <w:numId w:val="18"/>
        </w:numPr>
        <w:spacing w:before="0" w:after="0" w:line="240" w:lineRule="auto"/>
        <w:ind w:left="900"/>
      </w:pPr>
      <w:r>
        <w:t>Inserted new attachment to address relay loadability described in Requirements R7 and R8</w:t>
      </w:r>
    </w:p>
    <w:p w:rsidR="00A63197" w:rsidRDefault="002F4887">
      <w:pPr>
        <w:pStyle w:val="ListParagraph"/>
        <w:numPr>
          <w:ilvl w:val="1"/>
          <w:numId w:val="18"/>
        </w:numPr>
        <w:spacing w:before="0" w:after="0" w:line="240" w:lineRule="auto"/>
        <w:ind w:left="900"/>
      </w:pPr>
      <w:r>
        <w:t>Includes Table 1, Relay Loadability Evaluation Criteria which is the same as the criteria proposed in PRC-025-1 for generator interconnection Facilities and generator step-up (GSU) transformers</w:t>
      </w:r>
    </w:p>
    <w:p w:rsidR="0022545F" w:rsidRDefault="0022545F" w:rsidP="003021AF">
      <w:pPr>
        <w:spacing w:before="0" w:after="0" w:line="240" w:lineRule="auto"/>
        <w:ind w:left="540"/>
      </w:pPr>
    </w:p>
    <w:p w:rsidR="00A63197" w:rsidRDefault="00BB5074">
      <w:pPr>
        <w:keepNext/>
        <w:spacing w:before="0" w:after="0" w:line="240" w:lineRule="auto"/>
        <w:rPr>
          <w:rFonts w:ascii="Tahoma" w:hAnsi="Tahoma"/>
          <w:b/>
          <w:bCs/>
          <w:sz w:val="22"/>
        </w:rPr>
      </w:pPr>
      <w:r>
        <w:rPr>
          <w:rFonts w:ascii="Tahoma" w:hAnsi="Tahoma"/>
          <w:b/>
          <w:bCs/>
          <w:sz w:val="22"/>
        </w:rPr>
        <w:t>Implementation Plan</w:t>
      </w:r>
      <w:r w:rsidR="000A423B" w:rsidRPr="000A423B">
        <w:rPr>
          <w:rFonts w:ascii="Tahoma" w:hAnsi="Tahoma"/>
          <w:b/>
          <w:bCs/>
          <w:sz w:val="22"/>
        </w:rPr>
        <w:t xml:space="preserve"> (PRC-023-3)</w:t>
      </w:r>
    </w:p>
    <w:p w:rsidR="00A63197" w:rsidRDefault="00BB5074">
      <w:pPr>
        <w:pStyle w:val="ListParagraph"/>
        <w:numPr>
          <w:ilvl w:val="0"/>
          <w:numId w:val="18"/>
        </w:numPr>
        <w:spacing w:before="0" w:after="0" w:line="240" w:lineRule="auto"/>
        <w:ind w:left="540"/>
        <w:rPr>
          <w:rFonts w:eastAsia="Times New Roman" w:cs="Arial"/>
          <w:bCs/>
          <w:szCs w:val="24"/>
          <w:lang w:bidi="ar-SA"/>
        </w:rPr>
      </w:pPr>
      <w:r>
        <w:rPr>
          <w:rFonts w:eastAsia="Times New Roman" w:cs="Arial"/>
          <w:bCs/>
          <w:szCs w:val="24"/>
          <w:lang w:bidi="ar-SA"/>
        </w:rPr>
        <w:t>Updated to reflect known milestone dates based on the approvals of the current version two</w:t>
      </w:r>
    </w:p>
    <w:p w:rsidR="0022545F" w:rsidRPr="003021AF" w:rsidRDefault="00BB5074" w:rsidP="003021AF">
      <w:pPr>
        <w:pStyle w:val="ListParagraph"/>
        <w:numPr>
          <w:ilvl w:val="0"/>
          <w:numId w:val="18"/>
        </w:numPr>
        <w:spacing w:before="0" w:after="0" w:line="240" w:lineRule="auto"/>
        <w:ind w:left="540"/>
        <w:rPr>
          <w:rFonts w:eastAsia="Times New Roman" w:cs="Arial"/>
          <w:bCs/>
          <w:szCs w:val="24"/>
          <w:lang w:bidi="ar-SA"/>
        </w:rPr>
      </w:pPr>
      <w:r>
        <w:rPr>
          <w:rFonts w:eastAsia="Times New Roman" w:cs="Arial"/>
          <w:bCs/>
          <w:szCs w:val="24"/>
          <w:lang w:bidi="ar-SA"/>
        </w:rPr>
        <w:t>Added the implementation period for the two new Requirements (R7 and R8) to align with the same implementation period proposed in PRC-025-1</w:t>
      </w:r>
    </w:p>
    <w:p w:rsidR="00A63197" w:rsidRDefault="00A63197">
      <w:pPr>
        <w:spacing w:before="0" w:after="0" w:line="240" w:lineRule="auto"/>
        <w:rPr>
          <w:rFonts w:eastAsia="Times New Roman" w:cs="Arial"/>
          <w:bCs/>
          <w:szCs w:val="24"/>
          <w:lang w:bidi="ar-SA"/>
        </w:rPr>
      </w:pPr>
    </w:p>
    <w:p w:rsidR="00A63197" w:rsidRDefault="00050C3A">
      <w:pPr>
        <w:keepNext/>
        <w:spacing w:before="0" w:after="0" w:line="240" w:lineRule="auto"/>
        <w:rPr>
          <w:rFonts w:ascii="Tahoma" w:hAnsi="Tahoma"/>
          <w:b/>
          <w:bCs/>
          <w:sz w:val="22"/>
        </w:rPr>
      </w:pPr>
      <w:r>
        <w:rPr>
          <w:rFonts w:ascii="Tahoma" w:hAnsi="Tahoma"/>
          <w:b/>
          <w:bCs/>
          <w:sz w:val="22"/>
        </w:rPr>
        <w:t>VRF/VSL Justifications</w:t>
      </w:r>
      <w:r w:rsidRPr="00BB5074">
        <w:rPr>
          <w:rFonts w:ascii="Tahoma" w:hAnsi="Tahoma"/>
          <w:b/>
          <w:bCs/>
          <w:sz w:val="22"/>
        </w:rPr>
        <w:t xml:space="preserve"> (PRC-023-3)</w:t>
      </w:r>
    </w:p>
    <w:p w:rsidR="00884F34" w:rsidRPr="0022545F" w:rsidRDefault="00050C3A" w:rsidP="005D7C81">
      <w:pPr>
        <w:pStyle w:val="ListParagraph"/>
        <w:numPr>
          <w:ilvl w:val="0"/>
          <w:numId w:val="18"/>
        </w:numPr>
        <w:spacing w:before="0" w:after="0" w:line="240" w:lineRule="auto"/>
        <w:ind w:left="540"/>
        <w:rPr>
          <w:rFonts w:eastAsia="Times New Roman" w:cs="Arial"/>
          <w:bCs/>
          <w:szCs w:val="24"/>
          <w:lang w:bidi="ar-SA"/>
        </w:rPr>
      </w:pPr>
      <w:r>
        <w:t>Provided justification for VRF/VSL for the two new Requirements R7 and R8</w:t>
      </w:r>
    </w:p>
    <w:p w:rsidR="0022545F" w:rsidRPr="003021AF" w:rsidRDefault="0022545F" w:rsidP="003021AF">
      <w:pPr>
        <w:spacing w:before="0" w:after="0" w:line="240" w:lineRule="auto"/>
        <w:ind w:left="180"/>
        <w:rPr>
          <w:rFonts w:eastAsia="Times New Roman" w:cs="Arial"/>
          <w:bCs/>
          <w:szCs w:val="24"/>
          <w:lang w:bidi="ar-SA"/>
        </w:rPr>
      </w:pPr>
    </w:p>
    <w:p w:rsidR="00A63197" w:rsidRDefault="00A63197">
      <w:pPr>
        <w:spacing w:before="0" w:after="0" w:line="240" w:lineRule="auto"/>
        <w:rPr>
          <w:rFonts w:eastAsia="Times New Roman" w:cs="Arial"/>
          <w:bCs/>
          <w:szCs w:val="24"/>
          <w:lang w:bidi="ar-SA"/>
        </w:rPr>
      </w:pPr>
    </w:p>
    <w:p w:rsidR="00FF4949" w:rsidRPr="0059398D" w:rsidRDefault="00FF4949" w:rsidP="00FF4949">
      <w:pPr>
        <w:keepNext/>
        <w:spacing w:before="0" w:after="0" w:line="240" w:lineRule="auto"/>
        <w:rPr>
          <w:rFonts w:ascii="Tahoma" w:hAnsi="Tahoma"/>
          <w:b/>
          <w:bCs/>
          <w:sz w:val="22"/>
        </w:rPr>
      </w:pPr>
      <w:r>
        <w:rPr>
          <w:rFonts w:ascii="Tahoma" w:hAnsi="Tahoma"/>
          <w:b/>
          <w:bCs/>
          <w:sz w:val="22"/>
        </w:rPr>
        <w:t>Standard (PRC-025-1)</w:t>
      </w:r>
    </w:p>
    <w:p w:rsidR="00A54BA3" w:rsidRPr="00A54BA3" w:rsidRDefault="00A54BA3" w:rsidP="00A54BA3">
      <w:pPr>
        <w:pStyle w:val="ListParagraph"/>
        <w:keepNext/>
        <w:numPr>
          <w:ilvl w:val="0"/>
          <w:numId w:val="18"/>
        </w:numPr>
        <w:spacing w:before="0" w:after="0" w:line="240" w:lineRule="auto"/>
        <w:ind w:left="540"/>
      </w:pPr>
      <w:r>
        <w:rPr>
          <w:rFonts w:ascii="Calibri" w:hAnsi="Calibri"/>
        </w:rPr>
        <w:t>Purpose</w:t>
      </w:r>
    </w:p>
    <w:p w:rsidR="00A63197" w:rsidRDefault="00A54BA3">
      <w:pPr>
        <w:pStyle w:val="ListParagraph"/>
        <w:numPr>
          <w:ilvl w:val="1"/>
          <w:numId w:val="18"/>
        </w:numPr>
        <w:spacing w:before="0" w:after="0" w:line="240" w:lineRule="auto"/>
        <w:ind w:left="907"/>
      </w:pPr>
      <w:r>
        <w:rPr>
          <w:rFonts w:ascii="Calibri" w:hAnsi="Calibri"/>
        </w:rPr>
        <w:t>Revised to remove the first occurrence of “generator”</w:t>
      </w:r>
    </w:p>
    <w:p w:rsidR="006D4839" w:rsidRDefault="00A54BA3" w:rsidP="003021AF">
      <w:pPr>
        <w:pStyle w:val="ListParagraph"/>
        <w:numPr>
          <w:ilvl w:val="1"/>
          <w:numId w:val="18"/>
        </w:numPr>
        <w:spacing w:before="0" w:after="0" w:line="240" w:lineRule="auto"/>
        <w:ind w:left="907"/>
      </w:pPr>
      <w:r>
        <w:rPr>
          <w:rFonts w:ascii="Calibri" w:hAnsi="Calibri"/>
        </w:rPr>
        <w:t>Other minor revisions to provide clarity in the scope of the standard</w:t>
      </w:r>
    </w:p>
    <w:p w:rsidR="00FF4949" w:rsidRPr="0059398D" w:rsidRDefault="00FF4949" w:rsidP="00FF4949">
      <w:pPr>
        <w:pStyle w:val="ListParagraph"/>
        <w:keepNext/>
        <w:numPr>
          <w:ilvl w:val="0"/>
          <w:numId w:val="18"/>
        </w:numPr>
        <w:spacing w:before="0" w:after="0" w:line="240" w:lineRule="auto"/>
        <w:ind w:left="540"/>
      </w:pPr>
      <w:r w:rsidRPr="0059398D">
        <w:rPr>
          <w:rFonts w:ascii="Calibri" w:hAnsi="Calibri"/>
        </w:rPr>
        <w:t>Applicability</w:t>
      </w:r>
    </w:p>
    <w:p w:rsidR="006D4839" w:rsidRDefault="00263DAE" w:rsidP="003021AF">
      <w:pPr>
        <w:pStyle w:val="ListParagraph"/>
        <w:numPr>
          <w:ilvl w:val="1"/>
          <w:numId w:val="18"/>
        </w:numPr>
        <w:spacing w:before="0" w:after="0" w:line="240" w:lineRule="auto"/>
        <w:ind w:left="900"/>
      </w:pPr>
      <w:r>
        <w:t xml:space="preserve">Inserted section 3.2.5 to provide applicability to Facilities that address </w:t>
      </w:r>
      <w:r w:rsidRPr="00263DAE">
        <w:t>Elements utilized in the aggregation of dispersed power producing resources.</w:t>
      </w:r>
    </w:p>
    <w:p w:rsidR="00FF4949" w:rsidRPr="00BB5074" w:rsidRDefault="00FF4949" w:rsidP="00FF4949">
      <w:pPr>
        <w:pStyle w:val="ListParagraph"/>
        <w:keepNext/>
        <w:numPr>
          <w:ilvl w:val="0"/>
          <w:numId w:val="18"/>
        </w:numPr>
        <w:spacing w:before="0" w:after="0" w:line="240" w:lineRule="auto"/>
        <w:ind w:left="547"/>
      </w:pPr>
      <w:r>
        <w:rPr>
          <w:rFonts w:ascii="Calibri" w:hAnsi="Calibri"/>
        </w:rPr>
        <w:t>Requirements</w:t>
      </w:r>
    </w:p>
    <w:p w:rsidR="006D4839" w:rsidRDefault="00263DAE" w:rsidP="003021AF">
      <w:pPr>
        <w:pStyle w:val="ListParagraph"/>
        <w:numPr>
          <w:ilvl w:val="1"/>
          <w:numId w:val="18"/>
        </w:numPr>
        <w:spacing w:before="0" w:after="0" w:line="240" w:lineRule="auto"/>
        <w:ind w:left="900"/>
      </w:pPr>
      <w:r>
        <w:t>No change</w:t>
      </w:r>
    </w:p>
    <w:p w:rsidR="00FF4949" w:rsidRPr="00BB5074" w:rsidRDefault="00FF4949" w:rsidP="00FF4949">
      <w:pPr>
        <w:pStyle w:val="ListParagraph"/>
        <w:keepNext/>
        <w:numPr>
          <w:ilvl w:val="0"/>
          <w:numId w:val="18"/>
        </w:numPr>
        <w:spacing w:before="0" w:after="0" w:line="240" w:lineRule="auto"/>
        <w:ind w:left="547"/>
      </w:pPr>
      <w:r>
        <w:rPr>
          <w:rFonts w:ascii="Calibri" w:hAnsi="Calibri"/>
        </w:rPr>
        <w:t>Measures</w:t>
      </w:r>
    </w:p>
    <w:p w:rsidR="00A63197" w:rsidRDefault="00263DAE">
      <w:pPr>
        <w:pStyle w:val="ListParagraph"/>
        <w:numPr>
          <w:ilvl w:val="1"/>
          <w:numId w:val="18"/>
        </w:numPr>
        <w:spacing w:before="0" w:after="0" w:line="240" w:lineRule="auto"/>
        <w:ind w:left="900"/>
      </w:pPr>
      <w:r>
        <w:t>No change</w:t>
      </w:r>
    </w:p>
    <w:p w:rsidR="00FF4949" w:rsidRPr="00BB5074" w:rsidRDefault="00FF4949" w:rsidP="00FF4949">
      <w:pPr>
        <w:pStyle w:val="ListParagraph"/>
        <w:keepNext/>
        <w:numPr>
          <w:ilvl w:val="0"/>
          <w:numId w:val="18"/>
        </w:numPr>
        <w:spacing w:before="0" w:after="0" w:line="240" w:lineRule="auto"/>
        <w:ind w:left="547"/>
      </w:pPr>
      <w:r>
        <w:rPr>
          <w:rFonts w:ascii="Calibri" w:hAnsi="Calibri"/>
        </w:rPr>
        <w:t>Compliance</w:t>
      </w:r>
    </w:p>
    <w:p w:rsidR="006D4839" w:rsidRDefault="009D3D61" w:rsidP="003021AF">
      <w:pPr>
        <w:pStyle w:val="ListParagraph"/>
        <w:numPr>
          <w:ilvl w:val="1"/>
          <w:numId w:val="18"/>
        </w:numPr>
        <w:spacing w:before="0" w:after="0" w:line="240" w:lineRule="auto"/>
        <w:ind w:left="900"/>
      </w:pPr>
      <w:r>
        <w:t>No change</w:t>
      </w:r>
      <w:r w:rsidR="00FF4949">
        <w:t xml:space="preserve"> </w:t>
      </w:r>
    </w:p>
    <w:p w:rsidR="00FF4949" w:rsidRPr="00BB5074" w:rsidRDefault="00FF4949" w:rsidP="00FF4949">
      <w:pPr>
        <w:pStyle w:val="ListParagraph"/>
        <w:keepNext/>
        <w:numPr>
          <w:ilvl w:val="0"/>
          <w:numId w:val="18"/>
        </w:numPr>
        <w:spacing w:before="0" w:after="0" w:line="240" w:lineRule="auto"/>
        <w:ind w:left="547"/>
      </w:pPr>
      <w:r>
        <w:rPr>
          <w:rFonts w:ascii="Calibri" w:hAnsi="Calibri"/>
        </w:rPr>
        <w:t>Violation Severity Levels</w:t>
      </w:r>
    </w:p>
    <w:p w:rsidR="006D4839" w:rsidRDefault="009D3D61" w:rsidP="003021AF">
      <w:pPr>
        <w:pStyle w:val="ListParagraph"/>
        <w:numPr>
          <w:ilvl w:val="1"/>
          <w:numId w:val="18"/>
        </w:numPr>
        <w:spacing w:before="0" w:after="0" w:line="240" w:lineRule="auto"/>
        <w:ind w:left="900"/>
      </w:pPr>
      <w:r>
        <w:t>No change</w:t>
      </w:r>
    </w:p>
    <w:p w:rsidR="00FF4949" w:rsidRPr="00315743" w:rsidRDefault="00FF4949" w:rsidP="00FF4949">
      <w:pPr>
        <w:pStyle w:val="ListParagraph"/>
        <w:keepNext/>
        <w:numPr>
          <w:ilvl w:val="0"/>
          <w:numId w:val="18"/>
        </w:numPr>
        <w:spacing w:before="0" w:after="0" w:line="240" w:lineRule="auto"/>
        <w:ind w:left="547"/>
      </w:pPr>
      <w:r>
        <w:rPr>
          <w:rFonts w:ascii="Calibri" w:hAnsi="Calibri"/>
        </w:rPr>
        <w:t xml:space="preserve">Attachment </w:t>
      </w:r>
      <w:r w:rsidR="009D3D61">
        <w:rPr>
          <w:rFonts w:ascii="Calibri" w:hAnsi="Calibri"/>
        </w:rPr>
        <w:t>1</w:t>
      </w:r>
    </w:p>
    <w:p w:rsidR="00FF4949" w:rsidRDefault="00722DD2" w:rsidP="00FF4949">
      <w:pPr>
        <w:pStyle w:val="ListParagraph"/>
        <w:numPr>
          <w:ilvl w:val="1"/>
          <w:numId w:val="18"/>
        </w:numPr>
        <w:spacing w:before="0" w:after="0" w:line="240" w:lineRule="auto"/>
        <w:ind w:left="900"/>
      </w:pPr>
      <w:r>
        <w:t>General text revisions</w:t>
      </w:r>
    </w:p>
    <w:p w:rsidR="00722DD2" w:rsidRDefault="00722DD2" w:rsidP="00FF4949">
      <w:pPr>
        <w:pStyle w:val="ListParagraph"/>
        <w:numPr>
          <w:ilvl w:val="1"/>
          <w:numId w:val="18"/>
        </w:numPr>
        <w:spacing w:before="0" w:after="0" w:line="240" w:lineRule="auto"/>
        <w:ind w:left="900"/>
      </w:pPr>
      <w:r>
        <w:t>Included language to note that the standard does not require the use of any of the protective functions list in Table 1, Relay Loadability Evaluation Criteria</w:t>
      </w:r>
    </w:p>
    <w:p w:rsidR="00722DD2" w:rsidRDefault="009F7449" w:rsidP="00FF4949">
      <w:pPr>
        <w:pStyle w:val="ListParagraph"/>
        <w:numPr>
          <w:ilvl w:val="1"/>
          <w:numId w:val="18"/>
        </w:numPr>
        <w:spacing w:before="0" w:after="0" w:line="240" w:lineRule="auto"/>
        <w:ind w:left="900"/>
      </w:pPr>
      <w:r>
        <w:t>Removed the Planning Coordinator and inserted the Regional Reliability Organization to comport with the anticipated retirement of MOD-024-1 and MOD-025-1 and the approval of MOD-025-2</w:t>
      </w:r>
      <w:r w:rsidR="00AF3A86">
        <w:t xml:space="preserve"> in both the text and Table 1</w:t>
      </w:r>
    </w:p>
    <w:p w:rsidR="009F7449" w:rsidRDefault="00D72E08" w:rsidP="00FF4949">
      <w:pPr>
        <w:pStyle w:val="ListParagraph"/>
        <w:numPr>
          <w:ilvl w:val="1"/>
          <w:numId w:val="18"/>
        </w:numPr>
        <w:spacing w:before="0" w:after="0" w:line="240" w:lineRule="auto"/>
        <w:ind w:left="900"/>
      </w:pPr>
      <w:r>
        <w:t>Inserted language to address situations where the Generator Owner may combine both asynchronous and synchronous generators on a generator interconnection Facility to provide direction on the evaluation of relay loadability</w:t>
      </w:r>
    </w:p>
    <w:p w:rsidR="00D72E08" w:rsidRDefault="00D72E08" w:rsidP="00FF4949">
      <w:pPr>
        <w:pStyle w:val="ListParagraph"/>
        <w:numPr>
          <w:ilvl w:val="1"/>
          <w:numId w:val="18"/>
        </w:numPr>
        <w:spacing w:before="0" w:after="0" w:line="240" w:lineRule="auto"/>
        <w:ind w:left="900"/>
      </w:pPr>
      <w:r>
        <w:t xml:space="preserve">Update the references to no-load tap changes (NLTC) and on-load tap changers (OLTC) to the generally accepted use of the </w:t>
      </w:r>
      <w:r w:rsidR="00994AC2">
        <w:t xml:space="preserve">IEEE terms, </w:t>
      </w:r>
      <w:proofErr w:type="spellStart"/>
      <w:r w:rsidR="00994AC2">
        <w:t>deenergized</w:t>
      </w:r>
      <w:proofErr w:type="spellEnd"/>
      <w:r w:rsidR="00994AC2">
        <w:t xml:space="preserve"> tap changers (DETC) and load tap changers (LTC)</w:t>
      </w:r>
    </w:p>
    <w:p w:rsidR="00FE6092" w:rsidRDefault="00FE6092" w:rsidP="00FF4949">
      <w:pPr>
        <w:pStyle w:val="ListParagraph"/>
        <w:numPr>
          <w:ilvl w:val="1"/>
          <w:numId w:val="18"/>
        </w:numPr>
        <w:spacing w:before="0" w:after="0" w:line="240" w:lineRule="auto"/>
        <w:ind w:left="900"/>
      </w:pPr>
      <w:r>
        <w:t>Added an exception to the standard for Protection Systems that detect generator overloads</w:t>
      </w:r>
    </w:p>
    <w:p w:rsidR="00FE6092" w:rsidRDefault="00FE6092" w:rsidP="00FF4949">
      <w:pPr>
        <w:pStyle w:val="ListParagraph"/>
        <w:numPr>
          <w:ilvl w:val="1"/>
          <w:numId w:val="18"/>
        </w:numPr>
        <w:spacing w:before="0" w:after="0" w:line="240" w:lineRule="auto"/>
        <w:ind w:left="900"/>
      </w:pPr>
      <w:r>
        <w:t>Added an exception to the standard for Protection Systems that detect transformer overloads</w:t>
      </w:r>
    </w:p>
    <w:p w:rsidR="00AF3A86" w:rsidRDefault="00AF3A86" w:rsidP="00FF4949">
      <w:pPr>
        <w:pStyle w:val="ListParagraph"/>
        <w:numPr>
          <w:ilvl w:val="1"/>
          <w:numId w:val="18"/>
        </w:numPr>
        <w:spacing w:before="0" w:after="0" w:line="240" w:lineRule="auto"/>
        <w:ind w:left="900"/>
      </w:pPr>
      <w:r>
        <w:t>Made minor editorial edits to Table 1 text for clarity such as replacing “connected</w:t>
      </w:r>
      <w:r w:rsidR="00FA51F1">
        <w:t xml:space="preserve"> to</w:t>
      </w:r>
      <w:r>
        <w:t>” with “aggregate” for consistency with other uses</w:t>
      </w:r>
    </w:p>
    <w:p w:rsidR="00FE6092" w:rsidRDefault="00AF3A86" w:rsidP="00FF4949">
      <w:pPr>
        <w:pStyle w:val="ListParagraph"/>
        <w:numPr>
          <w:ilvl w:val="1"/>
          <w:numId w:val="18"/>
        </w:numPr>
        <w:spacing w:before="0" w:after="0" w:line="240" w:lineRule="auto"/>
        <w:ind w:left="900"/>
      </w:pPr>
      <w:r>
        <w:t>Made minor editorial edits to remove hyphens and inserting the word “connected” (e.g., Generator step-up transformer [connected] to asynchronous generators)</w:t>
      </w:r>
    </w:p>
    <w:p w:rsidR="006D4839" w:rsidRPr="00BB5074" w:rsidRDefault="00AF3A86" w:rsidP="003021AF">
      <w:pPr>
        <w:pStyle w:val="ListParagraph"/>
        <w:numPr>
          <w:ilvl w:val="1"/>
          <w:numId w:val="18"/>
        </w:numPr>
        <w:spacing w:before="0" w:after="0" w:line="240" w:lineRule="auto"/>
        <w:ind w:left="900"/>
      </w:pPr>
      <w:r>
        <w:t>For the application of generator interconnection Facility, reduced the Reactive Power output calculation from 150% to 120% for consistency with the previous PRC-023-2, Requirement R1, Criterion 6</w:t>
      </w:r>
    </w:p>
    <w:p w:rsidR="00FF4949" w:rsidRPr="0059398D" w:rsidRDefault="00FF4949" w:rsidP="00FF4949">
      <w:pPr>
        <w:spacing w:before="0" w:after="0" w:line="240" w:lineRule="auto"/>
      </w:pPr>
    </w:p>
    <w:p w:rsidR="00FF4949" w:rsidRPr="00BB5074" w:rsidRDefault="00FF4949" w:rsidP="00FF4949">
      <w:pPr>
        <w:keepNext/>
        <w:spacing w:before="0" w:after="0" w:line="240" w:lineRule="auto"/>
        <w:rPr>
          <w:rFonts w:ascii="Tahoma" w:hAnsi="Tahoma"/>
          <w:b/>
          <w:bCs/>
          <w:sz w:val="22"/>
        </w:rPr>
      </w:pPr>
      <w:r>
        <w:rPr>
          <w:rFonts w:ascii="Tahoma" w:hAnsi="Tahoma"/>
          <w:b/>
          <w:bCs/>
          <w:sz w:val="22"/>
        </w:rPr>
        <w:t>Implementation Plan</w:t>
      </w:r>
      <w:r w:rsidRPr="00BB5074">
        <w:rPr>
          <w:rFonts w:ascii="Tahoma" w:hAnsi="Tahoma"/>
          <w:b/>
          <w:bCs/>
          <w:sz w:val="22"/>
        </w:rPr>
        <w:t xml:space="preserve"> (PRC-</w:t>
      </w:r>
      <w:r w:rsidR="00FA51F1">
        <w:rPr>
          <w:rFonts w:ascii="Tahoma" w:hAnsi="Tahoma"/>
          <w:b/>
          <w:bCs/>
          <w:sz w:val="22"/>
        </w:rPr>
        <w:t>025-1</w:t>
      </w:r>
      <w:r w:rsidRPr="00BB5074">
        <w:rPr>
          <w:rFonts w:ascii="Tahoma" w:hAnsi="Tahoma"/>
          <w:b/>
          <w:bCs/>
          <w:sz w:val="22"/>
        </w:rPr>
        <w:t>)</w:t>
      </w:r>
    </w:p>
    <w:p w:rsidR="00A63197" w:rsidRDefault="00FA51F1">
      <w:pPr>
        <w:pStyle w:val="ListParagraph"/>
        <w:numPr>
          <w:ilvl w:val="0"/>
          <w:numId w:val="18"/>
        </w:numPr>
        <w:spacing w:before="0" w:after="0" w:line="240" w:lineRule="auto"/>
        <w:ind w:left="540"/>
        <w:rPr>
          <w:rFonts w:eastAsia="Times New Roman" w:cs="Arial"/>
          <w:bCs/>
          <w:szCs w:val="24"/>
          <w:lang w:bidi="ar-SA"/>
        </w:rPr>
      </w:pPr>
      <w:r>
        <w:rPr>
          <w:rFonts w:eastAsia="Times New Roman" w:cs="Arial"/>
          <w:bCs/>
          <w:szCs w:val="24"/>
          <w:lang w:bidi="ar-SA"/>
        </w:rPr>
        <w:t>Minor editorial edits for clarity</w:t>
      </w:r>
    </w:p>
    <w:p w:rsidR="00A63197" w:rsidRDefault="00FA51F1">
      <w:pPr>
        <w:pStyle w:val="ListParagraph"/>
        <w:numPr>
          <w:ilvl w:val="0"/>
          <w:numId w:val="18"/>
        </w:numPr>
        <w:spacing w:before="0" w:after="0" w:line="240" w:lineRule="auto"/>
        <w:ind w:left="540"/>
        <w:rPr>
          <w:rFonts w:eastAsia="Times New Roman" w:cs="Arial"/>
          <w:bCs/>
          <w:szCs w:val="24"/>
          <w:lang w:bidi="ar-SA"/>
        </w:rPr>
      </w:pPr>
      <w:r>
        <w:rPr>
          <w:rFonts w:eastAsia="Times New Roman" w:cs="Arial"/>
          <w:bCs/>
          <w:szCs w:val="24"/>
          <w:lang w:bidi="ar-SA"/>
        </w:rPr>
        <w:t xml:space="preserve">Updated the implementation information to mimic the table provided in the current PRC-023-2 and proposed PRC-023-3 to </w:t>
      </w:r>
      <w:r w:rsidR="000330B8">
        <w:rPr>
          <w:rFonts w:eastAsia="Times New Roman" w:cs="Arial"/>
          <w:bCs/>
          <w:szCs w:val="24"/>
          <w:lang w:bidi="ar-SA"/>
        </w:rPr>
        <w:t>delineate the implementation for jurisdictions where regulatory approval is required and in jurisdictions where no regulatory approval is necessary</w:t>
      </w:r>
    </w:p>
    <w:p w:rsidR="006D4839" w:rsidRPr="003021AF" w:rsidRDefault="000330B8" w:rsidP="003021AF">
      <w:pPr>
        <w:pStyle w:val="ListParagraph"/>
        <w:numPr>
          <w:ilvl w:val="0"/>
          <w:numId w:val="18"/>
        </w:numPr>
        <w:spacing w:before="0" w:after="0" w:line="240" w:lineRule="auto"/>
        <w:ind w:left="540"/>
        <w:rPr>
          <w:rFonts w:eastAsia="Times New Roman" w:cs="Arial"/>
          <w:bCs/>
          <w:szCs w:val="24"/>
          <w:lang w:bidi="ar-SA"/>
        </w:rPr>
      </w:pPr>
      <w:r>
        <w:rPr>
          <w:rFonts w:eastAsia="Times New Roman" w:cs="Arial"/>
          <w:bCs/>
          <w:szCs w:val="24"/>
          <w:lang w:bidi="ar-SA"/>
        </w:rPr>
        <w:t>Inserted language concerning who the Real and Reactive Power is reported to by the Generator Owner to allow a transition from reporting to the Regional Reliability Organization to the Transmission Planner rather than having the Planning Coordinator as identified in the previous posting of the PRC-025-1 standard</w:t>
      </w:r>
    </w:p>
    <w:p w:rsidR="00FF4949" w:rsidRDefault="00FF4949" w:rsidP="00FF4949">
      <w:pPr>
        <w:spacing w:before="0" w:after="0" w:line="240" w:lineRule="auto"/>
        <w:rPr>
          <w:rFonts w:eastAsia="Times New Roman" w:cs="Arial"/>
          <w:bCs/>
          <w:szCs w:val="24"/>
          <w:lang w:bidi="ar-SA"/>
        </w:rPr>
      </w:pPr>
    </w:p>
    <w:p w:rsidR="00FF4949" w:rsidRPr="00BB5074" w:rsidRDefault="00FF4949" w:rsidP="00FF4949">
      <w:pPr>
        <w:keepNext/>
        <w:spacing w:before="0" w:after="0" w:line="240" w:lineRule="auto"/>
        <w:rPr>
          <w:rFonts w:ascii="Tahoma" w:hAnsi="Tahoma"/>
          <w:b/>
          <w:bCs/>
          <w:sz w:val="22"/>
        </w:rPr>
      </w:pPr>
      <w:r>
        <w:rPr>
          <w:rFonts w:ascii="Tahoma" w:hAnsi="Tahoma"/>
          <w:b/>
          <w:bCs/>
          <w:sz w:val="22"/>
        </w:rPr>
        <w:t>VRF/VSL Justifications</w:t>
      </w:r>
      <w:r w:rsidRPr="00BB5074">
        <w:rPr>
          <w:rFonts w:ascii="Tahoma" w:hAnsi="Tahoma"/>
          <w:b/>
          <w:bCs/>
          <w:sz w:val="22"/>
        </w:rPr>
        <w:t xml:space="preserve"> (PRC-023-3)</w:t>
      </w:r>
    </w:p>
    <w:p w:rsidR="00603286" w:rsidRDefault="00882977" w:rsidP="006D4839">
      <w:pPr>
        <w:spacing w:before="0" w:after="0" w:line="240" w:lineRule="auto"/>
      </w:pPr>
      <w:r>
        <w:t xml:space="preserve">Inserted references to the </w:t>
      </w:r>
      <w:r w:rsidR="00FF4949">
        <w:t>two new Requirements R7 and R8</w:t>
      </w:r>
      <w:r>
        <w:t xml:space="preserve"> proposed in PRC-023-3 to support reasoning for assigning of a VRF/VSL</w:t>
      </w:r>
      <w:r w:rsidR="00603286">
        <w:br w:type="page"/>
      </w:r>
    </w:p>
    <w:p w:rsidR="00827D52" w:rsidRPr="00827D52" w:rsidRDefault="00827D52" w:rsidP="00067B0B">
      <w:pPr>
        <w:spacing w:before="0" w:after="0" w:line="240" w:lineRule="auto"/>
        <w:ind w:left="-86"/>
        <w:outlineLvl w:val="2"/>
        <w:rPr>
          <w:rFonts w:eastAsiaTheme="majorEastAsia" w:cs="Arial"/>
          <w:b/>
          <w:bCs/>
          <w:i/>
          <w:color w:val="FF0000"/>
          <w:lang w:bidi="ar-SA"/>
        </w:rPr>
      </w:pPr>
      <w:r w:rsidRPr="00827D52">
        <w:rPr>
          <w:rFonts w:eastAsia="Times New Roman" w:cs="Arial"/>
          <w:bCs/>
          <w:i/>
          <w:color w:val="FF0000"/>
          <w:szCs w:val="24"/>
          <w:lang w:bidi="ar-SA"/>
        </w:rPr>
        <w:t xml:space="preserve">*Please use the </w:t>
      </w:r>
      <w:hyperlink r:id="rId14" w:history="1">
        <w:r w:rsidRPr="003021AF">
          <w:rPr>
            <w:rStyle w:val="Hyperlink"/>
            <w:rFonts w:ascii="Arial" w:eastAsiaTheme="majorEastAsia" w:hAnsi="Arial" w:cs="Arial"/>
            <w:bCs/>
            <w:i/>
            <w:sz w:val="22"/>
            <w:szCs w:val="26"/>
            <w:lang w:bidi="ar-SA"/>
          </w:rPr>
          <w:t>electronic comment form</w:t>
        </w:r>
      </w:hyperlink>
      <w:r w:rsidRPr="00827D52">
        <w:rPr>
          <w:rFonts w:eastAsia="Times New Roman" w:cs="Arial"/>
          <w:bCs/>
          <w:i/>
          <w:color w:val="FF0000"/>
          <w:szCs w:val="24"/>
          <w:lang w:bidi="ar-SA"/>
        </w:rPr>
        <w:t xml:space="preserve"> to submit your final comments to NERC.</w:t>
      </w:r>
    </w:p>
    <w:p w:rsidR="00827D52" w:rsidRDefault="00827D52" w:rsidP="00067B0B">
      <w:pPr>
        <w:spacing w:before="0" w:after="0" w:line="240" w:lineRule="auto"/>
        <w:rPr>
          <w:highlight w:val="yellow"/>
        </w:rPr>
      </w:pPr>
    </w:p>
    <w:p w:rsidR="00776F75" w:rsidRDefault="00776F75" w:rsidP="00067B0B">
      <w:pPr>
        <w:spacing w:before="0" w:after="0" w:line="240" w:lineRule="auto"/>
      </w:pPr>
      <w:r w:rsidRPr="00776F75">
        <w:rPr>
          <w:b/>
        </w:rPr>
        <w:t>You do not</w:t>
      </w:r>
      <w:r w:rsidR="00B26F31">
        <w:rPr>
          <w:b/>
        </w:rPr>
        <w:t xml:space="preserve"> have to answer all questions. </w:t>
      </w:r>
      <w:r w:rsidRPr="00776F75">
        <w:rPr>
          <w:b/>
        </w:rPr>
        <w:t>Enter All Comments in Simple Text Format.</w:t>
      </w:r>
    </w:p>
    <w:p w:rsidR="00011116" w:rsidRDefault="00011116" w:rsidP="00067B0B">
      <w:pPr>
        <w:spacing w:before="0" w:after="0" w:line="240" w:lineRule="auto"/>
      </w:pPr>
    </w:p>
    <w:p w:rsidR="00097A25" w:rsidRDefault="00097A25" w:rsidP="00097A25">
      <w:pPr>
        <w:rPr>
          <w:rFonts w:ascii="Calibri" w:hAnsi="Calibri"/>
        </w:rPr>
      </w:pPr>
      <w:r w:rsidRPr="00097A25">
        <w:rPr>
          <w:rFonts w:ascii="Calibri" w:hAnsi="Calibri"/>
        </w:rPr>
        <w:t xml:space="preserve">Please note that the official comment form </w:t>
      </w:r>
      <w:r w:rsidRPr="00097A25">
        <w:rPr>
          <w:rFonts w:ascii="Calibri" w:hAnsi="Calibri"/>
          <w:b/>
          <w:i/>
        </w:rPr>
        <w:t>does not</w:t>
      </w:r>
      <w:r w:rsidRPr="00097A25">
        <w:rPr>
          <w:rFonts w:ascii="Calibri" w:hAnsi="Calibri"/>
        </w:rPr>
        <w:t xml:space="preserve"> retain formatting (even if it appears to transfer formatting when you copy from the unofficial Word version of the form into the official electronic comment form). If you enter extra carriage returns, bullets, automated numbering, symbols, bolding, italics, or any other formatting, that formatting will not be retained when you submit your comments. </w:t>
      </w:r>
    </w:p>
    <w:p w:rsidR="00097A25" w:rsidRPr="00097A25" w:rsidRDefault="00097A25" w:rsidP="00011116">
      <w:pPr>
        <w:pStyle w:val="ListParagraph"/>
        <w:numPr>
          <w:ilvl w:val="0"/>
          <w:numId w:val="16"/>
        </w:numPr>
        <w:spacing w:before="0" w:after="0" w:line="240" w:lineRule="auto"/>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rsidR="00EA530E" w:rsidRDefault="00EA530E" w:rsidP="00011116">
      <w:pPr>
        <w:pStyle w:val="ListParagraph"/>
        <w:numPr>
          <w:ilvl w:val="0"/>
          <w:numId w:val="16"/>
        </w:numPr>
        <w:spacing w:before="0" w:after="0" w:line="240" w:lineRule="auto"/>
      </w:pPr>
      <w:r>
        <w:t xml:space="preserve">Use brackets [] to call attention to </w:t>
      </w:r>
      <w:r w:rsidR="00097A25">
        <w:t xml:space="preserve">suggested </w:t>
      </w:r>
      <w:r>
        <w:t>inserted or deleted text.</w:t>
      </w:r>
    </w:p>
    <w:p w:rsidR="00776F75" w:rsidRDefault="00776F75" w:rsidP="00011116">
      <w:pPr>
        <w:pStyle w:val="ListParagraph"/>
        <w:numPr>
          <w:ilvl w:val="0"/>
          <w:numId w:val="16"/>
        </w:numPr>
        <w:spacing w:before="0" w:after="0" w:line="240" w:lineRule="auto"/>
      </w:pPr>
      <w:r w:rsidRPr="000B7836">
        <w:t>Insert a “check” mark in the appropriate boxes by double-clicking the gray areas.</w:t>
      </w:r>
    </w:p>
    <w:p w:rsidR="00097A25" w:rsidRPr="00097A25" w:rsidRDefault="00097A25" w:rsidP="00097A25">
      <w:pPr>
        <w:pStyle w:val="ListParagraph"/>
        <w:numPr>
          <w:ilvl w:val="0"/>
          <w:numId w:val="16"/>
        </w:numPr>
        <w:rPr>
          <w:rFonts w:ascii="Calibri" w:hAnsi="Calibri"/>
        </w:rPr>
      </w:pPr>
      <w:r w:rsidRPr="00603286">
        <w:rPr>
          <w:rFonts w:ascii="Calibri" w:hAnsi="Calibri"/>
          <w:b/>
        </w:rPr>
        <w:t>Do not use</w:t>
      </w:r>
      <w:r w:rsidRPr="00097A25">
        <w:rPr>
          <w:rFonts w:ascii="Calibri" w:hAnsi="Calibri"/>
        </w:rPr>
        <w:t xml:space="preserve"> formatting such as extra carriage returns, bullets, automated numbering, bolding, or italics.</w:t>
      </w:r>
    </w:p>
    <w:p w:rsidR="00011116" w:rsidRDefault="00011116" w:rsidP="00011116">
      <w:pPr>
        <w:pStyle w:val="ListParagraph"/>
        <w:numPr>
          <w:ilvl w:val="0"/>
          <w:numId w:val="16"/>
        </w:numPr>
        <w:spacing w:before="0" w:after="0" w:line="240" w:lineRule="auto"/>
      </w:pPr>
      <w:r w:rsidRPr="00603286">
        <w:rPr>
          <w:b/>
          <w:color w:val="FF0000"/>
          <w:u w:val="single"/>
        </w:rPr>
        <w:t>Please do not repeat other entity’s comments</w:t>
      </w:r>
      <w:r w:rsidR="00B26F31">
        <w:t xml:space="preserve">. </w:t>
      </w:r>
      <w:r>
        <w:t>Select the appropriate item to support another entity’s comments</w:t>
      </w:r>
      <w:r w:rsidR="00B26F31">
        <w:t xml:space="preserve">. </w:t>
      </w:r>
      <w:r>
        <w:t>An opportunity to enter additional or exception comments will be available.</w:t>
      </w:r>
    </w:p>
    <w:p w:rsidR="00827D52" w:rsidRDefault="00827D52" w:rsidP="00067B0B">
      <w:pPr>
        <w:spacing w:before="0" w:after="0" w:line="240" w:lineRule="auto"/>
        <w:rPr>
          <w:highlight w:val="yellow"/>
        </w:rPr>
      </w:pPr>
    </w:p>
    <w:p w:rsidR="00776F75" w:rsidRPr="00776F75" w:rsidRDefault="00317914" w:rsidP="000669C7">
      <w:pPr>
        <w:keepNext/>
        <w:keepLines/>
        <w:numPr>
          <w:ilvl w:val="0"/>
          <w:numId w:val="13"/>
        </w:numPr>
        <w:spacing w:before="0" w:after="0" w:line="240" w:lineRule="auto"/>
        <w:ind w:left="360"/>
        <w:contextualSpacing/>
        <w:rPr>
          <w:rFonts w:ascii="Calibri" w:eastAsia="Calibri" w:hAnsi="Calibri" w:cs="Times New Roman"/>
          <w:szCs w:val="24"/>
          <w:lang w:bidi="ar-SA"/>
        </w:rPr>
      </w:pPr>
      <w:r>
        <w:rPr>
          <w:rFonts w:ascii="Calibri" w:eastAsia="Calibri" w:hAnsi="Calibri" w:cs="Times New Roman"/>
          <w:szCs w:val="24"/>
          <w:lang w:bidi="ar-SA"/>
        </w:rPr>
        <w:t xml:space="preserve">Do the changes to </w:t>
      </w:r>
      <w:r w:rsidR="00603286">
        <w:rPr>
          <w:rFonts w:ascii="Calibri" w:eastAsia="Calibri" w:hAnsi="Calibri" w:cs="Times New Roman"/>
          <w:szCs w:val="24"/>
          <w:lang w:bidi="ar-SA"/>
        </w:rPr>
        <w:t xml:space="preserve">the proposed </w:t>
      </w:r>
      <w:r>
        <w:rPr>
          <w:rFonts w:ascii="Calibri" w:eastAsia="Calibri" w:hAnsi="Calibri" w:cs="Times New Roman"/>
          <w:szCs w:val="24"/>
          <w:lang w:bidi="ar-SA"/>
        </w:rPr>
        <w:t xml:space="preserve">PRC-023-2 </w:t>
      </w:r>
      <w:r w:rsidR="00067B0B">
        <w:rPr>
          <w:rFonts w:ascii="Calibri" w:eastAsia="Calibri" w:hAnsi="Calibri" w:cs="Times New Roman"/>
          <w:szCs w:val="24"/>
          <w:lang w:bidi="ar-SA"/>
        </w:rPr>
        <w:t xml:space="preserve">and PRC-025-1 </w:t>
      </w:r>
      <w:r w:rsidR="00AF67ED">
        <w:rPr>
          <w:rFonts w:ascii="Calibri" w:eastAsia="Calibri" w:hAnsi="Calibri" w:cs="Times New Roman"/>
          <w:szCs w:val="24"/>
          <w:lang w:bidi="ar-SA"/>
        </w:rPr>
        <w:t xml:space="preserve">(listed above) </w:t>
      </w:r>
      <w:r>
        <w:rPr>
          <w:rFonts w:ascii="Calibri" w:eastAsia="Calibri" w:hAnsi="Calibri" w:cs="Times New Roman"/>
          <w:szCs w:val="24"/>
          <w:lang w:bidi="ar-SA"/>
        </w:rPr>
        <w:t xml:space="preserve">provide a bright line between the two standards?  </w:t>
      </w:r>
      <w:r w:rsidR="001E7BA0">
        <w:rPr>
          <w:rFonts w:ascii="Calibri" w:eastAsia="Calibri" w:hAnsi="Calibri" w:cs="Times New Roman"/>
          <w:szCs w:val="24"/>
          <w:lang w:bidi="ar-SA"/>
        </w:rPr>
        <w:t xml:space="preserve">If not, </w:t>
      </w:r>
      <w:r w:rsidR="00776F75" w:rsidRPr="00776F75">
        <w:rPr>
          <w:rFonts w:ascii="Calibri" w:eastAsia="Calibri" w:hAnsi="Calibri" w:cs="Times New Roman"/>
          <w:szCs w:val="24"/>
          <w:lang w:bidi="ar-SA"/>
        </w:rPr>
        <w:t xml:space="preserve">provide </w:t>
      </w:r>
      <w:r w:rsidR="001E7BA0">
        <w:rPr>
          <w:rFonts w:ascii="Calibri" w:eastAsia="Calibri" w:hAnsi="Calibri" w:cs="Times New Roman"/>
          <w:szCs w:val="24"/>
          <w:lang w:bidi="ar-SA"/>
        </w:rPr>
        <w:t>specific suggestions to improve or clarify the performance</w:t>
      </w:r>
      <w:r w:rsidR="004379DB">
        <w:rPr>
          <w:rFonts w:ascii="Calibri" w:eastAsia="Calibri" w:hAnsi="Calibri" w:cs="Times New Roman"/>
          <w:szCs w:val="24"/>
          <w:lang w:bidi="ar-SA"/>
        </w:rPr>
        <w:t xml:space="preserve"> between the standards</w:t>
      </w:r>
      <w:r w:rsidR="00776F75" w:rsidRPr="00776F75">
        <w:rPr>
          <w:rFonts w:ascii="Calibri" w:eastAsia="Calibri" w:hAnsi="Calibri" w:cs="Times New Roman"/>
          <w:szCs w:val="24"/>
          <w:lang w:bidi="ar-SA"/>
        </w:rPr>
        <w:t>.</w:t>
      </w:r>
    </w:p>
    <w:p w:rsidR="00776F75" w:rsidRPr="00776F75" w:rsidRDefault="00776F75" w:rsidP="00097A25">
      <w:pPr>
        <w:keepNext/>
        <w:spacing w:before="0" w:after="0" w:line="240" w:lineRule="auto"/>
        <w:ind w:left="360"/>
        <w:contextualSpacing/>
        <w:rPr>
          <w:rFonts w:ascii="Calibri" w:eastAsia="Calibri" w:hAnsi="Calibri" w:cs="Times New Roman"/>
          <w:sz w:val="22"/>
          <w:lang w:bidi="ar-SA"/>
        </w:rPr>
      </w:pPr>
    </w:p>
    <w:p w:rsidR="008B05CC" w:rsidRPr="000B7836" w:rsidRDefault="00EE4DF1" w:rsidP="00097A25">
      <w:pPr>
        <w:keepNext/>
        <w:spacing w:before="0" w:after="0" w:line="240" w:lineRule="auto"/>
        <w:ind w:left="36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EE4DF1" w:rsidP="00097A25">
      <w:pPr>
        <w:keepNext/>
        <w:spacing w:before="0" w:after="0" w:line="240" w:lineRule="auto"/>
        <w:ind w:left="36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8B05CC" w:rsidRPr="000B7836" w:rsidRDefault="00955AE5" w:rsidP="00067B0B">
      <w:pPr>
        <w:spacing w:before="120" w:after="0" w:line="240" w:lineRule="auto"/>
        <w:ind w:left="360"/>
      </w:pPr>
      <w:r w:rsidRPr="000B7836">
        <w:t xml:space="preserve">Comments: </w:t>
      </w:r>
      <w:r w:rsidR="00EE4DF1" w:rsidRPr="000B7836">
        <w:fldChar w:fldCharType="begin">
          <w:ffData>
            <w:name w:val="Text12"/>
            <w:enabled/>
            <w:calcOnExit w:val="0"/>
            <w:textInput/>
          </w:ffData>
        </w:fldChar>
      </w:r>
      <w:r w:rsidRPr="000B7836">
        <w:instrText xml:space="preserve"> FORMTEXT </w:instrText>
      </w:r>
      <w:r w:rsidR="00EE4DF1" w:rsidRPr="000B7836">
        <w:fldChar w:fldCharType="separate"/>
      </w:r>
      <w:r w:rsidRPr="000B7836">
        <w:t> </w:t>
      </w:r>
      <w:r w:rsidRPr="000B7836">
        <w:t> </w:t>
      </w:r>
      <w:r w:rsidRPr="000B7836">
        <w:t> </w:t>
      </w:r>
      <w:r w:rsidRPr="000B7836">
        <w:t> </w:t>
      </w:r>
      <w:r w:rsidRPr="000B7836">
        <w:t> </w:t>
      </w:r>
      <w:r w:rsidR="00EE4DF1" w:rsidRPr="000B7836">
        <w:fldChar w:fldCharType="end"/>
      </w:r>
    </w:p>
    <w:p w:rsidR="000B7836" w:rsidRDefault="000B7836" w:rsidP="00067B0B">
      <w:pPr>
        <w:spacing w:before="0" w:after="0" w:line="240" w:lineRule="auto"/>
        <w:rPr>
          <w:highlight w:val="yellow"/>
        </w:rPr>
      </w:pPr>
    </w:p>
    <w:p w:rsidR="005544AF" w:rsidRDefault="005544AF" w:rsidP="000669C7">
      <w:pPr>
        <w:pStyle w:val="ListParagraph"/>
        <w:keepNext/>
        <w:keepLines/>
        <w:numPr>
          <w:ilvl w:val="0"/>
          <w:numId w:val="13"/>
        </w:numPr>
        <w:spacing w:before="0" w:after="0" w:line="240" w:lineRule="auto"/>
        <w:ind w:left="360"/>
      </w:pPr>
      <w:r>
        <w:t>Does</w:t>
      </w:r>
      <w:r w:rsidR="00AF27C0">
        <w:t xml:space="preserve"> the </w:t>
      </w:r>
      <w:r w:rsidRPr="006F58DF">
        <w:rPr>
          <w:b/>
          <w:u w:val="single"/>
        </w:rPr>
        <w:t>Table 1</w:t>
      </w:r>
      <w:r w:rsidR="004379DB">
        <w:rPr>
          <w:b/>
          <w:u w:val="single"/>
        </w:rPr>
        <w:t>: Relay Loadability Evaluation Criteria</w:t>
      </w:r>
      <w:r>
        <w:t xml:space="preserve"> </w:t>
      </w:r>
      <w:r w:rsidR="00272DFD">
        <w:t xml:space="preserve">in both PRC-023-3 (Attachment C) and PRC-025-1 (Attachment 1) </w:t>
      </w:r>
      <w:r>
        <w:t>clearly identify the criteria for setting l</w:t>
      </w:r>
      <w:r w:rsidR="00AF27C0">
        <w:t>oad</w:t>
      </w:r>
      <w:r w:rsidR="004379DB">
        <w:t>-</w:t>
      </w:r>
      <w:r w:rsidR="00AF27C0">
        <w:t>responsive protective relays</w:t>
      </w:r>
      <w:r w:rsidRPr="00776F75">
        <w:t>?</w:t>
      </w:r>
      <w:r>
        <w:t xml:space="preserve"> </w:t>
      </w:r>
      <w:r w:rsidRPr="00776F75">
        <w:t xml:space="preserve"> </w:t>
      </w:r>
      <w:r>
        <w:t>If not, provide specific detail that would improve the clarity of Table 1</w:t>
      </w:r>
      <w:r w:rsidRPr="00776F75">
        <w:t>.</w:t>
      </w:r>
    </w:p>
    <w:p w:rsidR="005544AF" w:rsidRDefault="005544AF" w:rsidP="00097A25">
      <w:pPr>
        <w:keepNext/>
        <w:spacing w:before="0" w:after="0" w:line="240" w:lineRule="auto"/>
      </w:pPr>
    </w:p>
    <w:p w:rsidR="005544AF" w:rsidRPr="000B7836" w:rsidRDefault="00EE4DF1" w:rsidP="00097A25">
      <w:pPr>
        <w:keepNext/>
        <w:spacing w:before="0" w:after="0" w:line="240" w:lineRule="auto"/>
        <w:ind w:left="360"/>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Yes </w:t>
      </w:r>
    </w:p>
    <w:p w:rsidR="005544AF" w:rsidRPr="000B7836" w:rsidRDefault="00EE4DF1" w:rsidP="00097A25">
      <w:pPr>
        <w:keepNext/>
        <w:spacing w:before="0" w:after="0" w:line="240" w:lineRule="auto"/>
        <w:ind w:left="360"/>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No </w:t>
      </w:r>
    </w:p>
    <w:p w:rsidR="005544AF" w:rsidRDefault="005544AF" w:rsidP="00067B0B">
      <w:pPr>
        <w:spacing w:before="120" w:after="0" w:line="240" w:lineRule="auto"/>
        <w:ind w:left="360"/>
      </w:pPr>
      <w:r w:rsidRPr="000B7836">
        <w:t xml:space="preserve">Comments: </w:t>
      </w:r>
      <w:r w:rsidR="00EE4DF1" w:rsidRPr="000B7836">
        <w:fldChar w:fldCharType="begin">
          <w:ffData>
            <w:name w:val="Text12"/>
            <w:enabled/>
            <w:calcOnExit w:val="0"/>
            <w:textInput/>
          </w:ffData>
        </w:fldChar>
      </w:r>
      <w:r w:rsidRPr="000B7836">
        <w:instrText xml:space="preserve"> FORMTEXT </w:instrText>
      </w:r>
      <w:r w:rsidR="00EE4DF1" w:rsidRPr="000B7836">
        <w:fldChar w:fldCharType="separate"/>
      </w:r>
      <w:r w:rsidRPr="000B7836">
        <w:t> </w:t>
      </w:r>
      <w:r w:rsidRPr="000B7836">
        <w:t> </w:t>
      </w:r>
      <w:r w:rsidRPr="000B7836">
        <w:t> </w:t>
      </w:r>
      <w:r w:rsidRPr="000B7836">
        <w:t> </w:t>
      </w:r>
      <w:r w:rsidRPr="000B7836">
        <w:t> </w:t>
      </w:r>
      <w:r w:rsidR="00EE4DF1" w:rsidRPr="000B7836">
        <w:fldChar w:fldCharType="end"/>
      </w:r>
    </w:p>
    <w:p w:rsidR="005544AF" w:rsidRDefault="005544AF" w:rsidP="00067B0B">
      <w:pPr>
        <w:spacing w:before="120" w:after="0" w:line="240" w:lineRule="auto"/>
        <w:ind w:left="360"/>
      </w:pPr>
    </w:p>
    <w:p w:rsidR="00AF27C0" w:rsidRDefault="00AF27C0" w:rsidP="000669C7">
      <w:pPr>
        <w:pStyle w:val="ListParagraph"/>
        <w:keepNext/>
        <w:keepLines/>
        <w:numPr>
          <w:ilvl w:val="0"/>
          <w:numId w:val="13"/>
        </w:numPr>
        <w:spacing w:before="0" w:after="0" w:line="240" w:lineRule="auto"/>
        <w:ind w:left="360"/>
      </w:pPr>
      <w:r>
        <w:t xml:space="preserve">Does </w:t>
      </w:r>
      <w:r w:rsidRPr="00AB2C93">
        <w:rPr>
          <w:u w:val="single"/>
        </w:rPr>
        <w:t>PRC-025-1</w:t>
      </w:r>
      <w:r>
        <w:rPr>
          <w:u w:val="single"/>
        </w:rPr>
        <w:t>,</w:t>
      </w:r>
      <w:r w:rsidRPr="00AB2C93">
        <w:rPr>
          <w:u w:val="single"/>
        </w:rPr>
        <w:t xml:space="preserve"> </w:t>
      </w:r>
      <w:r w:rsidRPr="009307EC">
        <w:rPr>
          <w:b/>
          <w:u w:val="single"/>
        </w:rPr>
        <w:t>Guidelines and Technical Basis</w:t>
      </w:r>
      <w:r>
        <w:t xml:space="preserve"> </w:t>
      </w:r>
      <w:r w:rsidR="009307EC">
        <w:t xml:space="preserve">provide a </w:t>
      </w:r>
      <w:r>
        <w:t>clear</w:t>
      </w:r>
      <w:r w:rsidR="009307EC">
        <w:t xml:space="preserve"> understanding of</w:t>
      </w:r>
      <w:r>
        <w:t xml:space="preserve"> the various criteria, including </w:t>
      </w:r>
      <w:r w:rsidR="00067B0B">
        <w:t xml:space="preserve">the </w:t>
      </w:r>
      <w:r w:rsidR="009307EC">
        <w:t>options (e.g., 1</w:t>
      </w:r>
      <w:r w:rsidR="00067B0B">
        <w:t>a</w:t>
      </w:r>
      <w:r w:rsidR="009307EC">
        <w:t>, 1</w:t>
      </w:r>
      <w:r w:rsidR="00067B0B">
        <w:t>b</w:t>
      </w:r>
      <w:r w:rsidR="009307EC">
        <w:t xml:space="preserve">, </w:t>
      </w:r>
      <w:r w:rsidR="00067B0B">
        <w:t>1c, 2a</w:t>
      </w:r>
      <w:r w:rsidR="009307EC">
        <w:t>, etc.</w:t>
      </w:r>
      <w:r>
        <w:t>) for setting load</w:t>
      </w:r>
      <w:r w:rsidR="009307EC">
        <w:t>-</w:t>
      </w:r>
      <w:r>
        <w:t>responsive protective relays</w:t>
      </w:r>
      <w:r w:rsidRPr="00776F75">
        <w:t>?</w:t>
      </w:r>
      <w:r>
        <w:t xml:space="preserve"> </w:t>
      </w:r>
      <w:r w:rsidRPr="00776F75">
        <w:t xml:space="preserve"> </w:t>
      </w:r>
      <w:r>
        <w:t xml:space="preserve">If not, provide specific detail that would improve </w:t>
      </w:r>
      <w:r w:rsidR="009307EC">
        <w:t>the Guidelines and Technical Basis</w:t>
      </w:r>
      <w:r w:rsidRPr="00776F75">
        <w:t>.</w:t>
      </w:r>
    </w:p>
    <w:p w:rsidR="00AF27C0" w:rsidRDefault="00AF27C0" w:rsidP="00097A25">
      <w:pPr>
        <w:keepNext/>
        <w:spacing w:before="0" w:after="0" w:line="240" w:lineRule="auto"/>
      </w:pPr>
    </w:p>
    <w:p w:rsidR="00AF27C0" w:rsidRPr="000B7836" w:rsidRDefault="00EE4DF1" w:rsidP="00097A25">
      <w:pPr>
        <w:keepNext/>
        <w:spacing w:before="0" w:after="0" w:line="240" w:lineRule="auto"/>
        <w:ind w:left="360"/>
      </w:pPr>
      <w:r w:rsidRPr="000B7836">
        <w:fldChar w:fldCharType="begin">
          <w:ffData>
            <w:name w:val="Check4"/>
            <w:enabled/>
            <w:calcOnExit w:val="0"/>
            <w:checkBox>
              <w:sizeAuto/>
              <w:default w:val="0"/>
            </w:checkBox>
          </w:ffData>
        </w:fldChar>
      </w:r>
      <w:r w:rsidR="00AF27C0" w:rsidRPr="000B7836">
        <w:instrText xml:space="preserve"> FORMCHECKBOX </w:instrText>
      </w:r>
      <w:r>
        <w:fldChar w:fldCharType="separate"/>
      </w:r>
      <w:r w:rsidRPr="000B7836">
        <w:fldChar w:fldCharType="end"/>
      </w:r>
      <w:r w:rsidR="00AF27C0" w:rsidRPr="000B7836">
        <w:t xml:space="preserve"> Yes </w:t>
      </w:r>
    </w:p>
    <w:p w:rsidR="00AF27C0" w:rsidRPr="000B7836" w:rsidRDefault="00EE4DF1" w:rsidP="00097A25">
      <w:pPr>
        <w:keepNext/>
        <w:spacing w:before="0" w:after="0" w:line="240" w:lineRule="auto"/>
        <w:ind w:left="360"/>
      </w:pPr>
      <w:r w:rsidRPr="000B7836">
        <w:fldChar w:fldCharType="begin">
          <w:ffData>
            <w:name w:val="Check4"/>
            <w:enabled/>
            <w:calcOnExit w:val="0"/>
            <w:checkBox>
              <w:sizeAuto/>
              <w:default w:val="0"/>
            </w:checkBox>
          </w:ffData>
        </w:fldChar>
      </w:r>
      <w:r w:rsidR="00AF27C0" w:rsidRPr="000B7836">
        <w:instrText xml:space="preserve"> FORMCHECKBOX </w:instrText>
      </w:r>
      <w:r>
        <w:fldChar w:fldCharType="separate"/>
      </w:r>
      <w:r w:rsidRPr="000B7836">
        <w:fldChar w:fldCharType="end"/>
      </w:r>
      <w:r w:rsidR="00AF27C0" w:rsidRPr="000B7836">
        <w:t xml:space="preserve"> No </w:t>
      </w:r>
    </w:p>
    <w:p w:rsidR="00067B0B" w:rsidRDefault="00AF27C0">
      <w:pPr>
        <w:spacing w:before="0" w:after="200"/>
      </w:pPr>
      <w:r w:rsidRPr="000B7836">
        <w:t xml:space="preserve">Comments: </w:t>
      </w:r>
      <w:r w:rsidR="00EE4DF1" w:rsidRPr="000B7836">
        <w:fldChar w:fldCharType="begin">
          <w:ffData>
            <w:name w:val="Text12"/>
            <w:enabled/>
            <w:calcOnExit w:val="0"/>
            <w:textInput/>
          </w:ffData>
        </w:fldChar>
      </w:r>
      <w:r w:rsidRPr="000B7836">
        <w:instrText xml:space="preserve"> FORMTEXT </w:instrText>
      </w:r>
      <w:r w:rsidR="00EE4DF1" w:rsidRPr="000B7836">
        <w:fldChar w:fldCharType="separate"/>
      </w:r>
      <w:r w:rsidRPr="000B7836">
        <w:t> </w:t>
      </w:r>
      <w:r w:rsidRPr="000B7836">
        <w:t> </w:t>
      </w:r>
      <w:r w:rsidRPr="000B7836">
        <w:t> </w:t>
      </w:r>
      <w:r w:rsidRPr="000B7836">
        <w:t> </w:t>
      </w:r>
      <w:r w:rsidRPr="000B7836">
        <w:t> </w:t>
      </w:r>
      <w:r w:rsidR="00EE4DF1" w:rsidRPr="000B7836">
        <w:fldChar w:fldCharType="end"/>
      </w:r>
    </w:p>
    <w:p w:rsidR="00AF27C0" w:rsidRDefault="00AF27C0" w:rsidP="00067B0B">
      <w:pPr>
        <w:spacing w:before="120" w:after="0" w:line="240" w:lineRule="auto"/>
        <w:ind w:left="360"/>
      </w:pPr>
    </w:p>
    <w:p w:rsidR="00067B0B" w:rsidRDefault="00571DF2" w:rsidP="000669C7">
      <w:pPr>
        <w:pStyle w:val="ListParagraph"/>
        <w:keepNext/>
        <w:keepLines/>
        <w:numPr>
          <w:ilvl w:val="0"/>
          <w:numId w:val="13"/>
        </w:numPr>
        <w:spacing w:before="120" w:after="0" w:line="240" w:lineRule="auto"/>
        <w:ind w:left="360"/>
      </w:pPr>
      <w:r>
        <w:t xml:space="preserve">The drafting team developed an Implementation Plan for the added requirements </w:t>
      </w:r>
      <w:r w:rsidR="00603286">
        <w:t>of the proposed</w:t>
      </w:r>
      <w:r>
        <w:t xml:space="preserve"> PRC-023-3 that aligns with that proposed </w:t>
      </w:r>
      <w:r w:rsidR="00603286">
        <w:t>in</w:t>
      </w:r>
      <w:r>
        <w:t xml:space="preserve"> PRC-025-1</w:t>
      </w:r>
      <w:r w:rsidR="008521E2">
        <w:t>. D</w:t>
      </w:r>
      <w:r w:rsidR="00561787">
        <w:t xml:space="preserve">o you agree </w:t>
      </w:r>
      <w:r w:rsidR="008521E2">
        <w:t>with the proposed</w:t>
      </w:r>
      <w:r w:rsidR="00561787">
        <w:t xml:space="preserve"> </w:t>
      </w:r>
      <w:r w:rsidR="00F2411E" w:rsidRPr="00F2411E">
        <w:rPr>
          <w:b/>
        </w:rPr>
        <w:t>I</w:t>
      </w:r>
      <w:r w:rsidR="00561787" w:rsidRPr="00F2411E">
        <w:rPr>
          <w:b/>
        </w:rPr>
        <w:t xml:space="preserve">mplementation </w:t>
      </w:r>
      <w:r w:rsidR="00F2411E" w:rsidRPr="00F2411E">
        <w:rPr>
          <w:b/>
        </w:rPr>
        <w:t>Plan</w:t>
      </w:r>
      <w:r w:rsidR="00F2411E">
        <w:t xml:space="preserve"> </w:t>
      </w:r>
      <w:r>
        <w:t xml:space="preserve">for PRC-023-3 </w:t>
      </w:r>
      <w:r w:rsidR="00B438D0">
        <w:t xml:space="preserve">Requirements R7 and R8 </w:t>
      </w:r>
      <w:r w:rsidR="00603286">
        <w:t>and the proposed PRC-025-1</w:t>
      </w:r>
      <w:r w:rsidR="008521E2">
        <w:t>:</w:t>
      </w:r>
    </w:p>
    <w:p w:rsidR="00067B0B" w:rsidRDefault="00561787" w:rsidP="00097A25">
      <w:pPr>
        <w:pStyle w:val="ListParagraph"/>
        <w:keepNext/>
        <w:numPr>
          <w:ilvl w:val="1"/>
          <w:numId w:val="13"/>
        </w:numPr>
        <w:spacing w:before="120" w:after="0" w:line="240" w:lineRule="auto"/>
      </w:pPr>
      <w:r>
        <w:t xml:space="preserve">48-months to </w:t>
      </w:r>
      <w:r w:rsidR="00067B0B">
        <w:t xml:space="preserve">apply load-responsive protective relay settings </w:t>
      </w:r>
      <w:r w:rsidR="008521E2">
        <w:t>,</w:t>
      </w:r>
      <w:r w:rsidR="00067B0B">
        <w:t xml:space="preserve"> </w:t>
      </w:r>
      <w:r w:rsidR="008521E2" w:rsidRPr="008521E2">
        <w:t>where</w:t>
      </w:r>
      <w:r w:rsidR="008521E2">
        <w:rPr>
          <w:b/>
        </w:rPr>
        <w:t xml:space="preserve"> </w:t>
      </w:r>
      <w:r w:rsidR="008521E2" w:rsidRPr="008521E2">
        <w:t>relay</w:t>
      </w:r>
      <w:r w:rsidR="008521E2">
        <w:rPr>
          <w:b/>
        </w:rPr>
        <w:t xml:space="preserve"> replacement is </w:t>
      </w:r>
      <w:r w:rsidR="008521E2" w:rsidRPr="008521E2">
        <w:rPr>
          <w:b/>
          <w:u w:val="single"/>
        </w:rPr>
        <w:t>not</w:t>
      </w:r>
      <w:r w:rsidR="008521E2">
        <w:rPr>
          <w:b/>
        </w:rPr>
        <w:t xml:space="preserve"> required</w:t>
      </w:r>
      <w:r w:rsidR="00067B0B">
        <w:rPr>
          <w:b/>
        </w:rPr>
        <w:t xml:space="preserve">, </w:t>
      </w:r>
      <w:r w:rsidR="00067B0B" w:rsidRPr="00E07DD0">
        <w:t>a</w:t>
      </w:r>
      <w:r w:rsidR="000075C3">
        <w:t>nd</w:t>
      </w:r>
    </w:p>
    <w:p w:rsidR="00067B0B" w:rsidRPr="00067B0B" w:rsidRDefault="00067B0B" w:rsidP="00097A25">
      <w:pPr>
        <w:pStyle w:val="ListParagraph"/>
        <w:keepNext/>
        <w:numPr>
          <w:ilvl w:val="1"/>
          <w:numId w:val="13"/>
        </w:numPr>
        <w:spacing w:before="120" w:after="0" w:line="240" w:lineRule="auto"/>
      </w:pPr>
      <w:r>
        <w:t>72-months</w:t>
      </w:r>
      <w:r w:rsidR="008521E2" w:rsidRPr="008521E2">
        <w:t xml:space="preserve"> </w:t>
      </w:r>
      <w:r w:rsidR="008521E2">
        <w:t>to apply load-responsive protective relay</w:t>
      </w:r>
      <w:bookmarkStart w:id="0" w:name="_GoBack"/>
      <w:bookmarkEnd w:id="0"/>
      <w:r w:rsidR="008521E2">
        <w:t xml:space="preserve"> settings</w:t>
      </w:r>
      <w:r w:rsidR="000075C3">
        <w:t xml:space="preserve">, where </w:t>
      </w:r>
      <w:r w:rsidR="00D2228A">
        <w:t>relay</w:t>
      </w:r>
      <w:r w:rsidR="000075C3">
        <w:t xml:space="preserve"> </w:t>
      </w:r>
      <w:r w:rsidR="000075C3" w:rsidRPr="00D2228A">
        <w:rPr>
          <w:b/>
        </w:rPr>
        <w:t xml:space="preserve">replacement </w:t>
      </w:r>
      <w:r w:rsidR="000075C3" w:rsidRPr="008521E2">
        <w:rPr>
          <w:b/>
          <w:u w:val="single"/>
        </w:rPr>
        <w:t>is</w:t>
      </w:r>
      <w:r w:rsidR="000075C3" w:rsidRPr="00D2228A">
        <w:rPr>
          <w:b/>
        </w:rPr>
        <w:t xml:space="preserve"> required</w:t>
      </w:r>
      <w:r>
        <w:rPr>
          <w:b/>
        </w:rPr>
        <w:t>?</w:t>
      </w:r>
    </w:p>
    <w:p w:rsidR="00561787" w:rsidRDefault="00561787" w:rsidP="00097A25">
      <w:pPr>
        <w:keepNext/>
        <w:spacing w:before="120" w:after="0" w:line="240" w:lineRule="auto"/>
        <w:ind w:left="360"/>
      </w:pPr>
      <w:r>
        <w:t xml:space="preserve">If not, </w:t>
      </w:r>
      <w:r w:rsidR="007571F7">
        <w:t xml:space="preserve">provide an alternative </w:t>
      </w:r>
      <w:r w:rsidR="00067B0B">
        <w:t>implementation</w:t>
      </w:r>
      <w:r w:rsidR="008521E2">
        <w:t xml:space="preserve"> plan</w:t>
      </w:r>
      <w:r w:rsidR="00067B0B">
        <w:t xml:space="preserve"> </w:t>
      </w:r>
      <w:r w:rsidR="00F2411E">
        <w:t>with</w:t>
      </w:r>
      <w:r w:rsidR="007571F7">
        <w:t xml:space="preserve"> specific rationale for such an alternative</w:t>
      </w:r>
      <w:r>
        <w:t xml:space="preserve"> period.</w:t>
      </w:r>
    </w:p>
    <w:p w:rsidR="00067B0B" w:rsidRDefault="00067B0B" w:rsidP="00097A25">
      <w:pPr>
        <w:pStyle w:val="ListParagraph"/>
        <w:keepNext/>
        <w:spacing w:before="120" w:after="0" w:line="240" w:lineRule="auto"/>
        <w:ind w:left="360"/>
      </w:pPr>
    </w:p>
    <w:p w:rsidR="007571F7" w:rsidRPr="000B7836" w:rsidRDefault="00EE4DF1" w:rsidP="00097A25">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7571F7" w:rsidRPr="000B7836">
        <w:instrText xml:space="preserve"> FORMCHECKBOX </w:instrText>
      </w:r>
      <w:r>
        <w:fldChar w:fldCharType="separate"/>
      </w:r>
      <w:r w:rsidRPr="000B7836">
        <w:fldChar w:fldCharType="end"/>
      </w:r>
      <w:r w:rsidR="007571F7" w:rsidRPr="000B7836">
        <w:t xml:space="preserve"> Yes </w:t>
      </w:r>
    </w:p>
    <w:p w:rsidR="007571F7" w:rsidRPr="000B7836" w:rsidRDefault="00EE4DF1" w:rsidP="00097A25">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7571F7" w:rsidRPr="000B7836">
        <w:instrText xml:space="preserve"> FORMCHECKBOX </w:instrText>
      </w:r>
      <w:r>
        <w:fldChar w:fldCharType="separate"/>
      </w:r>
      <w:r w:rsidRPr="000B7836">
        <w:fldChar w:fldCharType="end"/>
      </w:r>
      <w:r w:rsidR="007571F7" w:rsidRPr="000B7836">
        <w:t xml:space="preserve"> No </w:t>
      </w:r>
    </w:p>
    <w:p w:rsidR="000B7836" w:rsidRDefault="00561787" w:rsidP="00067B0B">
      <w:pPr>
        <w:spacing w:before="120" w:after="0" w:line="240" w:lineRule="auto"/>
        <w:ind w:left="360"/>
      </w:pPr>
      <w:r w:rsidRPr="000B7836">
        <w:t xml:space="preserve"> </w:t>
      </w:r>
      <w:r w:rsidR="000B7836" w:rsidRPr="000B7836">
        <w:t xml:space="preserve">Comments: </w:t>
      </w:r>
      <w:r w:rsidR="00EE4DF1" w:rsidRPr="000B7836">
        <w:fldChar w:fldCharType="begin">
          <w:ffData>
            <w:name w:val="Text12"/>
            <w:enabled/>
            <w:calcOnExit w:val="0"/>
            <w:textInput/>
          </w:ffData>
        </w:fldChar>
      </w:r>
      <w:r w:rsidR="000B7836" w:rsidRPr="000B7836">
        <w:instrText xml:space="preserve"> FORMTEXT </w:instrText>
      </w:r>
      <w:r w:rsidR="00EE4DF1" w:rsidRPr="000B7836">
        <w:fldChar w:fldCharType="separate"/>
      </w:r>
      <w:r w:rsidR="000B7836" w:rsidRPr="000B7836">
        <w:t> </w:t>
      </w:r>
      <w:r w:rsidR="000B7836" w:rsidRPr="000B7836">
        <w:t> </w:t>
      </w:r>
      <w:r w:rsidR="000B7836" w:rsidRPr="000B7836">
        <w:t> </w:t>
      </w:r>
      <w:r w:rsidR="000B7836" w:rsidRPr="000B7836">
        <w:t> </w:t>
      </w:r>
      <w:r w:rsidR="000B7836" w:rsidRPr="000B7836">
        <w:t> </w:t>
      </w:r>
      <w:r w:rsidR="00EE4DF1" w:rsidRPr="000B7836">
        <w:fldChar w:fldCharType="end"/>
      </w:r>
    </w:p>
    <w:p w:rsidR="0005054E" w:rsidRDefault="0005054E" w:rsidP="00067B0B">
      <w:pPr>
        <w:spacing w:before="120" w:after="0" w:line="240" w:lineRule="auto"/>
        <w:ind w:left="360"/>
      </w:pPr>
    </w:p>
    <w:p w:rsidR="0005054E" w:rsidRDefault="0005054E" w:rsidP="000669C7">
      <w:pPr>
        <w:pStyle w:val="ListParagraph"/>
        <w:keepNext/>
        <w:keepLines/>
        <w:numPr>
          <w:ilvl w:val="0"/>
          <w:numId w:val="13"/>
        </w:numPr>
        <w:spacing w:before="120" w:after="0" w:line="240" w:lineRule="auto"/>
        <w:ind w:left="360"/>
      </w:pPr>
      <w:r>
        <w:t>Do you have any other comments?  If so, please provide suggested changes and rationale.</w:t>
      </w:r>
    </w:p>
    <w:p w:rsidR="0005054E" w:rsidRDefault="0005054E" w:rsidP="00097A25">
      <w:pPr>
        <w:pStyle w:val="ListParagraph"/>
        <w:keepNext/>
        <w:spacing w:before="0" w:after="0" w:line="240" w:lineRule="auto"/>
      </w:pPr>
    </w:p>
    <w:p w:rsidR="0005054E" w:rsidRPr="000B7836" w:rsidRDefault="00EE4DF1" w:rsidP="00097A25">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05054E" w:rsidRPr="000B7836">
        <w:instrText xml:space="preserve"> FORMCHECKBOX </w:instrText>
      </w:r>
      <w:r>
        <w:fldChar w:fldCharType="separate"/>
      </w:r>
      <w:r w:rsidRPr="000B7836">
        <w:fldChar w:fldCharType="end"/>
      </w:r>
      <w:r w:rsidR="0005054E" w:rsidRPr="000B7836">
        <w:t xml:space="preserve"> Yes </w:t>
      </w:r>
    </w:p>
    <w:p w:rsidR="0005054E" w:rsidRPr="000B7836" w:rsidRDefault="00EE4DF1" w:rsidP="00097A25">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05054E" w:rsidRPr="000B7836">
        <w:instrText xml:space="preserve"> FORMCHECKBOX </w:instrText>
      </w:r>
      <w:r>
        <w:fldChar w:fldCharType="separate"/>
      </w:r>
      <w:r w:rsidRPr="000B7836">
        <w:fldChar w:fldCharType="end"/>
      </w:r>
      <w:r w:rsidR="0005054E" w:rsidRPr="000B7836">
        <w:t xml:space="preserve"> No </w:t>
      </w:r>
    </w:p>
    <w:p w:rsidR="0005054E" w:rsidRPr="000B7836" w:rsidRDefault="0005054E" w:rsidP="00067B0B">
      <w:pPr>
        <w:spacing w:before="120" w:after="0" w:line="240" w:lineRule="auto"/>
        <w:ind w:left="360"/>
      </w:pPr>
      <w:r w:rsidRPr="000B7836">
        <w:t xml:space="preserve"> Comments: </w:t>
      </w:r>
      <w:r w:rsidR="00EE4DF1" w:rsidRPr="000B7836">
        <w:fldChar w:fldCharType="begin">
          <w:ffData>
            <w:name w:val="Text12"/>
            <w:enabled/>
            <w:calcOnExit w:val="0"/>
            <w:textInput/>
          </w:ffData>
        </w:fldChar>
      </w:r>
      <w:r w:rsidRPr="000B7836">
        <w:instrText xml:space="preserve"> FORMTEXT </w:instrText>
      </w:r>
      <w:r w:rsidR="00EE4DF1" w:rsidRPr="000B7836">
        <w:fldChar w:fldCharType="separate"/>
      </w:r>
      <w:r w:rsidRPr="000B7836">
        <w:t> </w:t>
      </w:r>
      <w:r w:rsidRPr="000B7836">
        <w:t> </w:t>
      </w:r>
      <w:r w:rsidRPr="000B7836">
        <w:t> </w:t>
      </w:r>
      <w:r w:rsidRPr="000B7836">
        <w:t> </w:t>
      </w:r>
      <w:r w:rsidRPr="000B7836">
        <w:t> </w:t>
      </w:r>
      <w:r w:rsidR="00EE4DF1" w:rsidRPr="000B7836">
        <w:fldChar w:fldCharType="end"/>
      </w:r>
    </w:p>
    <w:sectPr w:rsidR="0005054E" w:rsidRPr="000B7836" w:rsidSect="00782923">
      <w:headerReference w:type="default" r:id="rId15"/>
      <w:footerReference w:type="default" r:id="rId16"/>
      <w:headerReference w:type="first" r:id="rId17"/>
      <w:footerReference w:type="first" r:id="rId18"/>
      <w:pgSz w:w="12240" w:h="15840" w:code="1"/>
      <w:pgMar w:top="2520" w:right="1440" w:bottom="108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3C" w:rsidRDefault="00813E3C" w:rsidP="002965ED">
      <w:r>
        <w:separator/>
      </w:r>
    </w:p>
  </w:endnote>
  <w:endnote w:type="continuationSeparator" w:id="0">
    <w:p w:rsidR="00813E3C" w:rsidRDefault="00813E3C"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F1" w:rsidRPr="00BC0E72" w:rsidRDefault="00EE4DF1" w:rsidP="00BC0E72">
    <w:pPr>
      <w:tabs>
        <w:tab w:val="left" w:pos="9360"/>
      </w:tabs>
      <w:spacing w:before="0" w:after="0" w:line="240" w:lineRule="auto"/>
      <w:rPr>
        <w:rFonts w:ascii="Tahoma" w:hAnsi="Tahoma" w:cs="Tahoma"/>
        <w:b/>
        <w:color w:val="143970"/>
        <w:sz w:val="18"/>
        <w:szCs w:val="18"/>
      </w:rPr>
    </w:pPr>
    <w:fldSimple w:instr=" SUBJECT   \* MERGEFORMAT ">
      <w:r w:rsidR="00FA51F1" w:rsidRPr="00BC0E72">
        <w:rPr>
          <w:rFonts w:cs="Tahoma"/>
          <w:b/>
          <w:color w:val="143970"/>
          <w:sz w:val="18"/>
          <w:szCs w:val="18"/>
        </w:rPr>
        <w:t>Unofficial Comment Form</w:t>
      </w:r>
    </w:fldSimple>
    <w:r w:rsidR="00FA51F1">
      <w:rPr>
        <w:color w:val="143970"/>
        <w:sz w:val="18"/>
        <w:szCs w:val="18"/>
      </w:rPr>
      <w:br/>
    </w:r>
    <w:r w:rsidR="00FA51F1" w:rsidRPr="00BC0E72">
      <w:rPr>
        <w:rFonts w:cs="Tahoma"/>
        <w:b/>
        <w:color w:val="143970"/>
        <w:sz w:val="18"/>
        <w:szCs w:val="18"/>
      </w:rPr>
      <w:t>Project 2010-13.2 –</w:t>
    </w:r>
    <w:r w:rsidR="00FA51F1">
      <w:rPr>
        <w:rFonts w:cs="Tahoma"/>
        <w:b/>
        <w:color w:val="143970"/>
        <w:sz w:val="18"/>
        <w:szCs w:val="18"/>
      </w:rPr>
      <w:t xml:space="preserve">Phase II </w:t>
    </w:r>
    <w:r w:rsidR="00FA51F1" w:rsidRPr="00BC0E72">
      <w:rPr>
        <w:rFonts w:cs="Tahoma"/>
        <w:b/>
        <w:color w:val="143970"/>
        <w:sz w:val="18"/>
        <w:szCs w:val="18"/>
      </w:rPr>
      <w:t>Relay Loadability</w:t>
    </w:r>
    <w:r w:rsidR="00FA51F1">
      <w:rPr>
        <w:rFonts w:cs="Tahoma"/>
        <w:b/>
        <w:color w:val="143970"/>
        <w:sz w:val="18"/>
        <w:szCs w:val="18"/>
      </w:rPr>
      <w:t xml:space="preserve"> </w:t>
    </w:r>
    <w:r w:rsidR="00FA51F1" w:rsidRPr="00BC0E72">
      <w:rPr>
        <w:rFonts w:cs="Tahoma"/>
        <w:b/>
        <w:color w:val="143970"/>
        <w:sz w:val="18"/>
        <w:szCs w:val="18"/>
      </w:rPr>
      <w:t>(</w:t>
    </w:r>
    <w:r w:rsidR="00FA51F1">
      <w:rPr>
        <w:rFonts w:cs="Tahoma"/>
        <w:b/>
        <w:color w:val="143970"/>
        <w:sz w:val="18"/>
        <w:szCs w:val="18"/>
      </w:rPr>
      <w:t xml:space="preserve">Draft 3: PRC-025-1) April </w:t>
    </w:r>
    <w:r w:rsidR="00827DC1">
      <w:rPr>
        <w:rFonts w:cs="Tahoma"/>
        <w:b/>
        <w:color w:val="143970"/>
        <w:sz w:val="18"/>
        <w:szCs w:val="18"/>
      </w:rPr>
      <w:t>2</w:t>
    </w:r>
    <w:r w:rsidR="003021AF">
      <w:rPr>
        <w:rFonts w:cs="Tahoma"/>
        <w:b/>
        <w:color w:val="143970"/>
        <w:sz w:val="18"/>
        <w:szCs w:val="18"/>
      </w:rPr>
      <w:t>5</w:t>
    </w:r>
    <w:r w:rsidR="00FA51F1">
      <w:rPr>
        <w:rFonts w:cs="Tahoma"/>
        <w:b/>
        <w:color w:val="143970"/>
        <w:sz w:val="18"/>
        <w:szCs w:val="18"/>
      </w:rPr>
      <w:t>, 2013</w:t>
    </w:r>
    <w:r w:rsidR="00FA51F1" w:rsidRPr="00BC0E72">
      <w:rPr>
        <w:rFonts w:cs="Tahoma"/>
        <w:b/>
        <w:noProof/>
        <w:color w:val="143970"/>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FA51F1">
      <w:rPr>
        <w:color w:val="143970"/>
        <w:sz w:val="18"/>
        <w:szCs w:val="18"/>
      </w:rPr>
      <w:tab/>
    </w:r>
    <w:r w:rsidRPr="00400EB4">
      <w:rPr>
        <w:rFonts w:cs="Tahoma"/>
        <w:b/>
        <w:color w:val="143970"/>
        <w:sz w:val="18"/>
        <w:szCs w:val="18"/>
      </w:rPr>
      <w:fldChar w:fldCharType="begin"/>
    </w:r>
    <w:r w:rsidR="00FA51F1" w:rsidRPr="00400EB4">
      <w:rPr>
        <w:rFonts w:cs="Tahoma"/>
        <w:b/>
        <w:color w:val="143970"/>
        <w:sz w:val="18"/>
        <w:szCs w:val="18"/>
      </w:rPr>
      <w:instrText xml:space="preserve"> PAGE   \* MERGEFORMAT </w:instrText>
    </w:r>
    <w:r w:rsidRPr="00400EB4">
      <w:rPr>
        <w:rFonts w:cs="Tahoma"/>
        <w:b/>
        <w:color w:val="143970"/>
        <w:sz w:val="18"/>
        <w:szCs w:val="18"/>
      </w:rPr>
      <w:fldChar w:fldCharType="separate"/>
    </w:r>
    <w:r w:rsidR="003021AF">
      <w:rPr>
        <w:rFonts w:cs="Tahoma"/>
        <w:b/>
        <w:noProof/>
        <w:color w:val="143970"/>
        <w:sz w:val="18"/>
        <w:szCs w:val="18"/>
      </w:rPr>
      <w:t>2</w:t>
    </w:r>
    <w:r w:rsidRPr="00400EB4">
      <w:rPr>
        <w:rFonts w:cs="Tahoma"/>
        <w:b/>
        <w:color w:val="14397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F1" w:rsidRDefault="00FA51F1"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3C" w:rsidRDefault="00813E3C" w:rsidP="002965ED">
      <w:r>
        <w:separator/>
      </w:r>
    </w:p>
  </w:footnote>
  <w:footnote w:type="continuationSeparator" w:id="0">
    <w:p w:rsidR="00813E3C" w:rsidRDefault="00813E3C" w:rsidP="002965ED">
      <w:r>
        <w:continuationSeparator/>
      </w:r>
    </w:p>
  </w:footnote>
  <w:footnote w:id="1">
    <w:p w:rsidR="00FA51F1" w:rsidRPr="00BC0E72" w:rsidRDefault="00FA51F1">
      <w:pPr>
        <w:pStyle w:val="FootnoteText"/>
        <w:rPr>
          <w:sz w:val="16"/>
          <w:szCs w:val="16"/>
        </w:rPr>
      </w:pPr>
      <w:r w:rsidRPr="00BC0E72">
        <w:rPr>
          <w:rStyle w:val="FootnoteReference"/>
          <w:sz w:val="16"/>
          <w:szCs w:val="16"/>
        </w:rPr>
        <w:footnoteRef/>
      </w:r>
      <w:r w:rsidRPr="00BC0E72">
        <w:rPr>
          <w:sz w:val="16"/>
          <w:szCs w:val="16"/>
        </w:rPr>
        <w:t xml:space="preserve"> Transmission Relay Loadability Reliability Standard, Order No. 733, 130 FERC ¶ 61,221 (2010), Paragraphs 104, 105, 106, and 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F1" w:rsidRPr="007C364F" w:rsidRDefault="00FA51F1" w:rsidP="002965ED">
    <w:pPr>
      <w:rPr>
        <w:rFonts w:ascii="Tahoma" w:hAnsi="Tahoma" w:cs="Tahoma"/>
        <w:b/>
        <w:sz w:val="18"/>
        <w:szCs w:val="18"/>
        <w:lang w:bidi="ar-SA"/>
      </w:rPr>
    </w:pPr>
    <w:r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F1" w:rsidRDefault="00FA51F1"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33556"/>
    <w:multiLevelType w:val="hybridMultilevel"/>
    <w:tmpl w:val="DC14AE8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12">
    <w:nsid w:val="11343562"/>
    <w:multiLevelType w:val="hybridMultilevel"/>
    <w:tmpl w:val="E9E4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E51ED"/>
    <w:multiLevelType w:val="hybridMultilevel"/>
    <w:tmpl w:val="BB30B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6C69C7"/>
    <w:multiLevelType w:val="hybridMultilevel"/>
    <w:tmpl w:val="ADA8B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274D69"/>
    <w:multiLevelType w:val="hybridMultilevel"/>
    <w:tmpl w:val="F07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8426F"/>
    <w:multiLevelType w:val="hybridMultilevel"/>
    <w:tmpl w:val="13FE7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6"/>
  </w:num>
  <w:num w:numId="15">
    <w:abstractNumId w:val="18"/>
  </w:num>
  <w:num w:numId="16">
    <w:abstractNumId w:val="13"/>
  </w:num>
  <w:num w:numId="17">
    <w:abstractNumId w:val="11"/>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AB32A0"/>
    <w:rsid w:val="00003D7A"/>
    <w:rsid w:val="000075C3"/>
    <w:rsid w:val="00011116"/>
    <w:rsid w:val="00025B38"/>
    <w:rsid w:val="000330B8"/>
    <w:rsid w:val="0004028B"/>
    <w:rsid w:val="00044475"/>
    <w:rsid w:val="0005054E"/>
    <w:rsid w:val="00050C3A"/>
    <w:rsid w:val="00065223"/>
    <w:rsid w:val="000669C7"/>
    <w:rsid w:val="00067B0B"/>
    <w:rsid w:val="00097A25"/>
    <w:rsid w:val="000A423B"/>
    <w:rsid w:val="000A43C9"/>
    <w:rsid w:val="000A620C"/>
    <w:rsid w:val="000B7836"/>
    <w:rsid w:val="000C013C"/>
    <w:rsid w:val="000D11B5"/>
    <w:rsid w:val="000D643C"/>
    <w:rsid w:val="000E07BD"/>
    <w:rsid w:val="000E1BE5"/>
    <w:rsid w:val="00102AD7"/>
    <w:rsid w:val="001202F8"/>
    <w:rsid w:val="00134941"/>
    <w:rsid w:val="0014165C"/>
    <w:rsid w:val="00176EB1"/>
    <w:rsid w:val="001818ED"/>
    <w:rsid w:val="001A505A"/>
    <w:rsid w:val="001D6D73"/>
    <w:rsid w:val="001E4B8D"/>
    <w:rsid w:val="001E79A4"/>
    <w:rsid w:val="001E7BA0"/>
    <w:rsid w:val="00216DC9"/>
    <w:rsid w:val="0022545F"/>
    <w:rsid w:val="0023258B"/>
    <w:rsid w:val="002352EC"/>
    <w:rsid w:val="00263DAE"/>
    <w:rsid w:val="0026409A"/>
    <w:rsid w:val="002677C2"/>
    <w:rsid w:val="00270ACE"/>
    <w:rsid w:val="00272DFD"/>
    <w:rsid w:val="00286E9C"/>
    <w:rsid w:val="002965ED"/>
    <w:rsid w:val="002D5B94"/>
    <w:rsid w:val="002E278A"/>
    <w:rsid w:val="002F4887"/>
    <w:rsid w:val="002F5980"/>
    <w:rsid w:val="003021AF"/>
    <w:rsid w:val="00306A7A"/>
    <w:rsid w:val="00307AE3"/>
    <w:rsid w:val="00315743"/>
    <w:rsid w:val="00317914"/>
    <w:rsid w:val="00347510"/>
    <w:rsid w:val="003A7B25"/>
    <w:rsid w:val="003C0B1A"/>
    <w:rsid w:val="00400EB4"/>
    <w:rsid w:val="00405161"/>
    <w:rsid w:val="00413759"/>
    <w:rsid w:val="004379DB"/>
    <w:rsid w:val="004627CD"/>
    <w:rsid w:val="00464AF0"/>
    <w:rsid w:val="004C2877"/>
    <w:rsid w:val="004C699C"/>
    <w:rsid w:val="004D26E0"/>
    <w:rsid w:val="004D2CDA"/>
    <w:rsid w:val="005045D4"/>
    <w:rsid w:val="00514EA9"/>
    <w:rsid w:val="00524343"/>
    <w:rsid w:val="005349E0"/>
    <w:rsid w:val="00536C6C"/>
    <w:rsid w:val="00543146"/>
    <w:rsid w:val="00550A7F"/>
    <w:rsid w:val="005532F2"/>
    <w:rsid w:val="005544AF"/>
    <w:rsid w:val="00561787"/>
    <w:rsid w:val="00571DF2"/>
    <w:rsid w:val="00582D82"/>
    <w:rsid w:val="00584316"/>
    <w:rsid w:val="00585E0E"/>
    <w:rsid w:val="0059398D"/>
    <w:rsid w:val="005D0BB3"/>
    <w:rsid w:val="005D6722"/>
    <w:rsid w:val="005D7C81"/>
    <w:rsid w:val="005E0455"/>
    <w:rsid w:val="00600C8C"/>
    <w:rsid w:val="00603286"/>
    <w:rsid w:val="00610FAC"/>
    <w:rsid w:val="00636D36"/>
    <w:rsid w:val="006533B3"/>
    <w:rsid w:val="00663E95"/>
    <w:rsid w:val="00693BF4"/>
    <w:rsid w:val="006A48FC"/>
    <w:rsid w:val="006B1AA7"/>
    <w:rsid w:val="006D4839"/>
    <w:rsid w:val="006D722C"/>
    <w:rsid w:val="006F58DF"/>
    <w:rsid w:val="006F6838"/>
    <w:rsid w:val="00715BD4"/>
    <w:rsid w:val="00716EF6"/>
    <w:rsid w:val="00722DD2"/>
    <w:rsid w:val="007571F7"/>
    <w:rsid w:val="00776F75"/>
    <w:rsid w:val="00782923"/>
    <w:rsid w:val="007867CE"/>
    <w:rsid w:val="00787791"/>
    <w:rsid w:val="007A5EA4"/>
    <w:rsid w:val="007C364F"/>
    <w:rsid w:val="007F0B4C"/>
    <w:rsid w:val="008059DD"/>
    <w:rsid w:val="008074BB"/>
    <w:rsid w:val="00813E3C"/>
    <w:rsid w:val="00815EE9"/>
    <w:rsid w:val="00827D52"/>
    <w:rsid w:val="00827DC1"/>
    <w:rsid w:val="008378D0"/>
    <w:rsid w:val="008521E2"/>
    <w:rsid w:val="00872318"/>
    <w:rsid w:val="00882977"/>
    <w:rsid w:val="00884F34"/>
    <w:rsid w:val="008A68A8"/>
    <w:rsid w:val="008B05CC"/>
    <w:rsid w:val="008B4D17"/>
    <w:rsid w:val="008B5C61"/>
    <w:rsid w:val="008B6902"/>
    <w:rsid w:val="008E0E1C"/>
    <w:rsid w:val="008E6613"/>
    <w:rsid w:val="008E7C0B"/>
    <w:rsid w:val="008F5B22"/>
    <w:rsid w:val="00921A50"/>
    <w:rsid w:val="009307EC"/>
    <w:rsid w:val="00955AE5"/>
    <w:rsid w:val="0096039F"/>
    <w:rsid w:val="0097456C"/>
    <w:rsid w:val="00983474"/>
    <w:rsid w:val="00994AC2"/>
    <w:rsid w:val="009C0887"/>
    <w:rsid w:val="009D3D61"/>
    <w:rsid w:val="009D77FD"/>
    <w:rsid w:val="009D7EB7"/>
    <w:rsid w:val="009F7449"/>
    <w:rsid w:val="00A10DC5"/>
    <w:rsid w:val="00A128E6"/>
    <w:rsid w:val="00A30B2B"/>
    <w:rsid w:val="00A45210"/>
    <w:rsid w:val="00A45A83"/>
    <w:rsid w:val="00A54BA3"/>
    <w:rsid w:val="00A63197"/>
    <w:rsid w:val="00A772A8"/>
    <w:rsid w:val="00A963A6"/>
    <w:rsid w:val="00A96A9B"/>
    <w:rsid w:val="00AB2C93"/>
    <w:rsid w:val="00AB32A0"/>
    <w:rsid w:val="00AC655B"/>
    <w:rsid w:val="00AE4E67"/>
    <w:rsid w:val="00AF27C0"/>
    <w:rsid w:val="00AF3A86"/>
    <w:rsid w:val="00AF67ED"/>
    <w:rsid w:val="00B04925"/>
    <w:rsid w:val="00B14BD6"/>
    <w:rsid w:val="00B217D5"/>
    <w:rsid w:val="00B26F31"/>
    <w:rsid w:val="00B336A7"/>
    <w:rsid w:val="00B424DF"/>
    <w:rsid w:val="00B438D0"/>
    <w:rsid w:val="00B55749"/>
    <w:rsid w:val="00B67DC6"/>
    <w:rsid w:val="00BB3B3A"/>
    <w:rsid w:val="00BB4087"/>
    <w:rsid w:val="00BB5074"/>
    <w:rsid w:val="00BC0E72"/>
    <w:rsid w:val="00BD7104"/>
    <w:rsid w:val="00BE2005"/>
    <w:rsid w:val="00BE7678"/>
    <w:rsid w:val="00C24607"/>
    <w:rsid w:val="00C61F43"/>
    <w:rsid w:val="00CA340C"/>
    <w:rsid w:val="00CC4A40"/>
    <w:rsid w:val="00CD67A7"/>
    <w:rsid w:val="00CD7DBB"/>
    <w:rsid w:val="00CE0EA6"/>
    <w:rsid w:val="00D05B26"/>
    <w:rsid w:val="00D2228A"/>
    <w:rsid w:val="00D41CA0"/>
    <w:rsid w:val="00D460AC"/>
    <w:rsid w:val="00D72E08"/>
    <w:rsid w:val="00DA14F8"/>
    <w:rsid w:val="00DA7C41"/>
    <w:rsid w:val="00DC6754"/>
    <w:rsid w:val="00DE5B12"/>
    <w:rsid w:val="00E07DD0"/>
    <w:rsid w:val="00E267E5"/>
    <w:rsid w:val="00E42FFC"/>
    <w:rsid w:val="00E53E4E"/>
    <w:rsid w:val="00E57F74"/>
    <w:rsid w:val="00E65DAB"/>
    <w:rsid w:val="00E71215"/>
    <w:rsid w:val="00E86BF0"/>
    <w:rsid w:val="00E94038"/>
    <w:rsid w:val="00EA530E"/>
    <w:rsid w:val="00EB6FFB"/>
    <w:rsid w:val="00ED755E"/>
    <w:rsid w:val="00EE4DF1"/>
    <w:rsid w:val="00F100E7"/>
    <w:rsid w:val="00F2411E"/>
    <w:rsid w:val="00FA51F1"/>
    <w:rsid w:val="00FB06BA"/>
    <w:rsid w:val="00FE6092"/>
    <w:rsid w:val="00FF4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F0B4C"/>
    <w:pPr>
      <w:keepNext/>
      <w:spacing w:before="480"/>
    </w:pPr>
    <w:rPr>
      <w:rFonts w:ascii="Tahoma" w:hAnsi="Tahoma"/>
      <w:b/>
      <w:bCs/>
      <w:sz w:val="22"/>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7F0B4C"/>
    <w:pPr>
      <w:spacing w:before="0" w:after="0" w:line="240" w:lineRule="auto"/>
      <w:contextualSpacing/>
    </w:pPr>
    <w:rPr>
      <w:rFonts w:ascii="Tahoma" w:eastAsia="Times New Roman" w:hAnsi="Tahoma" w:cs="Times New Roman"/>
      <w:b/>
      <w:bCs/>
      <w:color w:val="143970"/>
      <w:sz w:val="44"/>
      <w:szCs w:val="44"/>
      <w:lang w:bidi="ar-SA"/>
    </w:rPr>
  </w:style>
  <w:style w:type="character" w:customStyle="1" w:styleId="TitleChar">
    <w:name w:val="Title Char"/>
    <w:basedOn w:val="DefaultParagraphFont"/>
    <w:link w:val="Title"/>
    <w:uiPriority w:val="10"/>
    <w:rsid w:val="007F0B4C"/>
    <w:rPr>
      <w:rFonts w:ascii="Tahoma" w:eastAsia="Times New Roman" w:hAnsi="Tahoma" w:cs="Times New Roman"/>
      <w:b/>
      <w:bCs/>
      <w:color w:val="143970"/>
      <w:sz w:val="44"/>
      <w:szCs w:val="44"/>
      <w:lang w:bidi="ar-SA"/>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styleId="FootnoteText">
    <w:name w:val="footnote text"/>
    <w:basedOn w:val="Normal"/>
    <w:link w:val="FootnoteTextChar"/>
    <w:uiPriority w:val="99"/>
    <w:semiHidden/>
    <w:unhideWhenUsed/>
    <w:rsid w:val="004C287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2877"/>
    <w:rPr>
      <w:sz w:val="20"/>
      <w:szCs w:val="20"/>
    </w:rPr>
  </w:style>
  <w:style w:type="character" w:styleId="FootnoteReference">
    <w:name w:val="footnote reference"/>
    <w:basedOn w:val="DefaultParagraphFont"/>
    <w:semiHidden/>
    <w:unhideWhenUsed/>
    <w:rsid w:val="004C2877"/>
    <w:rPr>
      <w:vertAlign w:val="superscript"/>
    </w:rPr>
  </w:style>
  <w:style w:type="character" w:styleId="FollowedHyperlink">
    <w:name w:val="FollowedHyperlink"/>
    <w:basedOn w:val="DefaultParagraphFont"/>
    <w:uiPriority w:val="99"/>
    <w:semiHidden/>
    <w:unhideWhenUsed/>
    <w:rsid w:val="000D11B5"/>
    <w:rPr>
      <w:color w:val="800080" w:themeColor="followedHyperlink"/>
      <w:u w:val="single"/>
    </w:rPr>
  </w:style>
  <w:style w:type="character" w:styleId="CommentReference">
    <w:name w:val="annotation reference"/>
    <w:basedOn w:val="DefaultParagraphFont"/>
    <w:uiPriority w:val="99"/>
    <w:semiHidden/>
    <w:unhideWhenUsed/>
    <w:rsid w:val="00E07DD0"/>
    <w:rPr>
      <w:sz w:val="16"/>
      <w:szCs w:val="16"/>
    </w:rPr>
  </w:style>
  <w:style w:type="paragraph" w:styleId="CommentText">
    <w:name w:val="annotation text"/>
    <w:basedOn w:val="Normal"/>
    <w:link w:val="CommentTextChar"/>
    <w:uiPriority w:val="99"/>
    <w:semiHidden/>
    <w:unhideWhenUsed/>
    <w:rsid w:val="00E07DD0"/>
    <w:pPr>
      <w:spacing w:line="240" w:lineRule="auto"/>
    </w:pPr>
    <w:rPr>
      <w:sz w:val="20"/>
      <w:szCs w:val="20"/>
    </w:rPr>
  </w:style>
  <w:style w:type="character" w:customStyle="1" w:styleId="CommentTextChar">
    <w:name w:val="Comment Text Char"/>
    <w:basedOn w:val="DefaultParagraphFont"/>
    <w:link w:val="CommentText"/>
    <w:uiPriority w:val="99"/>
    <w:semiHidden/>
    <w:rsid w:val="00E07DD0"/>
    <w:rPr>
      <w:sz w:val="20"/>
      <w:szCs w:val="20"/>
    </w:rPr>
  </w:style>
  <w:style w:type="paragraph" w:styleId="CommentSubject">
    <w:name w:val="annotation subject"/>
    <w:basedOn w:val="CommentText"/>
    <w:next w:val="CommentText"/>
    <w:link w:val="CommentSubjectChar"/>
    <w:uiPriority w:val="99"/>
    <w:semiHidden/>
    <w:unhideWhenUsed/>
    <w:rsid w:val="00E07DD0"/>
    <w:rPr>
      <w:b/>
      <w:bCs/>
    </w:rPr>
  </w:style>
  <w:style w:type="character" w:customStyle="1" w:styleId="CommentSubjectChar">
    <w:name w:val="Comment Subject Char"/>
    <w:basedOn w:val="CommentTextChar"/>
    <w:link w:val="CommentSubject"/>
    <w:uiPriority w:val="99"/>
    <w:semiHidden/>
    <w:rsid w:val="00E07DD0"/>
    <w:rPr>
      <w:b/>
      <w:bCs/>
      <w:sz w:val="20"/>
      <w:szCs w:val="20"/>
    </w:rPr>
  </w:style>
  <w:style w:type="paragraph" w:styleId="BalloonText">
    <w:name w:val="Balloon Text"/>
    <w:basedOn w:val="Normal"/>
    <w:link w:val="BalloonTextChar"/>
    <w:uiPriority w:val="99"/>
    <w:semiHidden/>
    <w:unhideWhenUsed/>
    <w:rsid w:val="00E07D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_2010-13.2_Summary_Table.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Scott.Bar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746353e5876143aa8ae378d0429ad2a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net/nercsurvey/Survey.aspx?s=746353e5876143aa8ae378d0429ad2a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539C65C9F346428721B53C798FDC87" ma:contentTypeVersion="26" ma:contentTypeDescription="Create a new document." ma:contentTypeScope="" ma:versionID="cc61d4789465df1535b03464d2ddaf7a">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25749A-3EA7-4409-882E-8E4E1196E193}"/>
</file>

<file path=customXml/itemProps2.xml><?xml version="1.0" encoding="utf-8"?>
<ds:datastoreItem xmlns:ds="http://schemas.openxmlformats.org/officeDocument/2006/customXml" ds:itemID="{3025C78A-70D0-44DC-BD8D-A14D36912BF7}"/>
</file>

<file path=customXml/itemProps3.xml><?xml version="1.0" encoding="utf-8"?>
<ds:datastoreItem xmlns:ds="http://schemas.openxmlformats.org/officeDocument/2006/customXml" ds:itemID="{49BC4271-9902-4B96-94FB-F4413431ECFC}"/>
</file>

<file path=customXml/itemProps4.xml><?xml version="1.0" encoding="utf-8"?>
<ds:datastoreItem xmlns:ds="http://schemas.openxmlformats.org/officeDocument/2006/customXml" ds:itemID="{EFF80D03-9E26-4CB3-BB1E-0AA63D268C7C}"/>
</file>

<file path=customXml/itemProps5.xml><?xml version="1.0" encoding="utf-8"?>
<ds:datastoreItem xmlns:ds="http://schemas.openxmlformats.org/officeDocument/2006/customXml" ds:itemID="{ED5768CF-D7B8-4E28-815D-28F9E96A1881}"/>
</file>

<file path=docProps/app.xml><?xml version="1.0" encoding="utf-8"?>
<Properties xmlns="http://schemas.openxmlformats.org/officeDocument/2006/extended-properties" xmlns:vt="http://schemas.openxmlformats.org/officeDocument/2006/docPropsVTypes">
  <Template>Normal.dotm</Template>
  <TotalTime>2</TotalTime>
  <Pages>7</Pages>
  <Words>1900</Words>
  <Characters>10836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Unofficial Comment Form</vt:lpstr>
    </vt:vector>
  </TitlesOfParts>
  <Company>nerc</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Unofficial Comment Form</dc:subject>
  <dc:creator>barfields</dc:creator>
  <cp:keywords/>
  <dc:description/>
  <cp:lastModifiedBy>sandbergw</cp:lastModifiedBy>
  <cp:revision>2</cp:revision>
  <dcterms:created xsi:type="dcterms:W3CDTF">2013-04-25T14:55:00Z</dcterms:created>
  <dcterms:modified xsi:type="dcterms:W3CDTF">2013-04-25T14:55:00Z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0x01010063539C65C9F346428721B53C798FDC87</vt:lpwstr>
  </property>
  <property fmtid="{D5CDD505-2E9C-101B-9397-08002B2CF9AE}" pid="3" name="_dlc_DocIdItemGuid">
    <vt:lpwstr>001161c1-4820-45a3-8e0a-a442aa42bc6c</vt:lpwstr>
  </property>
</Properties>
</file>