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23" w:rsidRPr="00164523" w:rsidRDefault="00AE3110">
      <w:pPr>
        <w:rPr>
          <w:rFonts w:ascii="Verdana" w:hAnsi="Verdana"/>
          <w:sz w:val="20"/>
        </w:rPr>
      </w:pPr>
      <w:r>
        <w:rPr>
          <w:rFonts w:ascii="Verdana" w:hAnsi="Verdana"/>
          <w:sz w:val="20"/>
        </w:rPr>
        <w:t xml:space="preserve">Please </w:t>
      </w:r>
      <w:r w:rsidR="00164523" w:rsidRPr="00164523">
        <w:rPr>
          <w:rFonts w:ascii="Verdana" w:hAnsi="Verdana"/>
          <w:b/>
          <w:sz w:val="20"/>
        </w:rPr>
        <w:t xml:space="preserve">DO </w:t>
      </w:r>
      <w:r w:rsidR="00164523" w:rsidRPr="0067216F">
        <w:rPr>
          <w:rFonts w:ascii="Verdana" w:hAnsi="Verdana"/>
          <w:b/>
          <w:sz w:val="20"/>
        </w:rPr>
        <w:t>NOT</w:t>
      </w:r>
      <w:r w:rsidR="006544AE" w:rsidRPr="0067216F">
        <w:rPr>
          <w:rFonts w:ascii="Verdana" w:hAnsi="Verdana"/>
          <w:b/>
          <w:sz w:val="20"/>
        </w:rPr>
        <w:t xml:space="preserve"> </w:t>
      </w:r>
      <w:r>
        <w:rPr>
          <w:rFonts w:ascii="Verdana" w:hAnsi="Verdana"/>
          <w:sz w:val="20"/>
        </w:rPr>
        <w:t>use this form</w:t>
      </w:r>
      <w:r w:rsidR="004759E2" w:rsidRPr="00182CEE">
        <w:rPr>
          <w:rFonts w:ascii="Verdana" w:hAnsi="Verdana"/>
          <w:sz w:val="20"/>
        </w:rPr>
        <w:t xml:space="preserve"> to submit comments on the </w:t>
      </w:r>
      <w:r w:rsidR="008A6330">
        <w:rPr>
          <w:rFonts w:ascii="Verdana" w:hAnsi="Verdana"/>
          <w:sz w:val="20"/>
        </w:rPr>
        <w:t>1</w:t>
      </w:r>
      <w:r w:rsidR="008A6330" w:rsidRPr="008A6330">
        <w:rPr>
          <w:rFonts w:ascii="Verdana" w:hAnsi="Verdana"/>
          <w:sz w:val="20"/>
          <w:vertAlign w:val="superscript"/>
        </w:rPr>
        <w:t>st</w:t>
      </w:r>
      <w:r w:rsidR="008A6330">
        <w:rPr>
          <w:rFonts w:ascii="Verdana" w:hAnsi="Verdana"/>
          <w:sz w:val="20"/>
        </w:rPr>
        <w:t xml:space="preserve"> </w:t>
      </w:r>
      <w:r w:rsidR="006B1C30">
        <w:rPr>
          <w:rFonts w:ascii="Verdana" w:hAnsi="Verdana"/>
          <w:sz w:val="20"/>
        </w:rPr>
        <w:t xml:space="preserve">draft of the </w:t>
      </w:r>
      <w:r w:rsidR="008A6330">
        <w:rPr>
          <w:rFonts w:ascii="Verdana" w:hAnsi="Verdana"/>
          <w:sz w:val="20"/>
        </w:rPr>
        <w:t xml:space="preserve">Definition of the Bulk Electric System </w:t>
      </w:r>
      <w:r w:rsidR="009607B0" w:rsidRPr="009607B0">
        <w:rPr>
          <w:rFonts w:ascii="Verdana" w:hAnsi="Verdana"/>
          <w:bCs/>
          <w:sz w:val="20"/>
        </w:rPr>
        <w:t>(Project 20</w:t>
      </w:r>
      <w:r w:rsidR="008A6330">
        <w:rPr>
          <w:rFonts w:ascii="Verdana" w:hAnsi="Verdana"/>
          <w:bCs/>
          <w:sz w:val="20"/>
        </w:rPr>
        <w:t>10</w:t>
      </w:r>
      <w:r w:rsidR="009607B0" w:rsidRPr="009607B0">
        <w:rPr>
          <w:rFonts w:ascii="Verdana" w:hAnsi="Verdana"/>
          <w:bCs/>
          <w:sz w:val="20"/>
        </w:rPr>
        <w:t>-</w:t>
      </w:r>
      <w:r w:rsidR="008A6330">
        <w:rPr>
          <w:rFonts w:ascii="Verdana" w:hAnsi="Verdana"/>
          <w:bCs/>
          <w:sz w:val="20"/>
        </w:rPr>
        <w:t>17</w:t>
      </w:r>
      <w:r w:rsidR="009607B0" w:rsidRPr="009607B0">
        <w:rPr>
          <w:rFonts w:ascii="Verdana" w:hAnsi="Verdana"/>
          <w:bCs/>
          <w:sz w:val="20"/>
        </w:rPr>
        <w:t>)</w:t>
      </w:r>
      <w:r w:rsidR="004759E2" w:rsidRPr="00182CEE">
        <w:rPr>
          <w:rFonts w:ascii="Verdana" w:hAnsi="Verdana"/>
          <w:sz w:val="20"/>
        </w:rPr>
        <w:t xml:space="preserve">.  </w:t>
      </w:r>
      <w:r w:rsidR="00F64523" w:rsidRPr="0067216F">
        <w:rPr>
          <w:rFonts w:ascii="Verdana" w:hAnsi="Verdana"/>
          <w:sz w:val="20"/>
        </w:rPr>
        <w:t>This comment form</w:t>
      </w:r>
      <w:r w:rsidR="004759E2" w:rsidRPr="0067216F">
        <w:rPr>
          <w:rFonts w:ascii="Verdana" w:hAnsi="Verdana"/>
          <w:sz w:val="20"/>
        </w:rPr>
        <w:t xml:space="preserve"> must be </w:t>
      </w:r>
      <w:r w:rsidR="00F64523" w:rsidRPr="0067216F">
        <w:rPr>
          <w:rFonts w:ascii="Verdana" w:hAnsi="Verdana"/>
          <w:sz w:val="20"/>
        </w:rPr>
        <w:t>complet</w:t>
      </w:r>
      <w:r w:rsidR="004759E2" w:rsidRPr="0067216F">
        <w:rPr>
          <w:rFonts w:ascii="Verdana" w:hAnsi="Verdana"/>
          <w:sz w:val="20"/>
        </w:rPr>
        <w:t>ed by</w:t>
      </w:r>
      <w:r w:rsidR="00891B91" w:rsidRPr="0067216F">
        <w:rPr>
          <w:rFonts w:ascii="Verdana" w:hAnsi="Verdana"/>
          <w:sz w:val="20"/>
        </w:rPr>
        <w:t xml:space="preserve"> </w:t>
      </w:r>
      <w:r w:rsidR="0067196A">
        <w:rPr>
          <w:rFonts w:ascii="Verdana" w:hAnsi="Verdana"/>
          <w:b/>
          <w:color w:val="FF0000"/>
          <w:sz w:val="20"/>
        </w:rPr>
        <w:t>May 27</w:t>
      </w:r>
      <w:r w:rsidR="00164523" w:rsidRPr="0067216F">
        <w:rPr>
          <w:rFonts w:ascii="Verdana" w:hAnsi="Verdana"/>
          <w:b/>
          <w:color w:val="FF0000"/>
          <w:sz w:val="20"/>
        </w:rPr>
        <w:t>, 20</w:t>
      </w:r>
      <w:r w:rsidR="008A6330">
        <w:rPr>
          <w:rFonts w:ascii="Verdana" w:hAnsi="Verdana"/>
          <w:b/>
          <w:color w:val="FF0000"/>
          <w:sz w:val="20"/>
        </w:rPr>
        <w:t>11</w:t>
      </w:r>
      <w:r w:rsidR="0025256F" w:rsidRPr="0067216F">
        <w:rPr>
          <w:rFonts w:ascii="Verdana" w:hAnsi="Verdana"/>
          <w:b/>
          <w:color w:val="FF0000"/>
          <w:sz w:val="20"/>
        </w:rPr>
        <w:t>.</w:t>
      </w:r>
    </w:p>
    <w:p w:rsidR="00164523" w:rsidRDefault="00164523">
      <w:pPr>
        <w:rPr>
          <w:rFonts w:ascii="Verdana" w:hAnsi="Verdana"/>
          <w:sz w:val="20"/>
        </w:rPr>
      </w:pPr>
    </w:p>
    <w:p w:rsidR="004759E2" w:rsidRDefault="004759E2">
      <w:pPr>
        <w:rPr>
          <w:rFonts w:ascii="Verdana" w:hAnsi="Verdana"/>
          <w:sz w:val="20"/>
        </w:rPr>
      </w:pPr>
      <w:r w:rsidRPr="00182CEE">
        <w:rPr>
          <w:rFonts w:ascii="Verdana" w:hAnsi="Verdana"/>
          <w:sz w:val="20"/>
        </w:rPr>
        <w:t xml:space="preserve">If you have questions please contact </w:t>
      </w:r>
      <w:smartTag w:uri="urn:schemas-microsoft-com:office:smarttags" w:element="PersonName">
        <w:r w:rsidR="006B1C30">
          <w:rPr>
            <w:rFonts w:ascii="Verdana" w:hAnsi="Verdana"/>
            <w:sz w:val="20"/>
          </w:rPr>
          <w:t>Ed Dobrowolski</w:t>
        </w:r>
      </w:smartTag>
      <w:r w:rsidR="006B1C30">
        <w:rPr>
          <w:rFonts w:ascii="Verdana" w:hAnsi="Verdana"/>
          <w:sz w:val="20"/>
        </w:rPr>
        <w:t xml:space="preserve"> </w:t>
      </w:r>
      <w:r w:rsidRPr="00182CEE">
        <w:rPr>
          <w:rFonts w:ascii="Verdana" w:hAnsi="Verdana"/>
          <w:sz w:val="20"/>
        </w:rPr>
        <w:t xml:space="preserve">at </w:t>
      </w:r>
      <w:hyperlink r:id="rId7" w:history="1">
        <w:r w:rsidR="006B1C30" w:rsidRPr="007D219B">
          <w:rPr>
            <w:rStyle w:val="Hyperlink"/>
            <w:rFonts w:ascii="Verdana" w:hAnsi="Verdana"/>
            <w:sz w:val="20"/>
          </w:rPr>
          <w:t>ed.dobrowolski@nerc.net</w:t>
        </w:r>
      </w:hyperlink>
      <w:r w:rsidR="006B1C30">
        <w:rPr>
          <w:rFonts w:ascii="Verdana" w:hAnsi="Verdana"/>
          <w:sz w:val="20"/>
        </w:rPr>
        <w:t xml:space="preserve"> </w:t>
      </w:r>
      <w:r w:rsidRPr="00182CEE">
        <w:rPr>
          <w:rFonts w:ascii="Verdana" w:hAnsi="Verdana"/>
          <w:sz w:val="20"/>
        </w:rPr>
        <w:t>or by telephone at 609-</w:t>
      </w:r>
      <w:r w:rsidR="006B1C30">
        <w:rPr>
          <w:rFonts w:ascii="Verdana" w:hAnsi="Verdana"/>
          <w:sz w:val="20"/>
        </w:rPr>
        <w:t>947</w:t>
      </w:r>
      <w:r w:rsidRPr="00182CEE">
        <w:rPr>
          <w:rFonts w:ascii="Verdana" w:hAnsi="Verdana"/>
          <w:sz w:val="20"/>
        </w:rPr>
        <w:t>-</w:t>
      </w:r>
      <w:r w:rsidR="006B1C30">
        <w:rPr>
          <w:rFonts w:ascii="Verdana" w:hAnsi="Verdana"/>
          <w:sz w:val="20"/>
        </w:rPr>
        <w:t>3673</w:t>
      </w:r>
      <w:r w:rsidRPr="00182CEE">
        <w:rPr>
          <w:rFonts w:ascii="Verdana" w:hAnsi="Verdana"/>
          <w:sz w:val="20"/>
        </w:rPr>
        <w:t>.</w:t>
      </w:r>
    </w:p>
    <w:p w:rsidR="00597653" w:rsidRPr="00182CEE" w:rsidRDefault="00597653">
      <w:pPr>
        <w:rPr>
          <w:rFonts w:ascii="Verdana" w:hAnsi="Verdana"/>
          <w:sz w:val="20"/>
        </w:rPr>
      </w:pPr>
    </w:p>
    <w:p w:rsidR="00597653" w:rsidRPr="00597653" w:rsidRDefault="00597653" w:rsidP="00597653">
      <w:pPr>
        <w:pStyle w:val="Heading3"/>
        <w:spacing w:before="0" w:after="0"/>
        <w:rPr>
          <w:rFonts w:ascii="Verdana" w:hAnsi="Verdana"/>
          <w:b/>
          <w:sz w:val="22"/>
          <w:szCs w:val="22"/>
        </w:rPr>
      </w:pPr>
      <w:r w:rsidRPr="00597653">
        <w:rPr>
          <w:rFonts w:ascii="Verdana" w:hAnsi="Verdana"/>
          <w:b/>
          <w:sz w:val="22"/>
          <w:szCs w:val="22"/>
        </w:rPr>
        <w:t xml:space="preserve">Background Information </w:t>
      </w:r>
    </w:p>
    <w:p w:rsidR="004759E2" w:rsidRPr="00597653" w:rsidRDefault="008A6330" w:rsidP="00597653">
      <w:pPr>
        <w:pStyle w:val="Heading3"/>
        <w:spacing w:before="0" w:after="0"/>
        <w:rPr>
          <w:rFonts w:ascii="Verdana" w:hAnsi="Verdana"/>
          <w:b/>
          <w:sz w:val="22"/>
          <w:szCs w:val="22"/>
        </w:rPr>
      </w:pPr>
      <w:r>
        <w:rPr>
          <w:rFonts w:ascii="Verdana" w:hAnsi="Verdana"/>
          <w:b/>
          <w:sz w:val="22"/>
          <w:szCs w:val="22"/>
        </w:rPr>
        <w:t>Definition of the BES (Project 2</w:t>
      </w:r>
      <w:r w:rsidR="00B70743">
        <w:rPr>
          <w:rFonts w:ascii="Verdana" w:hAnsi="Verdana"/>
          <w:b/>
          <w:sz w:val="22"/>
          <w:szCs w:val="22"/>
        </w:rPr>
        <w:t>0</w:t>
      </w:r>
      <w:r>
        <w:rPr>
          <w:rFonts w:ascii="Verdana" w:hAnsi="Verdana"/>
          <w:b/>
          <w:sz w:val="22"/>
          <w:szCs w:val="22"/>
        </w:rPr>
        <w:t>10-17)</w:t>
      </w:r>
    </w:p>
    <w:p w:rsidR="009607B0" w:rsidRPr="00597653" w:rsidRDefault="009607B0" w:rsidP="00B6497F">
      <w:pPr>
        <w:pStyle w:val="FootnoteText"/>
        <w:tabs>
          <w:tab w:val="left" w:pos="90"/>
          <w:tab w:val="left" w:pos="10170"/>
        </w:tabs>
        <w:spacing w:after="0"/>
        <w:rPr>
          <w:rFonts w:ascii="Verdana" w:hAnsi="Verdana"/>
        </w:rPr>
      </w:pPr>
    </w:p>
    <w:p w:rsidR="008A6330" w:rsidRDefault="008A6330" w:rsidP="00B6497F">
      <w:pPr>
        <w:pStyle w:val="FootnoteText"/>
        <w:tabs>
          <w:tab w:val="left" w:pos="90"/>
          <w:tab w:val="left" w:pos="10170"/>
        </w:tabs>
        <w:spacing w:after="0"/>
        <w:rPr>
          <w:rFonts w:ascii="Verdana" w:hAnsi="Verdana"/>
        </w:rPr>
      </w:pPr>
      <w:r>
        <w:rPr>
          <w:rFonts w:ascii="Verdana" w:hAnsi="Verdana"/>
        </w:rPr>
        <w:t xml:space="preserve">The SDT responded to the comments received for the posting of the SAR for this project by clarifying the core definition and expanding the definition to contain specific inclusions and exclusions to meet the concerns of the industry.  </w:t>
      </w:r>
      <w:r w:rsidR="00794459">
        <w:rPr>
          <w:rFonts w:ascii="Verdana" w:hAnsi="Verdana"/>
        </w:rPr>
        <w:t xml:space="preserve">The SDT has also </w:t>
      </w:r>
      <w:r w:rsidR="00027E75">
        <w:rPr>
          <w:rFonts w:ascii="Verdana" w:hAnsi="Verdana"/>
        </w:rPr>
        <w:t xml:space="preserve">used </w:t>
      </w:r>
      <w:r w:rsidR="00794459">
        <w:rPr>
          <w:rFonts w:ascii="Verdana" w:hAnsi="Verdana"/>
        </w:rPr>
        <w:t xml:space="preserve">a variety of other inputs including work that was done by regional entities such as WECC, NPCC, </w:t>
      </w:r>
      <w:r w:rsidR="00A22BF0">
        <w:rPr>
          <w:rFonts w:ascii="Verdana" w:hAnsi="Verdana"/>
        </w:rPr>
        <w:t xml:space="preserve">RFC, </w:t>
      </w:r>
      <w:r w:rsidR="00794459">
        <w:rPr>
          <w:rFonts w:ascii="Verdana" w:hAnsi="Verdana"/>
        </w:rPr>
        <w:t>and FRCC in coming up with the present definition.  A</w:t>
      </w:r>
      <w:r w:rsidR="000C3E55">
        <w:rPr>
          <w:rFonts w:ascii="Verdana" w:hAnsi="Verdana"/>
        </w:rPr>
        <w:t>nother</w:t>
      </w:r>
      <w:r w:rsidR="00794459">
        <w:rPr>
          <w:rFonts w:ascii="Verdana" w:hAnsi="Verdana"/>
        </w:rPr>
        <w:t xml:space="preserve"> input was FERC Order </w:t>
      </w:r>
      <w:r w:rsidR="0067226E">
        <w:rPr>
          <w:rFonts w:ascii="Verdana" w:hAnsi="Verdana"/>
        </w:rPr>
        <w:t xml:space="preserve">No. </w:t>
      </w:r>
      <w:r w:rsidR="00794459">
        <w:rPr>
          <w:rFonts w:ascii="Verdana" w:hAnsi="Verdana"/>
        </w:rPr>
        <w:t xml:space="preserve">743 </w:t>
      </w:r>
      <w:r w:rsidR="00394507">
        <w:rPr>
          <w:rFonts w:ascii="Verdana" w:hAnsi="Verdana"/>
        </w:rPr>
        <w:t xml:space="preserve">(and Order </w:t>
      </w:r>
      <w:r w:rsidR="0067226E">
        <w:rPr>
          <w:rFonts w:ascii="Verdana" w:hAnsi="Verdana"/>
        </w:rPr>
        <w:t xml:space="preserve">No. </w:t>
      </w:r>
      <w:r w:rsidR="00394507">
        <w:rPr>
          <w:rFonts w:ascii="Verdana" w:hAnsi="Verdana"/>
        </w:rPr>
        <w:t>743</w:t>
      </w:r>
      <w:r w:rsidR="00991C26">
        <w:rPr>
          <w:rFonts w:ascii="Verdana" w:hAnsi="Verdana"/>
        </w:rPr>
        <w:t>a</w:t>
      </w:r>
      <w:r w:rsidR="00394507">
        <w:rPr>
          <w:rFonts w:ascii="Verdana" w:hAnsi="Verdana"/>
        </w:rPr>
        <w:t xml:space="preserve">) </w:t>
      </w:r>
      <w:r w:rsidR="00794459">
        <w:rPr>
          <w:rFonts w:ascii="Verdana" w:hAnsi="Verdana"/>
        </w:rPr>
        <w:t>which provided several specific directives on clarifying the existing definition.</w:t>
      </w:r>
      <w:r w:rsidR="00394507">
        <w:rPr>
          <w:rFonts w:ascii="Verdana" w:hAnsi="Verdana"/>
        </w:rPr>
        <w:t xml:space="preserve">  </w:t>
      </w:r>
      <w:r w:rsidR="00027E75">
        <w:rPr>
          <w:rFonts w:ascii="Verdana" w:hAnsi="Verdana"/>
        </w:rPr>
        <w:t>T</w:t>
      </w:r>
      <w:r w:rsidR="00394507">
        <w:rPr>
          <w:rFonts w:ascii="Verdana" w:hAnsi="Verdana"/>
        </w:rPr>
        <w:t xml:space="preserve">he revised definition does not address functional entity registration or </w:t>
      </w:r>
      <w:r w:rsidR="00027E75">
        <w:rPr>
          <w:rFonts w:ascii="Verdana" w:hAnsi="Verdana"/>
        </w:rPr>
        <w:t xml:space="preserve">the applicability of </w:t>
      </w:r>
      <w:r w:rsidR="00394507">
        <w:rPr>
          <w:rFonts w:ascii="Verdana" w:hAnsi="Verdana"/>
        </w:rPr>
        <w:t xml:space="preserve">standard requirements.  Those are separate issues.  </w:t>
      </w:r>
      <w:r w:rsidR="00794459">
        <w:rPr>
          <w:rFonts w:ascii="Verdana" w:hAnsi="Verdana"/>
        </w:rPr>
        <w:t xml:space="preserve">    </w:t>
      </w:r>
    </w:p>
    <w:p w:rsidR="00794459" w:rsidRDefault="00794459" w:rsidP="00B6497F">
      <w:pPr>
        <w:pStyle w:val="FootnoteText"/>
        <w:tabs>
          <w:tab w:val="left" w:pos="90"/>
          <w:tab w:val="left" w:pos="10170"/>
        </w:tabs>
        <w:spacing w:after="0"/>
        <w:rPr>
          <w:rFonts w:ascii="Verdana" w:hAnsi="Verdana"/>
        </w:rPr>
      </w:pPr>
    </w:p>
    <w:p w:rsidR="00794459" w:rsidRDefault="00794459" w:rsidP="00B6497F">
      <w:pPr>
        <w:pStyle w:val="FootnoteText"/>
        <w:tabs>
          <w:tab w:val="left" w:pos="90"/>
          <w:tab w:val="left" w:pos="10170"/>
        </w:tabs>
        <w:spacing w:after="0"/>
        <w:rPr>
          <w:rFonts w:ascii="Verdana" w:hAnsi="Verdana"/>
        </w:rPr>
      </w:pPr>
      <w:r>
        <w:rPr>
          <w:rFonts w:ascii="Verdana" w:hAnsi="Verdana"/>
        </w:rPr>
        <w:t>The core definition represents a true bright-line</w:t>
      </w:r>
      <w:r w:rsidR="00245161">
        <w:rPr>
          <w:rFonts w:ascii="Verdana" w:hAnsi="Verdana"/>
        </w:rPr>
        <w:t>;</w:t>
      </w:r>
      <w:r>
        <w:rPr>
          <w:rFonts w:ascii="Verdana" w:hAnsi="Verdana"/>
        </w:rPr>
        <w:t xml:space="preserve"> but</w:t>
      </w:r>
      <w:r w:rsidR="00245161">
        <w:rPr>
          <w:rFonts w:ascii="Verdana" w:hAnsi="Verdana"/>
        </w:rPr>
        <w:t>,</w:t>
      </w:r>
      <w:r>
        <w:rPr>
          <w:rFonts w:ascii="Verdana" w:hAnsi="Verdana"/>
        </w:rPr>
        <w:t xml:space="preserve"> it is clear that by itself</w:t>
      </w:r>
      <w:r w:rsidR="00245161">
        <w:rPr>
          <w:rFonts w:ascii="Verdana" w:hAnsi="Verdana"/>
        </w:rPr>
        <w:t>,</w:t>
      </w:r>
      <w:r>
        <w:rPr>
          <w:rFonts w:ascii="Verdana" w:hAnsi="Verdana"/>
        </w:rPr>
        <w:t xml:space="preserve"> it does not cover all of the known situations and configurations that are needed for a complete definition.  Therefore, the SDT </w:t>
      </w:r>
      <w:r w:rsidR="005D79C6">
        <w:rPr>
          <w:rFonts w:ascii="Verdana" w:hAnsi="Verdana"/>
        </w:rPr>
        <w:t>developed</w:t>
      </w:r>
      <w:r>
        <w:rPr>
          <w:rFonts w:ascii="Verdana" w:hAnsi="Verdana"/>
        </w:rPr>
        <w:t xml:space="preserve"> several specific inclusions and exclusions that </w:t>
      </w:r>
      <w:r w:rsidR="00027E75">
        <w:rPr>
          <w:rFonts w:ascii="Verdana" w:hAnsi="Verdana"/>
        </w:rPr>
        <w:t>are proposed for addition</w:t>
      </w:r>
      <w:r>
        <w:rPr>
          <w:rFonts w:ascii="Verdana" w:hAnsi="Verdana"/>
        </w:rPr>
        <w:t xml:space="preserve"> to the </w:t>
      </w:r>
      <w:r w:rsidR="005D79C6">
        <w:rPr>
          <w:rFonts w:ascii="Verdana" w:hAnsi="Verdana"/>
        </w:rPr>
        <w:t xml:space="preserve">core </w:t>
      </w:r>
      <w:r>
        <w:rPr>
          <w:rFonts w:ascii="Verdana" w:hAnsi="Verdana"/>
        </w:rPr>
        <w:t xml:space="preserve">definition.  At the present time, the SDT has drafted 5 specific inclusions and 3 specific exclusions.  </w:t>
      </w:r>
    </w:p>
    <w:p w:rsidR="00794459" w:rsidRDefault="00794459" w:rsidP="00B6497F">
      <w:pPr>
        <w:pStyle w:val="FootnoteText"/>
        <w:tabs>
          <w:tab w:val="left" w:pos="90"/>
          <w:tab w:val="left" w:pos="10170"/>
        </w:tabs>
        <w:spacing w:after="0"/>
        <w:rPr>
          <w:rFonts w:ascii="Verdana" w:hAnsi="Verdana"/>
        </w:rPr>
      </w:pPr>
    </w:p>
    <w:p w:rsidR="00794459" w:rsidRDefault="00794459" w:rsidP="00B6497F">
      <w:pPr>
        <w:pStyle w:val="FootnoteText"/>
        <w:tabs>
          <w:tab w:val="left" w:pos="90"/>
          <w:tab w:val="left" w:pos="10170"/>
        </w:tabs>
        <w:spacing w:after="0"/>
        <w:rPr>
          <w:rFonts w:ascii="Verdana" w:hAnsi="Verdana"/>
        </w:rPr>
      </w:pPr>
      <w:r>
        <w:rPr>
          <w:rFonts w:ascii="Verdana" w:hAnsi="Verdana"/>
        </w:rPr>
        <w:t xml:space="preserve">Inclusions represent those items that </w:t>
      </w:r>
      <w:r w:rsidR="000C3E55">
        <w:rPr>
          <w:rFonts w:ascii="Verdana" w:hAnsi="Verdana"/>
        </w:rPr>
        <w:t xml:space="preserve">are included as part of the Bulk Electric System (BES) where they would not have been included as part of the simple core definition.  The reasons that the SDT has added these items are as follows: </w:t>
      </w:r>
    </w:p>
    <w:p w:rsidR="004A0F0F" w:rsidRDefault="004A0F0F" w:rsidP="00B6497F">
      <w:pPr>
        <w:pStyle w:val="FootnoteText"/>
        <w:tabs>
          <w:tab w:val="left" w:pos="90"/>
          <w:tab w:val="left" w:pos="10170"/>
        </w:tabs>
        <w:spacing w:after="0"/>
        <w:rPr>
          <w:rFonts w:ascii="Verdana" w:hAnsi="Verdana"/>
        </w:rPr>
      </w:pPr>
    </w:p>
    <w:p w:rsidR="00027E75" w:rsidRPr="00027E75" w:rsidRDefault="00027E75" w:rsidP="00724349">
      <w:pPr>
        <w:pStyle w:val="FootnoteText"/>
        <w:numPr>
          <w:ilvl w:val="0"/>
          <w:numId w:val="26"/>
        </w:numPr>
        <w:tabs>
          <w:tab w:val="left" w:pos="90"/>
        </w:tabs>
        <w:spacing w:after="120"/>
        <w:rPr>
          <w:rFonts w:ascii="Verdana" w:hAnsi="Verdana"/>
          <w:i/>
        </w:rPr>
      </w:pPr>
      <w:r w:rsidRPr="00557124">
        <w:rPr>
          <w:rFonts w:ascii="Verdana" w:hAnsi="Verdana"/>
          <w:b/>
        </w:rPr>
        <w:t xml:space="preserve">Inclusion </w:t>
      </w:r>
      <w:r w:rsidR="000C3E55" w:rsidRPr="00557124">
        <w:rPr>
          <w:rFonts w:ascii="Verdana" w:hAnsi="Verdana"/>
          <w:b/>
        </w:rPr>
        <w:t>I1</w:t>
      </w:r>
      <w:r w:rsidR="000C3E55">
        <w:rPr>
          <w:rFonts w:ascii="Verdana" w:hAnsi="Verdana"/>
        </w:rPr>
        <w:t xml:space="preserve"> – </w:t>
      </w:r>
      <w:r w:rsidRPr="00027E75">
        <w:rPr>
          <w:rFonts w:ascii="Verdana" w:hAnsi="Verdana"/>
        </w:rPr>
        <w:t>Transformers, other than Generator Step-up (GSU) transformers, including Phase Angle Regulators, with two windings of 100 kV or higher unless excluded under Exclusions E1 and E3.</w:t>
      </w:r>
    </w:p>
    <w:p w:rsidR="00557124" w:rsidRDefault="005B00B5" w:rsidP="00724349">
      <w:pPr>
        <w:pStyle w:val="FootnoteText"/>
        <w:numPr>
          <w:ilvl w:val="1"/>
          <w:numId w:val="26"/>
        </w:numPr>
        <w:tabs>
          <w:tab w:val="left" w:pos="90"/>
        </w:tabs>
        <w:spacing w:after="120"/>
        <w:rPr>
          <w:rFonts w:ascii="Verdana" w:hAnsi="Verdana"/>
          <w:i/>
        </w:rPr>
      </w:pPr>
      <w:r>
        <w:rPr>
          <w:rFonts w:ascii="Verdana" w:hAnsi="Verdana"/>
        </w:rPr>
        <w:t xml:space="preserve">Since transformers have windings operating at different voltages, clarification was required to </w:t>
      </w:r>
      <w:r w:rsidR="00FD0930">
        <w:rPr>
          <w:rFonts w:ascii="Verdana" w:hAnsi="Verdana"/>
        </w:rPr>
        <w:t xml:space="preserve">explicitly identify </w:t>
      </w:r>
      <w:r>
        <w:rPr>
          <w:rFonts w:ascii="Verdana" w:hAnsi="Verdana"/>
        </w:rPr>
        <w:t xml:space="preserve">which transformers to include in the BES.  </w:t>
      </w:r>
      <w:r w:rsidR="00FC02CE">
        <w:rPr>
          <w:rFonts w:ascii="Verdana" w:hAnsi="Verdana"/>
        </w:rPr>
        <w:t xml:space="preserve">The SDT believes that the present draft provides this needed clarification.  </w:t>
      </w:r>
    </w:p>
    <w:p w:rsidR="00027E75" w:rsidRDefault="00027E75" w:rsidP="00724349">
      <w:pPr>
        <w:pStyle w:val="FootnoteText"/>
        <w:numPr>
          <w:ilvl w:val="0"/>
          <w:numId w:val="26"/>
        </w:numPr>
        <w:tabs>
          <w:tab w:val="left" w:pos="90"/>
        </w:tabs>
        <w:spacing w:after="120"/>
        <w:rPr>
          <w:rFonts w:ascii="Verdana" w:hAnsi="Verdana"/>
        </w:rPr>
      </w:pPr>
      <w:r w:rsidRPr="00557124">
        <w:rPr>
          <w:rFonts w:ascii="Verdana" w:hAnsi="Verdana"/>
          <w:b/>
        </w:rPr>
        <w:t xml:space="preserve">Inclusion </w:t>
      </w:r>
      <w:r w:rsidR="000C3E55" w:rsidRPr="00557124">
        <w:rPr>
          <w:rFonts w:ascii="Verdana" w:hAnsi="Verdana"/>
          <w:b/>
        </w:rPr>
        <w:t>I2</w:t>
      </w:r>
      <w:r w:rsidR="000C3E55">
        <w:rPr>
          <w:rFonts w:ascii="Verdana" w:hAnsi="Verdana"/>
        </w:rPr>
        <w:t xml:space="preserve"> – </w:t>
      </w:r>
      <w:r w:rsidRPr="00027E75">
        <w:rPr>
          <w:rFonts w:ascii="Verdana" w:hAnsi="Verdana"/>
        </w:rPr>
        <w:t>Individual generating units greater than 20 MVA (gross nameplate rating) including the generator terminals through the GSU which has a high side voltage of 100 kV or above.</w:t>
      </w:r>
    </w:p>
    <w:p w:rsidR="00557124" w:rsidRDefault="005B00B5" w:rsidP="00724349">
      <w:pPr>
        <w:pStyle w:val="FootnoteText"/>
        <w:numPr>
          <w:ilvl w:val="1"/>
          <w:numId w:val="26"/>
        </w:numPr>
        <w:tabs>
          <w:tab w:val="left" w:pos="90"/>
        </w:tabs>
        <w:spacing w:after="120"/>
        <w:rPr>
          <w:rFonts w:ascii="Verdana" w:hAnsi="Verdana"/>
        </w:rPr>
      </w:pPr>
      <w:r>
        <w:rPr>
          <w:rFonts w:ascii="Verdana" w:hAnsi="Verdana"/>
        </w:rPr>
        <w:t xml:space="preserve">This item mirrors the NERC Compliance Registry Criteria for individual generating units.  One of the basic tenets that the SDT is following is to avoid changes to registration due to the revised definition if such changes </w:t>
      </w:r>
      <w:r w:rsidR="0067226E">
        <w:rPr>
          <w:rFonts w:ascii="Verdana" w:hAnsi="Verdana"/>
        </w:rPr>
        <w:t xml:space="preserve">are </w:t>
      </w:r>
      <w:r>
        <w:rPr>
          <w:rFonts w:ascii="Verdana" w:hAnsi="Verdana"/>
        </w:rPr>
        <w:t xml:space="preserve">not technically required for the definition to be complete.  </w:t>
      </w:r>
    </w:p>
    <w:p w:rsidR="00557124" w:rsidRDefault="00991C26" w:rsidP="00724349">
      <w:pPr>
        <w:pStyle w:val="FootnoteText"/>
        <w:numPr>
          <w:ilvl w:val="1"/>
          <w:numId w:val="26"/>
        </w:numPr>
        <w:tabs>
          <w:tab w:val="left" w:pos="90"/>
        </w:tabs>
        <w:spacing w:after="120"/>
        <w:rPr>
          <w:rFonts w:ascii="Verdana" w:hAnsi="Verdana"/>
        </w:rPr>
      </w:pPr>
      <w:r>
        <w:rPr>
          <w:rFonts w:ascii="Verdana" w:hAnsi="Verdana"/>
        </w:rPr>
        <w:t xml:space="preserve">In the comments received from the posting of the SAR for this project, </w:t>
      </w:r>
      <w:r w:rsidRPr="00991C26">
        <w:rPr>
          <w:rFonts w:ascii="Verdana" w:hAnsi="Verdana"/>
        </w:rPr>
        <w:t>t</w:t>
      </w:r>
      <w:r w:rsidR="005B00B5" w:rsidRPr="00991C26">
        <w:rPr>
          <w:rFonts w:ascii="Verdana" w:hAnsi="Verdana"/>
        </w:rPr>
        <w:t xml:space="preserve">he SDT found no technical rationale for changing from the present </w:t>
      </w:r>
      <w:r w:rsidR="00FD0930">
        <w:rPr>
          <w:rFonts w:ascii="Verdana" w:hAnsi="Verdana"/>
        </w:rPr>
        <w:t xml:space="preserve">greater than </w:t>
      </w:r>
      <w:r w:rsidR="005B00B5" w:rsidRPr="00991C26">
        <w:rPr>
          <w:rFonts w:ascii="Verdana" w:hAnsi="Verdana"/>
        </w:rPr>
        <w:t xml:space="preserve">20 MVA </w:t>
      </w:r>
      <w:r w:rsidR="0067226E" w:rsidRPr="00991C26">
        <w:rPr>
          <w:rFonts w:ascii="Verdana" w:hAnsi="Verdana"/>
        </w:rPr>
        <w:t>threshold</w:t>
      </w:r>
      <w:r w:rsidR="005B00B5">
        <w:rPr>
          <w:rFonts w:ascii="Verdana" w:hAnsi="Verdana"/>
        </w:rPr>
        <w:t xml:space="preserve">.  </w:t>
      </w:r>
      <w:r w:rsidR="00027E75">
        <w:rPr>
          <w:rFonts w:ascii="Verdana" w:hAnsi="Verdana"/>
        </w:rPr>
        <w:t>T</w:t>
      </w:r>
      <w:r w:rsidR="005B00B5">
        <w:rPr>
          <w:rFonts w:ascii="Verdana" w:hAnsi="Verdana"/>
        </w:rPr>
        <w:t xml:space="preserve">o provide clarity on these conditions, the SDT has spelled out that the BES includes the generator terminal leads through the generator step-up transformer (GSU).   </w:t>
      </w:r>
    </w:p>
    <w:p w:rsidR="00027E75" w:rsidRDefault="00027E75" w:rsidP="00724349">
      <w:pPr>
        <w:pStyle w:val="FootnoteText"/>
        <w:numPr>
          <w:ilvl w:val="0"/>
          <w:numId w:val="26"/>
        </w:numPr>
        <w:tabs>
          <w:tab w:val="left" w:pos="90"/>
        </w:tabs>
        <w:spacing w:after="120"/>
        <w:rPr>
          <w:rFonts w:ascii="Verdana" w:hAnsi="Verdana"/>
        </w:rPr>
      </w:pPr>
      <w:r w:rsidRPr="00557124">
        <w:rPr>
          <w:rFonts w:ascii="Verdana" w:hAnsi="Verdana"/>
          <w:b/>
        </w:rPr>
        <w:t xml:space="preserve">Inclusion </w:t>
      </w:r>
      <w:r w:rsidR="000C3E55" w:rsidRPr="00557124">
        <w:rPr>
          <w:rFonts w:ascii="Verdana" w:hAnsi="Verdana"/>
          <w:b/>
        </w:rPr>
        <w:t>I3</w:t>
      </w:r>
      <w:r w:rsidR="000C3E55">
        <w:rPr>
          <w:rFonts w:ascii="Verdana" w:hAnsi="Verdana"/>
        </w:rPr>
        <w:t xml:space="preserve"> – </w:t>
      </w:r>
      <w:r w:rsidRPr="00027E75">
        <w:rPr>
          <w:rFonts w:ascii="Verdana" w:hAnsi="Verdana"/>
        </w:rPr>
        <w:t xml:space="preserve">Multiple generating units located at a single site with aggregate capacity greater than 75 MVA (gross aggregate nameplate rating) including the </w:t>
      </w:r>
      <w:r w:rsidRPr="00027E75">
        <w:rPr>
          <w:rFonts w:ascii="Verdana" w:hAnsi="Verdana"/>
        </w:rPr>
        <w:lastRenderedPageBreak/>
        <w:t>generator terminals through the GSUs, connected through a common bus operated at a voltage of 100 kV or above.</w:t>
      </w:r>
      <w:r>
        <w:rPr>
          <w:rFonts w:ascii="Verdana" w:hAnsi="Verdana"/>
        </w:rPr>
        <w:t xml:space="preserve"> </w:t>
      </w:r>
    </w:p>
    <w:p w:rsidR="00557124" w:rsidRDefault="00454099" w:rsidP="00724349">
      <w:pPr>
        <w:pStyle w:val="FootnoteText"/>
        <w:numPr>
          <w:ilvl w:val="1"/>
          <w:numId w:val="26"/>
        </w:numPr>
        <w:tabs>
          <w:tab w:val="left" w:pos="90"/>
        </w:tabs>
        <w:spacing w:after="120"/>
        <w:rPr>
          <w:rFonts w:ascii="Verdana" w:hAnsi="Verdana"/>
        </w:rPr>
      </w:pPr>
      <w:r>
        <w:rPr>
          <w:rFonts w:ascii="Verdana" w:hAnsi="Verdana"/>
        </w:rPr>
        <w:t xml:space="preserve">This item mirrors the NERC Compliance Registry Criteria for multiple generating units at a </w:t>
      </w:r>
      <w:r w:rsidR="00865C98">
        <w:rPr>
          <w:rFonts w:ascii="Verdana" w:hAnsi="Verdana"/>
        </w:rPr>
        <w:t>single</w:t>
      </w:r>
      <w:r>
        <w:rPr>
          <w:rFonts w:ascii="Verdana" w:hAnsi="Verdana"/>
        </w:rPr>
        <w:t xml:space="preserve"> site.  One of the basic tenets that the SDT is following is to avoid changes to registration due to the revised definition if such changes </w:t>
      </w:r>
      <w:r w:rsidR="0067226E">
        <w:rPr>
          <w:rFonts w:ascii="Verdana" w:hAnsi="Verdana"/>
        </w:rPr>
        <w:t xml:space="preserve">are </w:t>
      </w:r>
      <w:r>
        <w:rPr>
          <w:rFonts w:ascii="Verdana" w:hAnsi="Verdana"/>
        </w:rPr>
        <w:t xml:space="preserve">not technically required for the definition to be complete.  </w:t>
      </w:r>
    </w:p>
    <w:p w:rsidR="00557124" w:rsidRDefault="00991C26" w:rsidP="00724349">
      <w:pPr>
        <w:pStyle w:val="FootnoteText"/>
        <w:numPr>
          <w:ilvl w:val="1"/>
          <w:numId w:val="26"/>
        </w:numPr>
        <w:tabs>
          <w:tab w:val="left" w:pos="90"/>
        </w:tabs>
        <w:spacing w:after="120"/>
        <w:rPr>
          <w:rFonts w:ascii="Verdana" w:hAnsi="Verdana"/>
        </w:rPr>
      </w:pPr>
      <w:r>
        <w:rPr>
          <w:rFonts w:ascii="Verdana" w:hAnsi="Verdana"/>
        </w:rPr>
        <w:t>In the comments received from the posting of the SAR for this project, t</w:t>
      </w:r>
      <w:r w:rsidR="00454099">
        <w:rPr>
          <w:rFonts w:ascii="Verdana" w:hAnsi="Verdana"/>
        </w:rPr>
        <w:t xml:space="preserve">he SDT has found no technical rationale for changing from the present </w:t>
      </w:r>
      <w:r w:rsidR="00FD0930">
        <w:rPr>
          <w:rFonts w:ascii="Verdana" w:hAnsi="Verdana"/>
        </w:rPr>
        <w:t xml:space="preserve">greater than </w:t>
      </w:r>
      <w:r w:rsidR="00454099">
        <w:rPr>
          <w:rFonts w:ascii="Verdana" w:hAnsi="Verdana"/>
        </w:rPr>
        <w:t xml:space="preserve">75 MVA </w:t>
      </w:r>
      <w:r w:rsidR="0067226E">
        <w:rPr>
          <w:rFonts w:ascii="Verdana" w:hAnsi="Verdana"/>
        </w:rPr>
        <w:t>threshold</w:t>
      </w:r>
      <w:r w:rsidR="00454099">
        <w:rPr>
          <w:rFonts w:ascii="Verdana" w:hAnsi="Verdana"/>
        </w:rPr>
        <w:t xml:space="preserve">.  </w:t>
      </w:r>
      <w:r w:rsidR="00027E75">
        <w:rPr>
          <w:rFonts w:ascii="Verdana" w:hAnsi="Verdana"/>
        </w:rPr>
        <w:t>T</w:t>
      </w:r>
      <w:r w:rsidR="00454099">
        <w:rPr>
          <w:rFonts w:ascii="Verdana" w:hAnsi="Verdana"/>
        </w:rPr>
        <w:t>o provide clarity on these conditions, the SDT has spelled out that the BES includes the generator terminal leads through the generator step-up transformer (GSU).</w:t>
      </w:r>
    </w:p>
    <w:p w:rsidR="00027E75" w:rsidRDefault="00027E75" w:rsidP="00724349">
      <w:pPr>
        <w:pStyle w:val="FootnoteText"/>
        <w:numPr>
          <w:ilvl w:val="0"/>
          <w:numId w:val="26"/>
        </w:numPr>
        <w:tabs>
          <w:tab w:val="left" w:pos="90"/>
        </w:tabs>
        <w:spacing w:after="120"/>
        <w:rPr>
          <w:rFonts w:ascii="Verdana" w:hAnsi="Verdana"/>
        </w:rPr>
      </w:pPr>
      <w:r w:rsidRPr="00557124">
        <w:rPr>
          <w:rFonts w:ascii="Verdana" w:hAnsi="Verdana"/>
          <w:b/>
        </w:rPr>
        <w:t xml:space="preserve">Inclusion </w:t>
      </w:r>
      <w:r w:rsidR="000C3E55" w:rsidRPr="00557124">
        <w:rPr>
          <w:rFonts w:ascii="Verdana" w:hAnsi="Verdana"/>
          <w:b/>
        </w:rPr>
        <w:t>I4</w:t>
      </w:r>
      <w:r w:rsidR="000C3E55">
        <w:rPr>
          <w:rFonts w:ascii="Verdana" w:hAnsi="Verdana"/>
        </w:rPr>
        <w:t xml:space="preserve"> – </w:t>
      </w:r>
      <w:r w:rsidRPr="00027E75">
        <w:rPr>
          <w:rFonts w:ascii="Verdana" w:hAnsi="Verdana"/>
        </w:rPr>
        <w:t xml:space="preserve">Blackstart Resources and the designated </w:t>
      </w:r>
      <w:proofErr w:type="spellStart"/>
      <w:r w:rsidRPr="00027E75">
        <w:rPr>
          <w:rFonts w:ascii="Verdana" w:hAnsi="Verdana"/>
        </w:rPr>
        <w:t>blackstart</w:t>
      </w:r>
      <w:proofErr w:type="spellEnd"/>
      <w:r w:rsidRPr="00027E75">
        <w:rPr>
          <w:rFonts w:ascii="Verdana" w:hAnsi="Verdana"/>
        </w:rPr>
        <w:t xml:space="preserve"> Cranking Paths identified in the Transmission Operator’s restoration plan regardless of voltage.</w:t>
      </w:r>
      <w:r>
        <w:rPr>
          <w:rFonts w:ascii="Verdana" w:hAnsi="Verdana"/>
        </w:rPr>
        <w:t xml:space="preserve"> </w:t>
      </w:r>
    </w:p>
    <w:p w:rsidR="00557124" w:rsidRDefault="006B38DE" w:rsidP="00724349">
      <w:pPr>
        <w:pStyle w:val="FootnoteText"/>
        <w:numPr>
          <w:ilvl w:val="1"/>
          <w:numId w:val="26"/>
        </w:numPr>
        <w:tabs>
          <w:tab w:val="left" w:pos="90"/>
        </w:tabs>
        <w:spacing w:after="120"/>
        <w:rPr>
          <w:rFonts w:ascii="Verdana" w:hAnsi="Verdana"/>
        </w:rPr>
      </w:pPr>
      <w:r>
        <w:rPr>
          <w:rFonts w:ascii="Verdana" w:hAnsi="Verdana"/>
        </w:rPr>
        <w:t xml:space="preserve">Blackstart units and their respective cranking paths are considered vital to the overall operation of the BES.  </w:t>
      </w:r>
    </w:p>
    <w:p w:rsidR="00557124" w:rsidRDefault="006B38DE" w:rsidP="00724349">
      <w:pPr>
        <w:pStyle w:val="FootnoteText"/>
        <w:numPr>
          <w:ilvl w:val="1"/>
          <w:numId w:val="26"/>
        </w:numPr>
        <w:tabs>
          <w:tab w:val="left" w:pos="90"/>
        </w:tabs>
        <w:spacing w:after="120"/>
        <w:rPr>
          <w:rFonts w:ascii="Verdana" w:hAnsi="Verdana"/>
        </w:rPr>
      </w:pPr>
      <w:r>
        <w:rPr>
          <w:rFonts w:ascii="Verdana" w:hAnsi="Verdana"/>
        </w:rPr>
        <w:t>Consequently, the SDT has included Blackstart Resources and their respective Cranking Paths in the BES regardless of voltage level.</w:t>
      </w:r>
    </w:p>
    <w:p w:rsidR="00027E75" w:rsidRDefault="00027E75" w:rsidP="00724349">
      <w:pPr>
        <w:pStyle w:val="FootnoteText"/>
        <w:numPr>
          <w:ilvl w:val="0"/>
          <w:numId w:val="26"/>
        </w:numPr>
        <w:tabs>
          <w:tab w:val="left" w:pos="90"/>
        </w:tabs>
        <w:spacing w:after="120"/>
        <w:rPr>
          <w:rFonts w:ascii="Verdana" w:hAnsi="Verdana"/>
        </w:rPr>
      </w:pPr>
      <w:r w:rsidRPr="00557124">
        <w:rPr>
          <w:rFonts w:ascii="Verdana" w:hAnsi="Verdana"/>
          <w:b/>
        </w:rPr>
        <w:t xml:space="preserve">Inclusion </w:t>
      </w:r>
      <w:r w:rsidR="000C3E55" w:rsidRPr="00557124">
        <w:rPr>
          <w:rFonts w:ascii="Verdana" w:hAnsi="Verdana"/>
          <w:b/>
        </w:rPr>
        <w:t>I5</w:t>
      </w:r>
      <w:r w:rsidR="000C3E55">
        <w:rPr>
          <w:rFonts w:ascii="Verdana" w:hAnsi="Verdana"/>
        </w:rPr>
        <w:t xml:space="preserve"> – </w:t>
      </w:r>
      <w:r w:rsidRPr="00027E75">
        <w:rPr>
          <w:rFonts w:ascii="Verdana" w:hAnsi="Verdana"/>
        </w:rPr>
        <w:t>Dispersed power producing resources with aggregate capacity greater than 75 MVA (gross aggregate nameplate rating) utilizing a collector system through a common point of interconnection to a system Element at a voltage of 100 kV or above.</w:t>
      </w:r>
    </w:p>
    <w:p w:rsidR="00557124" w:rsidRDefault="006B38DE" w:rsidP="00724349">
      <w:pPr>
        <w:pStyle w:val="FootnoteText"/>
        <w:numPr>
          <w:ilvl w:val="1"/>
          <w:numId w:val="26"/>
        </w:numPr>
        <w:tabs>
          <w:tab w:val="left" w:pos="90"/>
        </w:tabs>
        <w:spacing w:after="120"/>
        <w:rPr>
          <w:rFonts w:ascii="Verdana" w:hAnsi="Verdana"/>
        </w:rPr>
      </w:pPr>
      <w:r>
        <w:rPr>
          <w:rFonts w:ascii="Verdana" w:hAnsi="Verdana"/>
        </w:rPr>
        <w:t>This item was added to accommodate the effects of variable generation on the BES. T</w:t>
      </w:r>
      <w:r w:rsidR="003225A9">
        <w:rPr>
          <w:rFonts w:ascii="Verdana" w:hAnsi="Verdana"/>
        </w:rPr>
        <w:t>he intent of t</w:t>
      </w:r>
      <w:r>
        <w:rPr>
          <w:rFonts w:ascii="Verdana" w:hAnsi="Verdana"/>
        </w:rPr>
        <w:t xml:space="preserve">his configuration </w:t>
      </w:r>
      <w:r w:rsidR="003225A9">
        <w:rPr>
          <w:rFonts w:ascii="Verdana" w:hAnsi="Verdana"/>
        </w:rPr>
        <w:t xml:space="preserve">is to </w:t>
      </w:r>
      <w:r w:rsidR="00D47ACA">
        <w:rPr>
          <w:rFonts w:ascii="Verdana" w:hAnsi="Verdana"/>
        </w:rPr>
        <w:t>include</w:t>
      </w:r>
      <w:r w:rsidR="003225A9">
        <w:rPr>
          <w:rFonts w:ascii="Verdana" w:hAnsi="Verdana"/>
        </w:rPr>
        <w:t xml:space="preserve"> variable generation (e.g.</w:t>
      </w:r>
      <w:r w:rsidR="00991C26">
        <w:rPr>
          <w:rFonts w:ascii="Verdana" w:hAnsi="Verdana"/>
        </w:rPr>
        <w:t>,</w:t>
      </w:r>
      <w:r w:rsidR="003225A9">
        <w:rPr>
          <w:rFonts w:ascii="Verdana" w:hAnsi="Verdana"/>
        </w:rPr>
        <w:t xml:space="preserve"> wind and solar</w:t>
      </w:r>
      <w:r w:rsidR="00FD0930">
        <w:rPr>
          <w:rFonts w:ascii="Verdana" w:hAnsi="Verdana"/>
        </w:rPr>
        <w:t xml:space="preserve"> resources)</w:t>
      </w:r>
      <w:r w:rsidR="003225A9">
        <w:rPr>
          <w:rFonts w:ascii="Verdana" w:hAnsi="Verdana"/>
        </w:rPr>
        <w:t xml:space="preserve"> with an aggregate rating greater than 75 MVA </w:t>
      </w:r>
      <w:r w:rsidR="006826B1">
        <w:rPr>
          <w:rFonts w:ascii="Verdana" w:hAnsi="Verdana"/>
        </w:rPr>
        <w:t xml:space="preserve">at one location </w:t>
      </w:r>
      <w:r w:rsidR="003225A9">
        <w:rPr>
          <w:rFonts w:ascii="Verdana" w:hAnsi="Verdana"/>
        </w:rPr>
        <w:t xml:space="preserve">and </w:t>
      </w:r>
      <w:r>
        <w:rPr>
          <w:rFonts w:ascii="Verdana" w:hAnsi="Verdana"/>
        </w:rPr>
        <w:t xml:space="preserve">was considered different enough from what was proposed in </w:t>
      </w:r>
      <w:r w:rsidR="00027E75">
        <w:rPr>
          <w:rFonts w:ascii="Verdana" w:hAnsi="Verdana"/>
        </w:rPr>
        <w:t xml:space="preserve">Inclusion </w:t>
      </w:r>
      <w:r>
        <w:rPr>
          <w:rFonts w:ascii="Verdana" w:hAnsi="Verdana"/>
        </w:rPr>
        <w:t xml:space="preserve">I3 to warrant </w:t>
      </w:r>
      <w:r w:rsidR="001C14F0">
        <w:rPr>
          <w:rFonts w:ascii="Verdana" w:hAnsi="Verdana"/>
        </w:rPr>
        <w:t>its own</w:t>
      </w:r>
      <w:r>
        <w:rPr>
          <w:rFonts w:ascii="Verdana" w:hAnsi="Verdana"/>
        </w:rPr>
        <w:t xml:space="preserve"> inclusion statement </w:t>
      </w:r>
      <w:r w:rsidR="001C14F0">
        <w:rPr>
          <w:rFonts w:ascii="Verdana" w:hAnsi="Verdana"/>
        </w:rPr>
        <w:t>for</w:t>
      </w:r>
      <w:r>
        <w:rPr>
          <w:rFonts w:ascii="Verdana" w:hAnsi="Verdana"/>
        </w:rPr>
        <w:t xml:space="preserve"> clarity.  </w:t>
      </w:r>
    </w:p>
    <w:p w:rsidR="000C3E55" w:rsidRDefault="000C3E55" w:rsidP="000C3E55">
      <w:pPr>
        <w:pStyle w:val="FootnoteText"/>
        <w:tabs>
          <w:tab w:val="left" w:pos="90"/>
        </w:tabs>
        <w:spacing w:after="0"/>
        <w:ind w:right="7820"/>
        <w:rPr>
          <w:rFonts w:ascii="Verdana" w:hAnsi="Verdana"/>
        </w:rPr>
      </w:pPr>
    </w:p>
    <w:p w:rsidR="000C3E55" w:rsidRDefault="000C3E55" w:rsidP="00724349">
      <w:pPr>
        <w:pStyle w:val="FootnoteText"/>
        <w:tabs>
          <w:tab w:val="left" w:pos="90"/>
        </w:tabs>
        <w:spacing w:after="120"/>
        <w:rPr>
          <w:rFonts w:ascii="Verdana" w:hAnsi="Verdana"/>
        </w:rPr>
      </w:pPr>
      <w:r>
        <w:rPr>
          <w:rFonts w:ascii="Verdana" w:hAnsi="Verdana"/>
        </w:rPr>
        <w:t>In addition to inclusions, to complete the picture, specific exclusions also need to be considered.  The SDT has currently drafted 3 specific exclusions:</w:t>
      </w:r>
    </w:p>
    <w:p w:rsidR="001C14F0" w:rsidRPr="001C14F0" w:rsidRDefault="00027E75" w:rsidP="00724349">
      <w:pPr>
        <w:pStyle w:val="FootnoteText"/>
        <w:numPr>
          <w:ilvl w:val="0"/>
          <w:numId w:val="27"/>
        </w:numPr>
        <w:tabs>
          <w:tab w:val="left" w:pos="90"/>
        </w:tabs>
        <w:spacing w:after="120"/>
        <w:rPr>
          <w:rFonts w:ascii="Verdana" w:hAnsi="Verdana"/>
        </w:rPr>
      </w:pPr>
      <w:r w:rsidRPr="00557124">
        <w:rPr>
          <w:rFonts w:ascii="Verdana" w:hAnsi="Verdana"/>
          <w:b/>
        </w:rPr>
        <w:t xml:space="preserve">Exclusion </w:t>
      </w:r>
      <w:r w:rsidR="000C3E55" w:rsidRPr="00557124">
        <w:rPr>
          <w:rFonts w:ascii="Verdana" w:hAnsi="Verdana"/>
          <w:b/>
        </w:rPr>
        <w:t xml:space="preserve">E1 </w:t>
      </w:r>
      <w:r w:rsidR="000C3E55">
        <w:rPr>
          <w:rFonts w:ascii="Verdana" w:hAnsi="Verdana"/>
        </w:rPr>
        <w:t xml:space="preserve">– </w:t>
      </w:r>
      <w:r w:rsidR="001C14F0" w:rsidRPr="001C14F0">
        <w:rPr>
          <w:rFonts w:ascii="Verdana" w:hAnsi="Verdana"/>
        </w:rPr>
        <w:t>Any radial system which is described as connected from a single Transmission source originating with an automatic interruption device and:</w:t>
      </w:r>
    </w:p>
    <w:p w:rsidR="00557124" w:rsidRDefault="001C14F0" w:rsidP="00557124">
      <w:pPr>
        <w:pStyle w:val="FootnoteText"/>
        <w:ind w:left="1080" w:hanging="360"/>
        <w:rPr>
          <w:rFonts w:ascii="Verdana" w:hAnsi="Verdana"/>
        </w:rPr>
      </w:pPr>
      <w:r w:rsidRPr="001C14F0">
        <w:rPr>
          <w:rFonts w:ascii="Verdana" w:hAnsi="Verdana"/>
        </w:rPr>
        <w:t>a)</w:t>
      </w:r>
      <w:r w:rsidRPr="001C14F0">
        <w:rPr>
          <w:rFonts w:ascii="Verdana" w:hAnsi="Verdana"/>
        </w:rPr>
        <w:tab/>
        <w:t>Only serving Load.  A normally open switching device between radial systems may operate in a ‘make-before-break’ fashion to allow for reliable system reconfiguration to maintain continuity of electrical service.  Or,</w:t>
      </w:r>
    </w:p>
    <w:p w:rsidR="00557124" w:rsidRDefault="001C14F0" w:rsidP="00557124">
      <w:pPr>
        <w:pStyle w:val="FootnoteText"/>
        <w:ind w:left="1080" w:hanging="360"/>
        <w:rPr>
          <w:rFonts w:ascii="Verdana" w:hAnsi="Verdana"/>
        </w:rPr>
      </w:pPr>
      <w:r w:rsidRPr="001C14F0">
        <w:rPr>
          <w:rFonts w:ascii="Verdana" w:hAnsi="Verdana"/>
        </w:rPr>
        <w:t>b)</w:t>
      </w:r>
      <w:r w:rsidRPr="001C14F0">
        <w:rPr>
          <w:rFonts w:ascii="Verdana" w:hAnsi="Verdana"/>
        </w:rPr>
        <w:tab/>
        <w:t>Only including generation resources not identified in Inclusions I2, I3, I4 and I5.  Or,</w:t>
      </w:r>
    </w:p>
    <w:p w:rsidR="00557124" w:rsidRDefault="001C14F0" w:rsidP="00557124">
      <w:pPr>
        <w:pStyle w:val="FootnoteText"/>
        <w:ind w:left="1080" w:hanging="360"/>
        <w:rPr>
          <w:rFonts w:ascii="Verdana" w:hAnsi="Verdana"/>
        </w:rPr>
      </w:pPr>
      <w:r w:rsidRPr="001C14F0">
        <w:rPr>
          <w:rFonts w:ascii="Verdana" w:hAnsi="Verdana"/>
        </w:rPr>
        <w:t>c)</w:t>
      </w:r>
      <w:r w:rsidRPr="001C14F0">
        <w:rPr>
          <w:rFonts w:ascii="Verdana" w:hAnsi="Verdana"/>
        </w:rPr>
        <w:tab/>
        <w:t xml:space="preserve">Is a combination of items (a.) and (b.) where the radial system serves Load and includes generation resources not identified in Inclusions I2, I3, I4 and </w:t>
      </w:r>
      <w:proofErr w:type="gramStart"/>
      <w:r w:rsidRPr="001C14F0">
        <w:rPr>
          <w:rFonts w:ascii="Verdana" w:hAnsi="Verdana"/>
        </w:rPr>
        <w:t>I5.</w:t>
      </w:r>
      <w:proofErr w:type="gramEnd"/>
      <w:r w:rsidRPr="001C14F0">
        <w:rPr>
          <w:rFonts w:ascii="Verdana" w:hAnsi="Verdana"/>
        </w:rPr>
        <w:t xml:space="preserve"> </w:t>
      </w:r>
    </w:p>
    <w:p w:rsidR="00557124" w:rsidRDefault="000C3E55">
      <w:pPr>
        <w:pStyle w:val="FootnoteText"/>
        <w:numPr>
          <w:ilvl w:val="1"/>
          <w:numId w:val="27"/>
        </w:numPr>
        <w:tabs>
          <w:tab w:val="left" w:pos="90"/>
        </w:tabs>
        <w:rPr>
          <w:rFonts w:ascii="Verdana" w:hAnsi="Verdana"/>
        </w:rPr>
      </w:pPr>
      <w:r>
        <w:rPr>
          <w:rFonts w:ascii="Verdana" w:hAnsi="Verdana"/>
        </w:rPr>
        <w:t xml:space="preserve">This item was added to address the basic issue of radial systems.  </w:t>
      </w:r>
      <w:r w:rsidR="001C14F0">
        <w:rPr>
          <w:rFonts w:ascii="Verdana" w:hAnsi="Verdana"/>
        </w:rPr>
        <w:t>A r</w:t>
      </w:r>
      <w:r>
        <w:rPr>
          <w:rFonts w:ascii="Verdana" w:hAnsi="Verdana"/>
        </w:rPr>
        <w:t xml:space="preserve">adial exclusion </w:t>
      </w:r>
      <w:r w:rsidR="001C14F0">
        <w:rPr>
          <w:rFonts w:ascii="Verdana" w:hAnsi="Verdana"/>
        </w:rPr>
        <w:t xml:space="preserve">is </w:t>
      </w:r>
      <w:r>
        <w:rPr>
          <w:rFonts w:ascii="Verdana" w:hAnsi="Verdana"/>
        </w:rPr>
        <w:t xml:space="preserve">part of the existing definition and was supported moving forward in all of the regional work as well as Order </w:t>
      </w:r>
      <w:r w:rsidR="0067226E">
        <w:rPr>
          <w:rFonts w:ascii="Verdana" w:hAnsi="Verdana"/>
        </w:rPr>
        <w:t xml:space="preserve">No. </w:t>
      </w:r>
      <w:r>
        <w:rPr>
          <w:rFonts w:ascii="Verdana" w:hAnsi="Verdana"/>
        </w:rPr>
        <w:t>743</w:t>
      </w:r>
      <w:r w:rsidR="00394507">
        <w:rPr>
          <w:rFonts w:ascii="Verdana" w:hAnsi="Verdana"/>
        </w:rPr>
        <w:t xml:space="preserve"> (and Order </w:t>
      </w:r>
      <w:r w:rsidR="0067226E">
        <w:rPr>
          <w:rFonts w:ascii="Verdana" w:hAnsi="Verdana"/>
        </w:rPr>
        <w:t xml:space="preserve">No. </w:t>
      </w:r>
      <w:r w:rsidR="00394507">
        <w:rPr>
          <w:rFonts w:ascii="Verdana" w:hAnsi="Verdana"/>
        </w:rPr>
        <w:t>743a)</w:t>
      </w:r>
      <w:r>
        <w:rPr>
          <w:rFonts w:ascii="Verdana" w:hAnsi="Verdana"/>
        </w:rPr>
        <w:t xml:space="preserve">. The SDT has clarified this exclusion by specifying that protection for the BES is a required element of the system to be excluded.  The SDT </w:t>
      </w:r>
      <w:r w:rsidR="00991C26">
        <w:rPr>
          <w:rFonts w:ascii="Verdana" w:hAnsi="Verdana"/>
        </w:rPr>
        <w:t>believes</w:t>
      </w:r>
      <w:r w:rsidR="0067226E">
        <w:rPr>
          <w:rFonts w:ascii="Verdana" w:hAnsi="Verdana"/>
        </w:rPr>
        <w:t xml:space="preserve"> </w:t>
      </w:r>
      <w:r>
        <w:rPr>
          <w:rFonts w:ascii="Verdana" w:hAnsi="Verdana"/>
        </w:rPr>
        <w:t>that</w:t>
      </w:r>
      <w:r w:rsidR="00394507">
        <w:rPr>
          <w:rFonts w:ascii="Verdana" w:hAnsi="Verdana"/>
        </w:rPr>
        <w:t xml:space="preserve"> faults on radial lines without protection devices could negatively impact the BES</w:t>
      </w:r>
      <w:r>
        <w:rPr>
          <w:rFonts w:ascii="Verdana" w:hAnsi="Verdana"/>
        </w:rPr>
        <w:t xml:space="preserve">.    </w:t>
      </w:r>
    </w:p>
    <w:p w:rsidR="001C14F0" w:rsidRDefault="00027E75" w:rsidP="00724349">
      <w:pPr>
        <w:pStyle w:val="FootnoteText"/>
        <w:numPr>
          <w:ilvl w:val="0"/>
          <w:numId w:val="27"/>
        </w:numPr>
        <w:tabs>
          <w:tab w:val="left" w:pos="90"/>
        </w:tabs>
        <w:spacing w:after="120"/>
        <w:rPr>
          <w:rFonts w:ascii="Verdana" w:hAnsi="Verdana"/>
        </w:rPr>
      </w:pPr>
      <w:r w:rsidRPr="00557124">
        <w:rPr>
          <w:rFonts w:ascii="Verdana" w:hAnsi="Verdana"/>
          <w:b/>
        </w:rPr>
        <w:lastRenderedPageBreak/>
        <w:t xml:space="preserve">Exclusion </w:t>
      </w:r>
      <w:r w:rsidR="000C3E55" w:rsidRPr="00557124">
        <w:rPr>
          <w:rFonts w:ascii="Verdana" w:hAnsi="Verdana"/>
          <w:b/>
        </w:rPr>
        <w:t>E2</w:t>
      </w:r>
      <w:r w:rsidR="000C3E55">
        <w:rPr>
          <w:rFonts w:ascii="Verdana" w:hAnsi="Verdana"/>
        </w:rPr>
        <w:t xml:space="preserve"> – </w:t>
      </w:r>
      <w:r w:rsidR="001C14F0" w:rsidRPr="001C14F0">
        <w:rPr>
          <w:rFonts w:ascii="Verdana" w:hAnsi="Verdana"/>
        </w:rPr>
        <w:t>A generating unit or multiple generating units that serve all or part of retail Load with electric energy on the customer’s side of the retail meter if: (</w:t>
      </w:r>
      <w:proofErr w:type="spellStart"/>
      <w:r w:rsidR="001C14F0" w:rsidRPr="001C14F0">
        <w:rPr>
          <w:rFonts w:ascii="Verdana" w:hAnsi="Verdana"/>
        </w:rPr>
        <w:t>i</w:t>
      </w:r>
      <w:proofErr w:type="spellEnd"/>
      <w:r w:rsidR="001C14F0" w:rsidRPr="001C14F0">
        <w:rPr>
          <w:rFonts w:ascii="Verdana" w:hAnsi="Verdana"/>
        </w:rPr>
        <w:t>) the net capacity provided to the BES does not exceed the criteria identified in Inclusions I2 or I3, and (ii) standby, back-up, and maintenance power services are provided to the generating unit or multiple generating units or to the retail Load pursuant to a binding obligation with a Balancing Authority or another Generator Owner/Generator Operator, or under terms approved by the applicable regulatory authority.</w:t>
      </w:r>
    </w:p>
    <w:p w:rsidR="00557124" w:rsidRDefault="000C3E55" w:rsidP="00724349">
      <w:pPr>
        <w:pStyle w:val="FootnoteText"/>
        <w:numPr>
          <w:ilvl w:val="1"/>
          <w:numId w:val="27"/>
        </w:numPr>
        <w:tabs>
          <w:tab w:val="left" w:pos="90"/>
        </w:tabs>
        <w:spacing w:after="120"/>
        <w:rPr>
          <w:rFonts w:ascii="Verdana" w:hAnsi="Verdana"/>
        </w:rPr>
      </w:pPr>
      <w:r>
        <w:rPr>
          <w:rFonts w:ascii="Verdana" w:hAnsi="Verdana"/>
        </w:rPr>
        <w:t xml:space="preserve">This item was added to address the situation of behind-the-meter generation.  The wording is basically extracted from the NERC Compliance Registry Criteria.  </w:t>
      </w:r>
    </w:p>
    <w:p w:rsidR="001C14F0" w:rsidRPr="001C14F0" w:rsidRDefault="00027E75" w:rsidP="001C14F0">
      <w:pPr>
        <w:pStyle w:val="FootnoteText"/>
        <w:numPr>
          <w:ilvl w:val="0"/>
          <w:numId w:val="27"/>
        </w:numPr>
        <w:tabs>
          <w:tab w:val="left" w:pos="90"/>
        </w:tabs>
        <w:rPr>
          <w:rFonts w:ascii="Verdana" w:hAnsi="Verdana"/>
        </w:rPr>
      </w:pPr>
      <w:r w:rsidRPr="00557124">
        <w:rPr>
          <w:rFonts w:ascii="Verdana" w:hAnsi="Verdana"/>
          <w:b/>
        </w:rPr>
        <w:t xml:space="preserve">Exclusion </w:t>
      </w:r>
      <w:r w:rsidR="000C3E55" w:rsidRPr="00557124">
        <w:rPr>
          <w:rFonts w:ascii="Verdana" w:hAnsi="Verdana"/>
          <w:b/>
        </w:rPr>
        <w:t>E3</w:t>
      </w:r>
      <w:r w:rsidR="000C3E55">
        <w:rPr>
          <w:rFonts w:ascii="Verdana" w:hAnsi="Verdana"/>
        </w:rPr>
        <w:t xml:space="preserve"> – </w:t>
      </w:r>
      <w:r w:rsidR="001C14F0" w:rsidRPr="001C14F0">
        <w:rPr>
          <w:rFonts w:ascii="Verdana" w:hAnsi="Verdana"/>
        </w:rPr>
        <w:t>Local Distribution Networks (LDN): Groups of Elements operated above 100 kV that distribute power to Load rather than transfer bulk power across the Interconnected System.  LDN’s are connected to the Bulk Electric System (BES) at more than one location solely to improve the level of service to retail customer Load. The LDN is characterized by all of the following:</w:t>
      </w:r>
    </w:p>
    <w:p w:rsidR="00557124" w:rsidRDefault="001C14F0">
      <w:pPr>
        <w:pStyle w:val="FootnoteText"/>
        <w:tabs>
          <w:tab w:val="left" w:pos="90"/>
        </w:tabs>
        <w:ind w:left="1080" w:hanging="360"/>
        <w:rPr>
          <w:rFonts w:ascii="Verdana" w:hAnsi="Verdana"/>
        </w:rPr>
      </w:pPr>
      <w:proofErr w:type="gramStart"/>
      <w:r w:rsidRPr="001C14F0">
        <w:rPr>
          <w:rFonts w:ascii="Verdana" w:hAnsi="Verdana"/>
        </w:rPr>
        <w:t>a</w:t>
      </w:r>
      <w:proofErr w:type="gramEnd"/>
      <w:r w:rsidRPr="001C14F0">
        <w:rPr>
          <w:rFonts w:ascii="Verdana" w:hAnsi="Verdana"/>
        </w:rPr>
        <w:t>)</w:t>
      </w:r>
      <w:r w:rsidRPr="001C14F0">
        <w:rPr>
          <w:rFonts w:ascii="Verdana" w:hAnsi="Verdana"/>
        </w:rPr>
        <w:tab/>
        <w:t>Separable by automatic fault interrupting devices: Wherever connected to the BES, the LDN must be connected through automatic fault-interrupting devices;</w:t>
      </w:r>
    </w:p>
    <w:p w:rsidR="00557124" w:rsidRDefault="001C14F0">
      <w:pPr>
        <w:pStyle w:val="FootnoteText"/>
        <w:tabs>
          <w:tab w:val="left" w:pos="90"/>
          <w:tab w:val="left" w:pos="1080"/>
        </w:tabs>
        <w:ind w:left="1080" w:hanging="360"/>
        <w:rPr>
          <w:rFonts w:ascii="Verdana" w:hAnsi="Verdana"/>
        </w:rPr>
      </w:pPr>
      <w:r w:rsidRPr="001C14F0">
        <w:rPr>
          <w:rFonts w:ascii="Verdana" w:hAnsi="Verdana"/>
        </w:rPr>
        <w:t>b)</w:t>
      </w:r>
      <w:r w:rsidRPr="001C14F0">
        <w:rPr>
          <w:rFonts w:ascii="Verdana" w:hAnsi="Verdana"/>
        </w:rPr>
        <w:tab/>
        <w:t xml:space="preserve">Limits on connected generation:  Neither the LDN, nor </w:t>
      </w:r>
      <w:proofErr w:type="gramStart"/>
      <w:r w:rsidRPr="001C14F0">
        <w:rPr>
          <w:rFonts w:ascii="Verdana" w:hAnsi="Verdana"/>
        </w:rPr>
        <w:t>its</w:t>
      </w:r>
      <w:proofErr w:type="gramEnd"/>
      <w:r w:rsidRPr="001C14F0">
        <w:rPr>
          <w:rFonts w:ascii="Verdana" w:hAnsi="Verdana"/>
        </w:rPr>
        <w:t xml:space="preserve"> underlying Elements (in aggregate), includes more than 75 MVA generation;</w:t>
      </w:r>
    </w:p>
    <w:p w:rsidR="00557124" w:rsidRDefault="001C14F0">
      <w:pPr>
        <w:pStyle w:val="FootnoteText"/>
        <w:tabs>
          <w:tab w:val="left" w:pos="90"/>
          <w:tab w:val="left" w:pos="1080"/>
        </w:tabs>
        <w:ind w:left="1080" w:hanging="360"/>
        <w:rPr>
          <w:rFonts w:ascii="Verdana" w:hAnsi="Verdana"/>
        </w:rPr>
      </w:pPr>
      <w:r w:rsidRPr="001C14F0">
        <w:rPr>
          <w:rFonts w:ascii="Verdana" w:hAnsi="Verdana"/>
        </w:rPr>
        <w:t>c)</w:t>
      </w:r>
      <w:r w:rsidRPr="001C14F0">
        <w:rPr>
          <w:rFonts w:ascii="Verdana" w:hAnsi="Verdana"/>
        </w:rPr>
        <w:tab/>
        <w:t>Power flows only into the Local Distribution Network:  The generation within the LDN shall not exceed the electric Demand within the LDN;</w:t>
      </w:r>
    </w:p>
    <w:p w:rsidR="00557124" w:rsidRDefault="001C14F0">
      <w:pPr>
        <w:pStyle w:val="FootnoteText"/>
        <w:tabs>
          <w:tab w:val="left" w:pos="90"/>
          <w:tab w:val="left" w:pos="1080"/>
        </w:tabs>
        <w:ind w:left="1080" w:hanging="360"/>
        <w:rPr>
          <w:rFonts w:ascii="Verdana" w:hAnsi="Verdana"/>
        </w:rPr>
      </w:pPr>
      <w:r w:rsidRPr="001C14F0">
        <w:rPr>
          <w:rFonts w:ascii="Verdana" w:hAnsi="Verdana"/>
        </w:rPr>
        <w:t>d)</w:t>
      </w:r>
      <w:r w:rsidRPr="001C14F0">
        <w:rPr>
          <w:rFonts w:ascii="Verdana" w:hAnsi="Verdana"/>
        </w:rPr>
        <w:tab/>
        <w:t>Not used to transfer bulk power: The LDN is not used to transfer energy originating outside the LDN for delivery through the LDN; and</w:t>
      </w:r>
    </w:p>
    <w:p w:rsidR="00557124" w:rsidRDefault="001C14F0" w:rsidP="00724349">
      <w:pPr>
        <w:pStyle w:val="FootnoteText"/>
        <w:tabs>
          <w:tab w:val="left" w:pos="90"/>
          <w:tab w:val="left" w:pos="1080"/>
        </w:tabs>
        <w:spacing w:after="120"/>
        <w:ind w:left="1080" w:hanging="360"/>
        <w:rPr>
          <w:rFonts w:ascii="Verdana" w:hAnsi="Verdana"/>
        </w:rPr>
      </w:pPr>
      <w:r w:rsidRPr="001C14F0">
        <w:rPr>
          <w:rFonts w:ascii="Verdana" w:hAnsi="Verdana"/>
        </w:rPr>
        <w:t>e)</w:t>
      </w:r>
      <w:r w:rsidRPr="001C14F0">
        <w:rPr>
          <w:rFonts w:ascii="Verdana" w:hAnsi="Verdana"/>
        </w:rPr>
        <w:tab/>
        <w:t xml:space="preserve">Not part of a Flowgate or Transfer Path: The LDN does not contain a monitored Facility of a permanent </w:t>
      </w:r>
      <w:proofErr w:type="spellStart"/>
      <w:r w:rsidRPr="001C14F0">
        <w:rPr>
          <w:rFonts w:ascii="Verdana" w:hAnsi="Verdana"/>
        </w:rPr>
        <w:t>flowgate</w:t>
      </w:r>
      <w:proofErr w:type="spellEnd"/>
      <w:r w:rsidRPr="001C14F0">
        <w:rPr>
          <w:rFonts w:ascii="Verdana" w:hAnsi="Verdana"/>
        </w:rPr>
        <w:t xml:space="preserve"> in the Eastern Interconnection, a major transfer path within the Western Interconnection as defined by the Regional Entity, or a comparable monitored Facility in the Quebec Interconnection, and is not a monitored Facility included in an Interconnection Reliability Operating Limit (IROL).</w:t>
      </w:r>
    </w:p>
    <w:p w:rsidR="00557124" w:rsidRDefault="005B00B5" w:rsidP="00724349">
      <w:pPr>
        <w:pStyle w:val="FootnoteText"/>
        <w:numPr>
          <w:ilvl w:val="1"/>
          <w:numId w:val="27"/>
        </w:numPr>
        <w:tabs>
          <w:tab w:val="left" w:pos="90"/>
        </w:tabs>
        <w:spacing w:after="120"/>
        <w:rPr>
          <w:rFonts w:ascii="Verdana" w:hAnsi="Verdana"/>
        </w:rPr>
      </w:pPr>
      <w:r>
        <w:rPr>
          <w:rFonts w:ascii="Verdana" w:hAnsi="Verdana"/>
        </w:rPr>
        <w:t xml:space="preserve">Local distribution networks were added to the exclusion list after considerable discussions among the SDT and various </w:t>
      </w:r>
      <w:r w:rsidR="00A86F1E">
        <w:rPr>
          <w:rFonts w:ascii="Verdana" w:hAnsi="Verdana"/>
        </w:rPr>
        <w:t xml:space="preserve">registered </w:t>
      </w:r>
      <w:r>
        <w:rPr>
          <w:rFonts w:ascii="Verdana" w:hAnsi="Verdana"/>
        </w:rPr>
        <w:t xml:space="preserve">entities </w:t>
      </w:r>
      <w:r w:rsidR="00A86F1E">
        <w:rPr>
          <w:rFonts w:ascii="Verdana" w:hAnsi="Verdana"/>
        </w:rPr>
        <w:t>that</w:t>
      </w:r>
      <w:r>
        <w:rPr>
          <w:rFonts w:ascii="Verdana" w:hAnsi="Verdana"/>
        </w:rPr>
        <w:t xml:space="preserve"> have configurations meeting these conditions.  The SDT </w:t>
      </w:r>
      <w:r w:rsidR="00CA6D4C">
        <w:rPr>
          <w:rFonts w:ascii="Verdana" w:hAnsi="Verdana"/>
        </w:rPr>
        <w:t>believes</w:t>
      </w:r>
      <w:r w:rsidR="0067226E">
        <w:rPr>
          <w:rFonts w:ascii="Verdana" w:hAnsi="Verdana"/>
        </w:rPr>
        <w:t xml:space="preserve"> </w:t>
      </w:r>
      <w:r>
        <w:rPr>
          <w:rFonts w:ascii="Verdana" w:hAnsi="Verdana"/>
        </w:rPr>
        <w:t xml:space="preserve">that any network that simply supports distribution and is providing adequate protection </w:t>
      </w:r>
      <w:r w:rsidR="0067226E">
        <w:rPr>
          <w:rFonts w:ascii="Verdana" w:hAnsi="Verdana"/>
        </w:rPr>
        <w:t>should be excluded from the BES</w:t>
      </w:r>
      <w:r>
        <w:rPr>
          <w:rFonts w:ascii="Verdana" w:hAnsi="Verdana"/>
        </w:rPr>
        <w:t xml:space="preserve">.  </w:t>
      </w:r>
    </w:p>
    <w:p w:rsidR="006B38DE" w:rsidRDefault="006B38DE" w:rsidP="006B38DE">
      <w:pPr>
        <w:pStyle w:val="FootnoteText"/>
        <w:tabs>
          <w:tab w:val="left" w:pos="90"/>
        </w:tabs>
        <w:spacing w:after="0"/>
        <w:ind w:left="720"/>
        <w:rPr>
          <w:rFonts w:ascii="Verdana" w:hAnsi="Verdana"/>
        </w:rPr>
      </w:pPr>
    </w:p>
    <w:p w:rsidR="00557124" w:rsidRDefault="006B38DE" w:rsidP="00557124">
      <w:pPr>
        <w:pStyle w:val="FootnoteText"/>
        <w:tabs>
          <w:tab w:val="left" w:pos="90"/>
        </w:tabs>
        <w:spacing w:after="0"/>
        <w:rPr>
          <w:rFonts w:ascii="Verdana" w:hAnsi="Verdana"/>
        </w:rPr>
      </w:pPr>
      <w:r>
        <w:rPr>
          <w:rFonts w:ascii="Verdana" w:hAnsi="Verdana"/>
        </w:rPr>
        <w:t xml:space="preserve">In parallel with the definition project, another team has been set up to </w:t>
      </w:r>
      <w:r w:rsidR="00396412">
        <w:rPr>
          <w:rFonts w:ascii="Verdana" w:hAnsi="Verdana"/>
        </w:rPr>
        <w:t>develop</w:t>
      </w:r>
      <w:r>
        <w:rPr>
          <w:rFonts w:ascii="Verdana" w:hAnsi="Verdana"/>
        </w:rPr>
        <w:t xml:space="preserve"> a change to the NERC Rules of Procedure </w:t>
      </w:r>
      <w:r w:rsidR="00FD0930">
        <w:rPr>
          <w:rFonts w:ascii="Verdana" w:hAnsi="Verdana"/>
        </w:rPr>
        <w:t xml:space="preserve">(ROP) </w:t>
      </w:r>
      <w:r>
        <w:rPr>
          <w:rFonts w:ascii="Verdana" w:hAnsi="Verdana"/>
        </w:rPr>
        <w:t xml:space="preserve">to allow entities to </w:t>
      </w:r>
      <w:r w:rsidR="00396412">
        <w:rPr>
          <w:rFonts w:ascii="Verdana" w:hAnsi="Verdana"/>
        </w:rPr>
        <w:t xml:space="preserve">technically </w:t>
      </w:r>
      <w:r w:rsidR="0067226E">
        <w:rPr>
          <w:rFonts w:ascii="Verdana" w:hAnsi="Verdana"/>
        </w:rPr>
        <w:t xml:space="preserve">justify excluding </w:t>
      </w:r>
      <w:r w:rsidR="00FD0930">
        <w:rPr>
          <w:rFonts w:ascii="Verdana" w:hAnsi="Verdana"/>
        </w:rPr>
        <w:t>Elements</w:t>
      </w:r>
      <w:r w:rsidR="0067226E">
        <w:rPr>
          <w:rFonts w:ascii="Verdana" w:hAnsi="Verdana"/>
        </w:rPr>
        <w:t xml:space="preserve"> from the BES that might otherwise be included according to the proposed definition</w:t>
      </w:r>
      <w:r>
        <w:rPr>
          <w:rFonts w:ascii="Verdana" w:hAnsi="Verdana"/>
        </w:rPr>
        <w:t xml:space="preserve">.  </w:t>
      </w:r>
      <w:r w:rsidR="00394507">
        <w:rPr>
          <w:rFonts w:ascii="Verdana" w:hAnsi="Verdana"/>
        </w:rPr>
        <w:t>T</w:t>
      </w:r>
      <w:r>
        <w:rPr>
          <w:rFonts w:ascii="Verdana" w:hAnsi="Verdana"/>
        </w:rPr>
        <w:t xml:space="preserve">his same process would be used by </w:t>
      </w:r>
      <w:r w:rsidR="00B71691">
        <w:rPr>
          <w:rFonts w:ascii="Verdana" w:hAnsi="Verdana"/>
        </w:rPr>
        <w:t>Registered</w:t>
      </w:r>
      <w:r>
        <w:rPr>
          <w:rFonts w:ascii="Verdana" w:hAnsi="Verdana"/>
        </w:rPr>
        <w:t xml:space="preserve"> Entities</w:t>
      </w:r>
      <w:r w:rsidR="00CA6D4C">
        <w:rPr>
          <w:rFonts w:ascii="Verdana" w:hAnsi="Verdana"/>
        </w:rPr>
        <w:t xml:space="preserve"> </w:t>
      </w:r>
      <w:r>
        <w:rPr>
          <w:rFonts w:ascii="Verdana" w:hAnsi="Verdana"/>
        </w:rPr>
        <w:t xml:space="preserve">to </w:t>
      </w:r>
      <w:r w:rsidR="0067226E">
        <w:rPr>
          <w:rFonts w:ascii="Verdana" w:hAnsi="Verdana"/>
        </w:rPr>
        <w:t xml:space="preserve">justify including </w:t>
      </w:r>
      <w:r w:rsidR="00FD0930">
        <w:rPr>
          <w:rFonts w:ascii="Verdana" w:hAnsi="Verdana"/>
        </w:rPr>
        <w:t>Elements</w:t>
      </w:r>
      <w:r w:rsidR="0067226E">
        <w:rPr>
          <w:rFonts w:ascii="Verdana" w:hAnsi="Verdana"/>
        </w:rPr>
        <w:t xml:space="preserve"> in the BES that might otherwise be excluded according to the proposed definition</w:t>
      </w:r>
      <w:r>
        <w:rPr>
          <w:rFonts w:ascii="Verdana" w:hAnsi="Verdana"/>
        </w:rPr>
        <w:t xml:space="preserve">.  </w:t>
      </w:r>
      <w:r w:rsidR="00F44C6B">
        <w:rPr>
          <w:rFonts w:ascii="Verdana" w:hAnsi="Verdana"/>
        </w:rPr>
        <w:t xml:space="preserve">Finally, this process would also be </w:t>
      </w:r>
      <w:r w:rsidR="001C14F0">
        <w:rPr>
          <w:rFonts w:ascii="Verdana" w:hAnsi="Verdana"/>
        </w:rPr>
        <w:t xml:space="preserve">used </w:t>
      </w:r>
      <w:r w:rsidR="00F44C6B">
        <w:rPr>
          <w:rFonts w:ascii="Verdana" w:hAnsi="Verdana"/>
        </w:rPr>
        <w:t xml:space="preserve">for those situations where the </w:t>
      </w:r>
      <w:r w:rsidR="00FD0930">
        <w:rPr>
          <w:rFonts w:ascii="Verdana" w:hAnsi="Verdana"/>
        </w:rPr>
        <w:t xml:space="preserve">core </w:t>
      </w:r>
      <w:r w:rsidR="00F44C6B">
        <w:rPr>
          <w:rFonts w:ascii="Verdana" w:hAnsi="Verdana"/>
        </w:rPr>
        <w:t>definition does</w:t>
      </w:r>
      <w:r w:rsidR="00FD0930">
        <w:rPr>
          <w:rFonts w:ascii="Verdana" w:hAnsi="Verdana"/>
        </w:rPr>
        <w:t xml:space="preserve"> not clearly identify whether an Element</w:t>
      </w:r>
      <w:r w:rsidR="00F44C6B">
        <w:rPr>
          <w:rFonts w:ascii="Verdana" w:hAnsi="Verdana"/>
        </w:rPr>
        <w:t xml:space="preserve"> is </w:t>
      </w:r>
      <w:r w:rsidR="001C14F0">
        <w:rPr>
          <w:rFonts w:ascii="Verdana" w:hAnsi="Verdana"/>
        </w:rPr>
        <w:t xml:space="preserve">part of the </w:t>
      </w:r>
      <w:r w:rsidR="00F44C6B">
        <w:rPr>
          <w:rFonts w:ascii="Verdana" w:hAnsi="Verdana"/>
        </w:rPr>
        <w:t>BES or not.</w:t>
      </w:r>
      <w:r w:rsidR="004A0F0F">
        <w:rPr>
          <w:rFonts w:ascii="Verdana" w:hAnsi="Verdana"/>
        </w:rPr>
        <w:t xml:space="preserve">  This ROP team will develop the process for seeking an exemption from the definition but the DBES</w:t>
      </w:r>
      <w:r w:rsidR="001C14F0">
        <w:rPr>
          <w:rFonts w:ascii="Verdana" w:hAnsi="Verdana"/>
        </w:rPr>
        <w:t xml:space="preserve"> </w:t>
      </w:r>
      <w:r w:rsidR="004A0F0F">
        <w:rPr>
          <w:rFonts w:ascii="Verdana" w:hAnsi="Verdana"/>
        </w:rPr>
        <w:t xml:space="preserve">SDT will develop the criteria necessary for </w:t>
      </w:r>
      <w:r w:rsidR="001C14F0">
        <w:rPr>
          <w:rFonts w:ascii="Verdana" w:hAnsi="Verdana"/>
        </w:rPr>
        <w:t xml:space="preserve">inclusion with a request </w:t>
      </w:r>
      <w:r w:rsidR="004A0F0F">
        <w:rPr>
          <w:rFonts w:ascii="Verdana" w:hAnsi="Verdana"/>
        </w:rPr>
        <w:t xml:space="preserve">for an exemption through the standards development process. </w:t>
      </w:r>
      <w:r w:rsidR="00F44C6B">
        <w:rPr>
          <w:rFonts w:ascii="Verdana" w:hAnsi="Verdana"/>
        </w:rPr>
        <w:t xml:space="preserve">    </w:t>
      </w:r>
    </w:p>
    <w:p w:rsidR="00557124" w:rsidRDefault="00557124" w:rsidP="00557124">
      <w:pPr>
        <w:pStyle w:val="FootnoteText"/>
        <w:tabs>
          <w:tab w:val="left" w:pos="90"/>
        </w:tabs>
        <w:spacing w:after="0"/>
        <w:rPr>
          <w:rFonts w:ascii="Verdana" w:hAnsi="Verdana"/>
        </w:rPr>
      </w:pPr>
    </w:p>
    <w:p w:rsidR="00557124" w:rsidRDefault="00557124" w:rsidP="00557124">
      <w:pPr>
        <w:pStyle w:val="FootnoteText"/>
        <w:tabs>
          <w:tab w:val="left" w:pos="90"/>
        </w:tabs>
        <w:spacing w:after="0"/>
        <w:rPr>
          <w:rFonts w:ascii="Verdana" w:hAnsi="Verdana"/>
        </w:rPr>
      </w:pPr>
    </w:p>
    <w:p w:rsidR="00AE3110" w:rsidRPr="00C4478A" w:rsidRDefault="00AE3110" w:rsidP="00557124">
      <w:pPr>
        <w:pStyle w:val="FootnoteText"/>
        <w:tabs>
          <w:tab w:val="left" w:pos="90"/>
        </w:tabs>
        <w:spacing w:after="0"/>
        <w:rPr>
          <w:rStyle w:val="BoxText"/>
          <w:rFonts w:ascii="Verdana" w:hAnsi="Verdana"/>
        </w:rPr>
      </w:pPr>
      <w:r w:rsidRPr="00C4478A">
        <w:rPr>
          <w:rFonts w:ascii="Verdana" w:hAnsi="Verdana"/>
          <w:b/>
        </w:rPr>
        <w:t xml:space="preserve">You do not have to answer all questions.  Enter All Comments in Simple Text Format.  </w:t>
      </w:r>
    </w:p>
    <w:p w:rsidR="00AE3110" w:rsidRDefault="00AE3110" w:rsidP="00AE3110">
      <w:pPr>
        <w:pStyle w:val="FootnoteText"/>
        <w:spacing w:before="240" w:after="120"/>
        <w:rPr>
          <w:rStyle w:val="BoxText"/>
          <w:rFonts w:ascii="Verdana" w:hAnsi="Verdana"/>
          <w:i/>
        </w:rPr>
      </w:pPr>
      <w:r w:rsidRPr="00C4478A">
        <w:rPr>
          <w:rStyle w:val="BoxText"/>
          <w:rFonts w:ascii="Verdana" w:hAnsi="Verdana"/>
          <w:i/>
        </w:rPr>
        <w:t>Insert a “check</w:t>
      </w:r>
      <w:r>
        <w:rPr>
          <w:rStyle w:val="BoxText"/>
          <w:rFonts w:ascii="Verdana" w:hAnsi="Verdana"/>
          <w:i/>
        </w:rPr>
        <w:t>”</w:t>
      </w:r>
      <w:r w:rsidRPr="00C4478A">
        <w:rPr>
          <w:rStyle w:val="BoxText"/>
          <w:rFonts w:ascii="Verdana" w:hAnsi="Verdana"/>
          <w:i/>
        </w:rPr>
        <w:t xml:space="preserve"> mark in the appropriate boxes by double-clicking the gray areas.</w:t>
      </w:r>
    </w:p>
    <w:p w:rsidR="00166C11" w:rsidRPr="00166C11" w:rsidRDefault="00B6256F" w:rsidP="00AE3110">
      <w:pPr>
        <w:pStyle w:val="FootnoteText"/>
        <w:spacing w:before="240" w:after="120"/>
        <w:rPr>
          <w:rStyle w:val="BoxText"/>
          <w:rFonts w:ascii="Verdana" w:hAnsi="Verdana"/>
        </w:rPr>
      </w:pPr>
      <w:r>
        <w:rPr>
          <w:rStyle w:val="BoxText"/>
          <w:rFonts w:ascii="Verdana" w:hAnsi="Verdana"/>
        </w:rPr>
        <w:t xml:space="preserve">The SDT </w:t>
      </w:r>
      <w:r w:rsidR="006B7AD1">
        <w:rPr>
          <w:rStyle w:val="BoxText"/>
          <w:rFonts w:ascii="Verdana" w:hAnsi="Verdana"/>
        </w:rPr>
        <w:t xml:space="preserve">has asked one specific question for each specific aspect </w:t>
      </w:r>
      <w:r w:rsidR="008725C4">
        <w:rPr>
          <w:rStyle w:val="BoxText"/>
          <w:rFonts w:ascii="Verdana" w:hAnsi="Verdana"/>
        </w:rPr>
        <w:t>of</w:t>
      </w:r>
      <w:r w:rsidR="006B7AD1">
        <w:rPr>
          <w:rStyle w:val="BoxText"/>
          <w:rFonts w:ascii="Verdana" w:hAnsi="Verdana"/>
        </w:rPr>
        <w:t xml:space="preserve"> the definition.</w:t>
      </w:r>
      <w:r>
        <w:rPr>
          <w:rStyle w:val="BoxText"/>
          <w:rFonts w:ascii="Verdana" w:hAnsi="Verdana"/>
        </w:rPr>
        <w:t xml:space="preserve"> </w:t>
      </w:r>
      <w:r w:rsidR="0007412B">
        <w:rPr>
          <w:rStyle w:val="BoxText"/>
          <w:rFonts w:ascii="Verdana" w:hAnsi="Verdana"/>
        </w:rPr>
        <w:t xml:space="preserve">  </w:t>
      </w:r>
      <w:r w:rsidR="00A320CA">
        <w:rPr>
          <w:rStyle w:val="BoxText"/>
          <w:rFonts w:ascii="Verdana" w:hAnsi="Verdana"/>
        </w:rPr>
        <w:t xml:space="preserve">  </w:t>
      </w:r>
    </w:p>
    <w:p w:rsidR="00AE3110" w:rsidRPr="00AE3110" w:rsidRDefault="00AE3110" w:rsidP="00AE3110">
      <w:pPr>
        <w:pStyle w:val="Bullet"/>
        <w:numPr>
          <w:ilvl w:val="0"/>
          <w:numId w:val="0"/>
        </w:numPr>
        <w:spacing w:before="0" w:after="120"/>
        <w:rPr>
          <w:rFonts w:ascii="Verdana" w:hAnsi="Verdana"/>
          <w:b/>
          <w:sz w:val="20"/>
        </w:rPr>
      </w:pPr>
    </w:p>
    <w:p w:rsidR="00B662D5" w:rsidRDefault="00B6256F" w:rsidP="00B662D5">
      <w:pPr>
        <w:pStyle w:val="Bullet"/>
        <w:numPr>
          <w:ilvl w:val="0"/>
          <w:numId w:val="15"/>
        </w:numPr>
        <w:spacing w:before="0" w:after="120"/>
        <w:rPr>
          <w:rFonts w:ascii="Verdana" w:hAnsi="Verdana"/>
          <w:sz w:val="20"/>
        </w:rPr>
      </w:pPr>
      <w:r w:rsidRPr="008A6330">
        <w:rPr>
          <w:rFonts w:ascii="Verdana" w:hAnsi="Verdana"/>
          <w:sz w:val="20"/>
        </w:rPr>
        <w:t>The SDT has</w:t>
      </w:r>
      <w:r w:rsidR="008A6330" w:rsidRPr="008A6330">
        <w:rPr>
          <w:rFonts w:ascii="Verdana" w:hAnsi="Verdana"/>
          <w:sz w:val="20"/>
        </w:rPr>
        <w:t xml:space="preserve"> made clarifying changes to the core definition in response to industry comments</w:t>
      </w:r>
      <w:r w:rsidRPr="008A6330">
        <w:rPr>
          <w:rFonts w:ascii="Verdana" w:hAnsi="Verdana"/>
          <w:sz w:val="20"/>
        </w:rPr>
        <w:t xml:space="preserve">.  </w:t>
      </w:r>
      <w:r w:rsidR="008A6330" w:rsidRPr="008A6330">
        <w:rPr>
          <w:rFonts w:ascii="Verdana" w:hAnsi="Verdana"/>
          <w:sz w:val="20"/>
        </w:rPr>
        <w:t xml:space="preserve">Do you agree with these changes?  </w:t>
      </w:r>
      <w:r w:rsidRPr="008A6330">
        <w:rPr>
          <w:rFonts w:ascii="Verdana" w:hAnsi="Verdana"/>
          <w:sz w:val="20"/>
        </w:rPr>
        <w:t xml:space="preserve">If you do </w:t>
      </w:r>
      <w:r w:rsidR="008A6330" w:rsidRPr="008A6330">
        <w:rPr>
          <w:rFonts w:ascii="Verdana" w:hAnsi="Verdana"/>
          <w:sz w:val="20"/>
        </w:rPr>
        <w:t xml:space="preserve">not </w:t>
      </w:r>
      <w:r w:rsidRPr="008A6330">
        <w:rPr>
          <w:rFonts w:ascii="Verdana" w:hAnsi="Verdana"/>
          <w:sz w:val="20"/>
        </w:rPr>
        <w:t>support these changes</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sidR="008A6330">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t xml:space="preserve">  </w:t>
      </w:r>
      <w:r w:rsidR="009607B0" w:rsidRPr="0025256F">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8A6330" w:rsidRDefault="006B7AD1" w:rsidP="006B7AD1">
      <w:pPr>
        <w:pStyle w:val="Bullet"/>
        <w:numPr>
          <w:ilvl w:val="0"/>
          <w:numId w:val="0"/>
        </w:numPr>
        <w:spacing w:before="0" w:after="120"/>
        <w:ind w:left="360"/>
        <w:rPr>
          <w:rStyle w:val="BoxText"/>
          <w:rFonts w:ascii="Verdana" w:hAnsi="Verdana"/>
        </w:rPr>
      </w:pPr>
      <w:r w:rsidRPr="00182CEE">
        <w:rPr>
          <w:rStyle w:val="BoxText"/>
          <w:rFonts w:ascii="Verdana" w:hAnsi="Verdana"/>
        </w:rPr>
        <w:t xml:space="preserve">Comments: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pStyle w:val="Bullet"/>
        <w:numPr>
          <w:ilvl w:val="0"/>
          <w:numId w:val="0"/>
        </w:numPr>
        <w:spacing w:before="0" w:after="120"/>
        <w:ind w:left="360"/>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46374C">
        <w:rPr>
          <w:rFonts w:ascii="Verdana" w:hAnsi="Verdana"/>
          <w:sz w:val="20"/>
        </w:rPr>
        <w:t xml:space="preserve">added specific inclusions to the </w:t>
      </w:r>
      <w:r w:rsidRPr="008A6330">
        <w:rPr>
          <w:rFonts w:ascii="Verdana" w:hAnsi="Verdana"/>
          <w:sz w:val="20"/>
        </w:rPr>
        <w:t>core definition in response to industry comments.  Do you agree with</w:t>
      </w:r>
      <w:r w:rsidR="0046374C">
        <w:rPr>
          <w:rFonts w:ascii="Verdana" w:hAnsi="Verdana"/>
          <w:sz w:val="20"/>
        </w:rPr>
        <w:t xml:space="preserve"> Inclusion I1</w:t>
      </w:r>
      <w:r w:rsidRPr="008A6330">
        <w:rPr>
          <w:rFonts w:ascii="Verdana" w:hAnsi="Verdana"/>
          <w:sz w:val="20"/>
        </w:rPr>
        <w:t>?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rsidR="006B7AD1">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The SDT has</w:t>
      </w:r>
      <w:r>
        <w:rPr>
          <w:rFonts w:ascii="Verdana" w:hAnsi="Verdana"/>
          <w:sz w:val="20"/>
        </w:rPr>
        <w:t xml:space="preserve"> </w:t>
      </w:r>
      <w:r w:rsidR="0046374C">
        <w:rPr>
          <w:rFonts w:ascii="Verdana" w:hAnsi="Verdana"/>
          <w:sz w:val="20"/>
        </w:rPr>
        <w:t>added specific inclusions</w:t>
      </w:r>
      <w:r w:rsidR="0046374C" w:rsidRPr="008A6330">
        <w:rPr>
          <w:rFonts w:ascii="Verdana" w:hAnsi="Verdana"/>
          <w:sz w:val="20"/>
        </w:rPr>
        <w:t xml:space="preserve"> </w:t>
      </w:r>
      <w:r w:rsidRPr="008A6330">
        <w:rPr>
          <w:rFonts w:ascii="Verdana" w:hAnsi="Verdana"/>
          <w:sz w:val="20"/>
        </w:rPr>
        <w:t xml:space="preserve">to the core definition in response to industry comments.  </w:t>
      </w:r>
      <w:r w:rsidR="0046374C" w:rsidRPr="008A6330">
        <w:rPr>
          <w:rFonts w:ascii="Verdana" w:hAnsi="Verdana"/>
          <w:sz w:val="20"/>
        </w:rPr>
        <w:t>Do you agree with</w:t>
      </w:r>
      <w:r w:rsidR="0046374C">
        <w:rPr>
          <w:rFonts w:ascii="Verdana" w:hAnsi="Verdana"/>
          <w:sz w:val="20"/>
        </w:rPr>
        <w:t xml:space="preserve"> Inclusion I2?  </w:t>
      </w:r>
      <w:r w:rsidRPr="008A6330">
        <w:rPr>
          <w:rFonts w:ascii="Verdana" w:hAnsi="Verdana"/>
          <w:sz w:val="20"/>
        </w:rPr>
        <w:t>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p>
    <w:p w:rsidR="006B7AD1" w:rsidRDefault="006B7AD1" w:rsidP="006B7AD1">
      <w:pPr>
        <w:ind w:left="360"/>
        <w:rPr>
          <w:rStyle w:val="BoxText"/>
          <w:rFonts w:ascii="Verdana" w:hAnsi="Verdana"/>
        </w:rPr>
      </w:pPr>
      <w:r>
        <w:rPr>
          <w:rStyle w:val="BoxText"/>
          <w:rFonts w:ascii="Verdana" w:hAnsi="Verdana"/>
        </w:rPr>
        <w:t xml:space="preserve">Yes: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46374C">
        <w:rPr>
          <w:rFonts w:ascii="Verdana" w:hAnsi="Verdana"/>
          <w:sz w:val="20"/>
        </w:rPr>
        <w:t>added specific inclusions</w:t>
      </w:r>
      <w:r w:rsidRPr="008A6330">
        <w:rPr>
          <w:rFonts w:ascii="Verdana" w:hAnsi="Verdana"/>
          <w:sz w:val="20"/>
        </w:rPr>
        <w:t xml:space="preserve"> to the core definition in response to industry comments.  </w:t>
      </w:r>
      <w:r w:rsidR="0046374C" w:rsidRPr="008A6330">
        <w:rPr>
          <w:rFonts w:ascii="Verdana" w:hAnsi="Verdana"/>
          <w:sz w:val="20"/>
        </w:rPr>
        <w:t>Do you agree with</w:t>
      </w:r>
      <w:r w:rsidR="0046374C">
        <w:rPr>
          <w:rFonts w:ascii="Verdana" w:hAnsi="Verdana"/>
          <w:sz w:val="20"/>
        </w:rPr>
        <w:t xml:space="preserve"> Inclusion I3?</w:t>
      </w:r>
      <w:r w:rsidRPr="008A6330">
        <w:rPr>
          <w:rFonts w:ascii="Verdana" w:hAnsi="Verdana"/>
          <w:sz w:val="20"/>
        </w:rPr>
        <w:t xml:space="preserve">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p>
    <w:p w:rsidR="006B7AD1" w:rsidRDefault="006B7AD1" w:rsidP="006B7AD1">
      <w:pPr>
        <w:ind w:left="360"/>
        <w:rPr>
          <w:rStyle w:val="BoxText"/>
          <w:rFonts w:ascii="Verdana" w:hAnsi="Verdana"/>
        </w:rPr>
      </w:pPr>
      <w:r>
        <w:rPr>
          <w:rStyle w:val="BoxText"/>
          <w:rFonts w:ascii="Verdana" w:hAnsi="Verdana"/>
        </w:rPr>
        <w:t xml:space="preserve">Yes: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lastRenderedPageBreak/>
        <w:t xml:space="preserve">Comments: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46374C">
        <w:rPr>
          <w:rFonts w:ascii="Verdana" w:hAnsi="Verdana"/>
          <w:sz w:val="20"/>
        </w:rPr>
        <w:t>added specific inclusions</w:t>
      </w:r>
      <w:r w:rsidRPr="008A6330">
        <w:rPr>
          <w:rFonts w:ascii="Verdana" w:hAnsi="Verdana"/>
          <w:sz w:val="20"/>
        </w:rPr>
        <w:t xml:space="preserve"> to the core definition in response to industry comments.  </w:t>
      </w:r>
      <w:r w:rsidR="0046374C" w:rsidRPr="008A6330">
        <w:rPr>
          <w:rFonts w:ascii="Verdana" w:hAnsi="Verdana"/>
          <w:sz w:val="20"/>
        </w:rPr>
        <w:t>Do you agree with</w:t>
      </w:r>
      <w:r w:rsidR="0046374C">
        <w:rPr>
          <w:rFonts w:ascii="Verdana" w:hAnsi="Verdana"/>
          <w:sz w:val="20"/>
        </w:rPr>
        <w:t xml:space="preserve"> Inclusion I4</w:t>
      </w:r>
      <w:r w:rsidRPr="008A6330">
        <w:rPr>
          <w:rFonts w:ascii="Verdana" w:hAnsi="Verdana"/>
          <w:sz w:val="20"/>
        </w:rPr>
        <w:t>?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rsidR="006B7AD1">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46374C">
        <w:rPr>
          <w:rFonts w:ascii="Verdana" w:hAnsi="Verdana"/>
          <w:sz w:val="20"/>
        </w:rPr>
        <w:t>added specific inclusions</w:t>
      </w:r>
      <w:r w:rsidRPr="008A6330">
        <w:rPr>
          <w:rFonts w:ascii="Verdana" w:hAnsi="Verdana"/>
          <w:sz w:val="20"/>
        </w:rPr>
        <w:t xml:space="preserve"> to the core definition in response to industry comments.  </w:t>
      </w:r>
      <w:r w:rsidR="0046374C" w:rsidRPr="008A6330">
        <w:rPr>
          <w:rFonts w:ascii="Verdana" w:hAnsi="Verdana"/>
          <w:sz w:val="20"/>
        </w:rPr>
        <w:t>Do you agree with</w:t>
      </w:r>
      <w:r w:rsidR="0046374C">
        <w:rPr>
          <w:rFonts w:ascii="Verdana" w:hAnsi="Verdana"/>
          <w:sz w:val="20"/>
        </w:rPr>
        <w:t xml:space="preserve"> Inclusion I5</w:t>
      </w:r>
      <w:r w:rsidRPr="008A6330">
        <w:rPr>
          <w:rFonts w:ascii="Verdana" w:hAnsi="Verdana"/>
          <w:sz w:val="20"/>
        </w:rPr>
        <w:t>?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rsidR="006B7AD1">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46374C">
        <w:rPr>
          <w:rFonts w:ascii="Verdana" w:hAnsi="Verdana"/>
          <w:sz w:val="20"/>
        </w:rPr>
        <w:t>added specific exclusions</w:t>
      </w:r>
      <w:r w:rsidRPr="008A6330">
        <w:rPr>
          <w:rFonts w:ascii="Verdana" w:hAnsi="Verdana"/>
          <w:sz w:val="20"/>
        </w:rPr>
        <w:t xml:space="preserve"> to the core definition in response to industry comments.  </w:t>
      </w:r>
      <w:r w:rsidR="0046374C" w:rsidRPr="008A6330">
        <w:rPr>
          <w:rFonts w:ascii="Verdana" w:hAnsi="Verdana"/>
          <w:sz w:val="20"/>
        </w:rPr>
        <w:t>Do you agree with</w:t>
      </w:r>
      <w:r w:rsidR="0046374C">
        <w:rPr>
          <w:rFonts w:ascii="Verdana" w:hAnsi="Verdana"/>
          <w:sz w:val="20"/>
        </w:rPr>
        <w:t xml:space="preserve"> </w:t>
      </w:r>
      <w:r w:rsidR="006B7AD1">
        <w:rPr>
          <w:rFonts w:ascii="Verdana" w:hAnsi="Verdana"/>
          <w:sz w:val="20"/>
        </w:rPr>
        <w:t>Ex</w:t>
      </w:r>
      <w:r w:rsidR="0046374C">
        <w:rPr>
          <w:rFonts w:ascii="Verdana" w:hAnsi="Verdana"/>
          <w:sz w:val="20"/>
        </w:rPr>
        <w:t xml:space="preserve">clusion </w:t>
      </w:r>
      <w:r w:rsidR="006B7AD1">
        <w:rPr>
          <w:rFonts w:ascii="Verdana" w:hAnsi="Verdana"/>
          <w:sz w:val="20"/>
        </w:rPr>
        <w:t>E</w:t>
      </w:r>
      <w:r w:rsidR="0046374C">
        <w:rPr>
          <w:rFonts w:ascii="Verdana" w:hAnsi="Verdana"/>
          <w:sz w:val="20"/>
        </w:rPr>
        <w:t>1</w:t>
      </w:r>
      <w:r w:rsidRPr="008A6330">
        <w:rPr>
          <w:rFonts w:ascii="Verdana" w:hAnsi="Verdana"/>
          <w:sz w:val="20"/>
        </w:rPr>
        <w:t>?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rsidR="006B7AD1">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46374C">
        <w:rPr>
          <w:rFonts w:ascii="Verdana" w:hAnsi="Verdana"/>
          <w:sz w:val="20"/>
        </w:rPr>
        <w:t>added specific exclusions</w:t>
      </w:r>
      <w:r w:rsidRPr="008A6330">
        <w:rPr>
          <w:rFonts w:ascii="Verdana" w:hAnsi="Verdana"/>
          <w:sz w:val="20"/>
        </w:rPr>
        <w:t xml:space="preserve"> to the core definition in response to industry comments.  </w:t>
      </w:r>
      <w:r w:rsidR="0046374C" w:rsidRPr="008A6330">
        <w:rPr>
          <w:rFonts w:ascii="Verdana" w:hAnsi="Verdana"/>
          <w:sz w:val="20"/>
        </w:rPr>
        <w:t>Do you agree with</w:t>
      </w:r>
      <w:r w:rsidR="0046374C">
        <w:rPr>
          <w:rFonts w:ascii="Verdana" w:hAnsi="Verdana"/>
          <w:sz w:val="20"/>
        </w:rPr>
        <w:t xml:space="preserve"> </w:t>
      </w:r>
      <w:r w:rsidR="006B7AD1">
        <w:rPr>
          <w:rFonts w:ascii="Verdana" w:hAnsi="Verdana"/>
          <w:sz w:val="20"/>
        </w:rPr>
        <w:t>Ex</w:t>
      </w:r>
      <w:r w:rsidR="0046374C">
        <w:rPr>
          <w:rFonts w:ascii="Verdana" w:hAnsi="Verdana"/>
          <w:sz w:val="20"/>
        </w:rPr>
        <w:t xml:space="preserve">clusion </w:t>
      </w:r>
      <w:r w:rsidR="006B7AD1">
        <w:rPr>
          <w:rFonts w:ascii="Verdana" w:hAnsi="Verdana"/>
          <w:sz w:val="20"/>
        </w:rPr>
        <w:t>E2</w:t>
      </w:r>
      <w:r w:rsidRPr="008A6330">
        <w:rPr>
          <w:rFonts w:ascii="Verdana" w:hAnsi="Verdana"/>
          <w:sz w:val="20"/>
        </w:rPr>
        <w:t>?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rsidR="006B7AD1">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46374C">
        <w:rPr>
          <w:rFonts w:ascii="Verdana" w:hAnsi="Verdana"/>
          <w:sz w:val="20"/>
        </w:rPr>
        <w:t>added specific exclusions</w:t>
      </w:r>
      <w:r w:rsidRPr="008A6330">
        <w:rPr>
          <w:rFonts w:ascii="Verdana" w:hAnsi="Verdana"/>
          <w:sz w:val="20"/>
        </w:rPr>
        <w:t xml:space="preserve"> to the core definition in response to industry comments.  </w:t>
      </w:r>
      <w:r w:rsidR="0046374C" w:rsidRPr="008A6330">
        <w:rPr>
          <w:rFonts w:ascii="Verdana" w:hAnsi="Verdana"/>
          <w:sz w:val="20"/>
        </w:rPr>
        <w:t>Do you agree with</w:t>
      </w:r>
      <w:r w:rsidR="0046374C">
        <w:rPr>
          <w:rFonts w:ascii="Verdana" w:hAnsi="Verdana"/>
          <w:sz w:val="20"/>
        </w:rPr>
        <w:t xml:space="preserve"> </w:t>
      </w:r>
      <w:r w:rsidR="006B7AD1">
        <w:rPr>
          <w:rFonts w:ascii="Verdana" w:hAnsi="Verdana"/>
          <w:sz w:val="20"/>
        </w:rPr>
        <w:t>Ex</w:t>
      </w:r>
      <w:r w:rsidR="0046374C">
        <w:rPr>
          <w:rFonts w:ascii="Verdana" w:hAnsi="Verdana"/>
          <w:sz w:val="20"/>
        </w:rPr>
        <w:t xml:space="preserve">clusion </w:t>
      </w:r>
      <w:r w:rsidR="006B7AD1">
        <w:rPr>
          <w:rFonts w:ascii="Verdana" w:hAnsi="Verdana"/>
          <w:sz w:val="20"/>
        </w:rPr>
        <w:t>E3</w:t>
      </w:r>
      <w:r w:rsidRPr="008A6330">
        <w:rPr>
          <w:rFonts w:ascii="Verdana" w:hAnsi="Verdana"/>
          <w:sz w:val="20"/>
        </w:rPr>
        <w:t>?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rsidR="00394507">
        <w:rPr>
          <w:rFonts w:ascii="Verdana" w:hAnsi="Verdana"/>
          <w:sz w:val="20"/>
        </w:rPr>
        <w:t xml:space="preserve"> </w:t>
      </w:r>
    </w:p>
    <w:p w:rsidR="00394507" w:rsidRDefault="00394507" w:rsidP="00394507">
      <w:pPr>
        <w:ind w:left="360"/>
        <w:rPr>
          <w:rStyle w:val="BoxText"/>
          <w:rFonts w:ascii="Verdana" w:hAnsi="Verdana"/>
        </w:rPr>
      </w:pPr>
      <w:r>
        <w:rPr>
          <w:rStyle w:val="BoxText"/>
          <w:rFonts w:ascii="Verdana" w:hAnsi="Verdana"/>
        </w:rPr>
        <w:t xml:space="preserve">Yes: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394507" w:rsidRDefault="00394507" w:rsidP="00394507">
      <w:pPr>
        <w:ind w:left="360"/>
        <w:rPr>
          <w:rStyle w:val="BoxText"/>
          <w:rFonts w:ascii="Verdana" w:hAnsi="Verdana"/>
        </w:rPr>
      </w:pPr>
    </w:p>
    <w:p w:rsidR="00394507" w:rsidRDefault="00394507" w:rsidP="00394507">
      <w:pPr>
        <w:ind w:left="360"/>
        <w:rPr>
          <w:rStyle w:val="BoxText"/>
          <w:rFonts w:ascii="Verdana" w:hAnsi="Verdana"/>
        </w:rPr>
      </w:pPr>
      <w:r>
        <w:rPr>
          <w:rStyle w:val="BoxText"/>
          <w:rFonts w:ascii="Verdana" w:hAnsi="Verdana"/>
        </w:rPr>
        <w:t xml:space="preserve">No: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394507" w:rsidRDefault="00394507" w:rsidP="00394507">
      <w:pPr>
        <w:ind w:left="360"/>
        <w:rPr>
          <w:rStyle w:val="BoxText"/>
          <w:rFonts w:ascii="Verdana" w:hAnsi="Verdana"/>
        </w:rPr>
      </w:pPr>
    </w:p>
    <w:p w:rsidR="00394507" w:rsidRDefault="00394507" w:rsidP="00394507">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8725C4" w:rsidRPr="008725C4" w:rsidRDefault="00394507" w:rsidP="00B662D5">
      <w:pPr>
        <w:pStyle w:val="Bullet"/>
        <w:numPr>
          <w:ilvl w:val="0"/>
          <w:numId w:val="15"/>
        </w:numPr>
        <w:spacing w:before="0" w:after="120"/>
        <w:rPr>
          <w:rFonts w:ascii="Verdana" w:hAnsi="Verdana"/>
          <w:sz w:val="20"/>
        </w:rPr>
      </w:pPr>
      <w:r>
        <w:rPr>
          <w:rFonts w:ascii="Verdana" w:hAnsi="Verdana"/>
          <w:sz w:val="20"/>
        </w:rPr>
        <w:t xml:space="preserve"> </w:t>
      </w:r>
      <w:r w:rsidR="008725C4" w:rsidRPr="008725C4">
        <w:rPr>
          <w:rFonts w:ascii="Verdana" w:hAnsi="Verdana"/>
          <w:sz w:val="20"/>
        </w:rPr>
        <w:t>The SDT is discussing an exclusion from the Bulk Electric System (BES) for small utilities based on statement</w:t>
      </w:r>
      <w:r w:rsidR="00B71691">
        <w:rPr>
          <w:rFonts w:ascii="Verdana" w:hAnsi="Verdana"/>
          <w:sz w:val="20"/>
        </w:rPr>
        <w:t>s</w:t>
      </w:r>
      <w:r w:rsidR="008725C4" w:rsidRPr="008725C4">
        <w:rPr>
          <w:rFonts w:ascii="Verdana" w:hAnsi="Verdana"/>
          <w:sz w:val="20"/>
        </w:rPr>
        <w:t xml:space="preserve"> in Order </w:t>
      </w:r>
      <w:r w:rsidR="0067226E">
        <w:rPr>
          <w:rFonts w:ascii="Verdana" w:hAnsi="Verdana"/>
          <w:sz w:val="20"/>
        </w:rPr>
        <w:t>No.</w:t>
      </w:r>
      <w:r w:rsidR="00CA6D4C">
        <w:rPr>
          <w:rFonts w:ascii="Verdana" w:hAnsi="Verdana"/>
          <w:sz w:val="20"/>
        </w:rPr>
        <w:t xml:space="preserve"> </w:t>
      </w:r>
      <w:r w:rsidR="008725C4" w:rsidRPr="008725C4">
        <w:rPr>
          <w:rFonts w:ascii="Verdana" w:hAnsi="Verdana"/>
          <w:sz w:val="20"/>
        </w:rPr>
        <w:t xml:space="preserve">743 that FERC does not believe its suggested approach to the BES definition and </w:t>
      </w:r>
      <w:r w:rsidR="008725C4" w:rsidRPr="00D04520">
        <w:rPr>
          <w:rFonts w:ascii="Verdana" w:hAnsi="Verdana"/>
          <w:sz w:val="20"/>
        </w:rPr>
        <w:t>exemption process will have a significant economic impact on a substantial number of small entities</w:t>
      </w:r>
      <w:r w:rsidR="00D04520" w:rsidRPr="00D04520">
        <w:rPr>
          <w:rFonts w:ascii="Verdana" w:hAnsi="Verdana"/>
          <w:sz w:val="20"/>
        </w:rPr>
        <w:t xml:space="preserve"> and that small entities will not adversely impact the reliability of the Bulk Electric System</w:t>
      </w:r>
      <w:r w:rsidR="008725C4" w:rsidRPr="008725C4">
        <w:rPr>
          <w:rFonts w:ascii="Verdana" w:hAnsi="Verdana"/>
          <w:sz w:val="20"/>
        </w:rPr>
        <w:t xml:space="preserve">.   The SDT has been made aware that organizations that </w:t>
      </w:r>
      <w:r w:rsidR="008725C4" w:rsidRPr="00754EB7">
        <w:rPr>
          <w:rFonts w:ascii="Verdana" w:hAnsi="Verdana"/>
          <w:sz w:val="20"/>
        </w:rPr>
        <w:t>are</w:t>
      </w:r>
      <w:r w:rsidR="00754EB7" w:rsidRPr="00754EB7">
        <w:rPr>
          <w:rFonts w:ascii="Verdana" w:hAnsi="Verdana"/>
          <w:sz w:val="20"/>
        </w:rPr>
        <w:t xml:space="preserve"> </w:t>
      </w:r>
      <w:r w:rsidR="008725C4" w:rsidRPr="00754EB7">
        <w:rPr>
          <w:rFonts w:ascii="Verdana" w:hAnsi="Verdana"/>
          <w:sz w:val="20"/>
        </w:rPr>
        <w:t>n</w:t>
      </w:r>
      <w:r w:rsidR="00754EB7" w:rsidRPr="00754EB7">
        <w:rPr>
          <w:rFonts w:ascii="Verdana" w:hAnsi="Verdana"/>
          <w:sz w:val="20"/>
        </w:rPr>
        <w:t>o</w:t>
      </w:r>
      <w:r w:rsidR="008725C4" w:rsidRPr="00754EB7">
        <w:rPr>
          <w:rFonts w:ascii="Verdana" w:hAnsi="Verdana"/>
          <w:sz w:val="20"/>
        </w:rPr>
        <w:t xml:space="preserve">t presently </w:t>
      </w:r>
      <w:r w:rsidR="00754EB7" w:rsidRPr="00754EB7">
        <w:rPr>
          <w:rFonts w:ascii="Verdana" w:hAnsi="Verdana"/>
          <w:sz w:val="20"/>
        </w:rPr>
        <w:t xml:space="preserve">required to be registered by the NERC Statement of Compliance Registry Criteria would meet the requirements to be </w:t>
      </w:r>
      <w:r w:rsidR="008725C4" w:rsidRPr="00754EB7">
        <w:rPr>
          <w:rFonts w:ascii="Verdana" w:hAnsi="Verdana"/>
          <w:sz w:val="20"/>
        </w:rPr>
        <w:t>registered as Transmission Owner</w:t>
      </w:r>
      <w:r w:rsidR="0067226E" w:rsidRPr="00754EB7">
        <w:rPr>
          <w:rFonts w:ascii="Verdana" w:hAnsi="Verdana"/>
          <w:sz w:val="20"/>
        </w:rPr>
        <w:t>s</w:t>
      </w:r>
      <w:r w:rsidR="008725C4" w:rsidRPr="00754EB7">
        <w:rPr>
          <w:rFonts w:ascii="Verdana" w:hAnsi="Verdana"/>
          <w:sz w:val="20"/>
        </w:rPr>
        <w:t xml:space="preserve"> given the current proposed </w:t>
      </w:r>
      <w:r w:rsidR="001C14F0">
        <w:rPr>
          <w:rFonts w:ascii="Verdana" w:hAnsi="Verdana"/>
          <w:sz w:val="20"/>
        </w:rPr>
        <w:t xml:space="preserve">BES </w:t>
      </w:r>
      <w:r w:rsidR="008725C4" w:rsidRPr="00754EB7">
        <w:rPr>
          <w:rFonts w:ascii="Verdana" w:hAnsi="Verdana"/>
          <w:sz w:val="20"/>
        </w:rPr>
        <w:t>definition</w:t>
      </w:r>
      <w:r w:rsidR="008725C4" w:rsidRPr="008725C4">
        <w:rPr>
          <w:rFonts w:ascii="Verdana" w:hAnsi="Verdana"/>
          <w:sz w:val="20"/>
        </w:rPr>
        <w:t xml:space="preserve">.  </w:t>
      </w:r>
      <w:r w:rsidR="00754EB7">
        <w:rPr>
          <w:rFonts w:ascii="Verdana" w:hAnsi="Verdana"/>
          <w:sz w:val="20"/>
        </w:rPr>
        <w:t>T</w:t>
      </w:r>
      <w:r w:rsidR="008725C4" w:rsidRPr="008725C4">
        <w:rPr>
          <w:rFonts w:ascii="Verdana" w:hAnsi="Verdana"/>
          <w:sz w:val="20"/>
        </w:rPr>
        <w:t xml:space="preserve">hese small utilities could </w:t>
      </w:r>
      <w:r w:rsidR="001C14F0">
        <w:rPr>
          <w:rFonts w:ascii="Verdana" w:hAnsi="Verdana"/>
          <w:sz w:val="20"/>
        </w:rPr>
        <w:t>use</w:t>
      </w:r>
      <w:r w:rsidR="008725C4" w:rsidRPr="008725C4">
        <w:rPr>
          <w:rFonts w:ascii="Verdana" w:hAnsi="Verdana"/>
          <w:sz w:val="20"/>
        </w:rPr>
        <w:t xml:space="preserve"> the Rules of Procedure (ROP) exception </w:t>
      </w:r>
      <w:r w:rsidR="00754EB7">
        <w:rPr>
          <w:rFonts w:ascii="Verdana" w:hAnsi="Verdana"/>
          <w:sz w:val="20"/>
        </w:rPr>
        <w:t>process but</w:t>
      </w:r>
      <w:r w:rsidR="008725C4" w:rsidRPr="008725C4">
        <w:rPr>
          <w:rFonts w:ascii="Verdana" w:hAnsi="Verdana"/>
          <w:sz w:val="20"/>
        </w:rPr>
        <w:t xml:space="preserve"> this may be an issue that could be handled more appropriately through the </w:t>
      </w:r>
      <w:r w:rsidR="001C14F0">
        <w:rPr>
          <w:rFonts w:ascii="Verdana" w:hAnsi="Verdana"/>
          <w:sz w:val="20"/>
        </w:rPr>
        <w:t xml:space="preserve">BES </w:t>
      </w:r>
      <w:r w:rsidR="008725C4" w:rsidRPr="008725C4">
        <w:rPr>
          <w:rFonts w:ascii="Verdana" w:hAnsi="Verdana"/>
          <w:sz w:val="20"/>
        </w:rPr>
        <w:t>definition</w:t>
      </w:r>
      <w:r w:rsidR="0067226E">
        <w:rPr>
          <w:rFonts w:ascii="Verdana" w:hAnsi="Verdana"/>
          <w:sz w:val="20"/>
        </w:rPr>
        <w:t>.  This</w:t>
      </w:r>
      <w:r w:rsidR="008725C4" w:rsidRPr="008725C4">
        <w:rPr>
          <w:rFonts w:ascii="Verdana" w:hAnsi="Verdana"/>
          <w:sz w:val="20"/>
        </w:rPr>
        <w:t xml:space="preserve"> would alleviate </w:t>
      </w:r>
      <w:r w:rsidR="00754EB7">
        <w:rPr>
          <w:rFonts w:ascii="Verdana" w:hAnsi="Verdana"/>
          <w:sz w:val="20"/>
        </w:rPr>
        <w:t xml:space="preserve">the </w:t>
      </w:r>
      <w:r w:rsidR="008725C4" w:rsidRPr="008725C4">
        <w:rPr>
          <w:rFonts w:ascii="Verdana" w:hAnsi="Verdana"/>
          <w:sz w:val="20"/>
        </w:rPr>
        <w:t xml:space="preserve">paperwork </w:t>
      </w:r>
      <w:r w:rsidR="00754EB7">
        <w:rPr>
          <w:rFonts w:ascii="Verdana" w:hAnsi="Verdana"/>
          <w:sz w:val="20"/>
        </w:rPr>
        <w:t xml:space="preserve">burden </w:t>
      </w:r>
      <w:r w:rsidR="008725C4" w:rsidRPr="008725C4">
        <w:rPr>
          <w:rFonts w:ascii="Verdana" w:hAnsi="Verdana"/>
          <w:sz w:val="20"/>
        </w:rPr>
        <w:t xml:space="preserve">for these small utilities and also avoid a possibly unnecessary and significant impact on the </w:t>
      </w:r>
      <w:r w:rsidR="00754EB7">
        <w:rPr>
          <w:rFonts w:ascii="Verdana" w:hAnsi="Verdana"/>
          <w:sz w:val="20"/>
        </w:rPr>
        <w:t xml:space="preserve">administration of the </w:t>
      </w:r>
      <w:r w:rsidR="008725C4" w:rsidRPr="008725C4">
        <w:rPr>
          <w:rFonts w:ascii="Verdana" w:hAnsi="Verdana"/>
          <w:sz w:val="20"/>
        </w:rPr>
        <w:t>ROP exception process during the transition period to the revised BES definition.  The proposed exclusion language is:</w:t>
      </w:r>
    </w:p>
    <w:p w:rsidR="00557124" w:rsidRDefault="0044166E">
      <w:pPr>
        <w:pStyle w:val="Bullet"/>
        <w:numPr>
          <w:ilvl w:val="0"/>
          <w:numId w:val="0"/>
        </w:numPr>
        <w:spacing w:before="0" w:after="120"/>
        <w:ind w:left="720"/>
        <w:rPr>
          <w:rFonts w:ascii="Verdana" w:hAnsi="Verdana"/>
          <w:sz w:val="20"/>
        </w:rPr>
      </w:pPr>
      <w:r>
        <w:rPr>
          <w:rFonts w:ascii="Verdana" w:hAnsi="Verdana"/>
          <w:sz w:val="20"/>
        </w:rPr>
        <w:t xml:space="preserve">Exclusion E4: </w:t>
      </w:r>
      <w:r w:rsidR="008725C4" w:rsidRPr="008725C4">
        <w:rPr>
          <w:rFonts w:ascii="Verdana" w:hAnsi="Verdana"/>
          <w:sz w:val="20"/>
        </w:rPr>
        <w:t xml:space="preserve">Transmission Elements, from a single Transmission source connected at a voltage of 100 kV or greater, owned by a small utility whose connection to the BES is solely through this single Transmission source, and without </w:t>
      </w:r>
      <w:r>
        <w:rPr>
          <w:rFonts w:ascii="Verdana" w:hAnsi="Verdana"/>
          <w:sz w:val="20"/>
        </w:rPr>
        <w:t>i</w:t>
      </w:r>
      <w:r w:rsidRPr="008725C4">
        <w:rPr>
          <w:rFonts w:ascii="Verdana" w:hAnsi="Verdana"/>
          <w:sz w:val="20"/>
        </w:rPr>
        <w:t xml:space="preserve">nterconnected </w:t>
      </w:r>
      <w:r w:rsidR="008725C4" w:rsidRPr="008725C4">
        <w:rPr>
          <w:rFonts w:ascii="Verdana" w:hAnsi="Verdana"/>
          <w:sz w:val="20"/>
        </w:rPr>
        <w:t>generation as recognized in the BES Designation Inclusion Items I2, I3, I4, or I5.  A small utility is recognized as an entity that performs a Distribution Provider or Load Serving Entity function but is not required to register as a Distribution Provider or Load Serving Entity by the ERO.</w:t>
      </w:r>
    </w:p>
    <w:p w:rsidR="00394507" w:rsidRDefault="008725C4" w:rsidP="008725C4">
      <w:pPr>
        <w:pStyle w:val="Bullet"/>
        <w:numPr>
          <w:ilvl w:val="0"/>
          <w:numId w:val="0"/>
        </w:numPr>
        <w:spacing w:before="0" w:after="120"/>
        <w:ind w:left="360"/>
        <w:rPr>
          <w:rFonts w:ascii="Verdana" w:hAnsi="Verdana"/>
          <w:sz w:val="20"/>
        </w:rPr>
      </w:pPr>
      <w:r w:rsidRPr="008725C4">
        <w:rPr>
          <w:rFonts w:ascii="Verdana" w:hAnsi="Verdana"/>
          <w:sz w:val="20"/>
        </w:rPr>
        <w:t>Do you agree with this approach and the proposed language?  If not, please be specific in your response with a technical reason for your disagreement and, if appropriate, suggested language for such an exclusion</w:t>
      </w:r>
      <w:r w:rsidR="00CA6D4C">
        <w:rPr>
          <w:rFonts w:ascii="Verdana" w:hAnsi="Verdana"/>
          <w:sz w:val="20"/>
        </w:rPr>
        <w:t xml:space="preserve"> if you agree in general but feel that alternative language would be more appropriate</w:t>
      </w:r>
      <w:r w:rsidRPr="008725C4">
        <w:rPr>
          <w:rFonts w:ascii="Verdana" w:hAnsi="Verdana"/>
          <w:sz w:val="20"/>
        </w:rPr>
        <w:t>.</w:t>
      </w:r>
      <w:r w:rsidR="00394507">
        <w:rPr>
          <w:rFonts w:ascii="Verdana" w:hAnsi="Verdana"/>
          <w:sz w:val="20"/>
        </w:rPr>
        <w:t xml:space="preserve"> </w:t>
      </w:r>
    </w:p>
    <w:p w:rsidR="00394507" w:rsidRDefault="00394507" w:rsidP="00394507">
      <w:pPr>
        <w:ind w:left="360"/>
        <w:rPr>
          <w:rStyle w:val="BoxText"/>
          <w:rFonts w:ascii="Verdana" w:hAnsi="Verdana"/>
        </w:rPr>
      </w:pPr>
      <w:r>
        <w:rPr>
          <w:rStyle w:val="BoxText"/>
          <w:rFonts w:ascii="Verdana" w:hAnsi="Verdana"/>
        </w:rPr>
        <w:t xml:space="preserve">Yes: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394507" w:rsidRDefault="00394507" w:rsidP="00394507">
      <w:pPr>
        <w:ind w:left="360"/>
        <w:rPr>
          <w:rStyle w:val="BoxText"/>
          <w:rFonts w:ascii="Verdana" w:hAnsi="Verdana"/>
        </w:rPr>
      </w:pPr>
    </w:p>
    <w:p w:rsidR="00394507" w:rsidRDefault="00394507" w:rsidP="00394507">
      <w:pPr>
        <w:ind w:left="360"/>
        <w:rPr>
          <w:rStyle w:val="BoxText"/>
          <w:rFonts w:ascii="Verdana" w:hAnsi="Verdana"/>
        </w:rPr>
      </w:pPr>
      <w:r>
        <w:rPr>
          <w:rStyle w:val="BoxText"/>
          <w:rFonts w:ascii="Verdana" w:hAnsi="Verdana"/>
        </w:rPr>
        <w:t xml:space="preserve">No: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394507" w:rsidRDefault="00394507" w:rsidP="00394507">
      <w:pPr>
        <w:ind w:left="360"/>
        <w:rPr>
          <w:rStyle w:val="BoxText"/>
          <w:rFonts w:ascii="Verdana" w:hAnsi="Verdana"/>
        </w:rPr>
      </w:pPr>
    </w:p>
    <w:p w:rsidR="00394507" w:rsidRDefault="00394507" w:rsidP="00394507">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394507" w:rsidRPr="00760BBB" w:rsidRDefault="00760BBB" w:rsidP="00B662D5">
      <w:pPr>
        <w:pStyle w:val="Bullet"/>
        <w:numPr>
          <w:ilvl w:val="0"/>
          <w:numId w:val="15"/>
        </w:numPr>
        <w:spacing w:before="0" w:after="120"/>
        <w:rPr>
          <w:rFonts w:ascii="Verdana" w:hAnsi="Verdana"/>
          <w:sz w:val="20"/>
        </w:rPr>
      </w:pPr>
      <w:r w:rsidRPr="00760BBB">
        <w:rPr>
          <w:rFonts w:ascii="Verdana" w:hAnsi="Verdana"/>
          <w:sz w:val="20"/>
        </w:rPr>
        <w:t xml:space="preserve">In Order </w:t>
      </w:r>
      <w:r w:rsidR="0067226E">
        <w:rPr>
          <w:rFonts w:ascii="Verdana" w:hAnsi="Verdana"/>
          <w:sz w:val="20"/>
        </w:rPr>
        <w:t xml:space="preserve">No. </w:t>
      </w:r>
      <w:r w:rsidRPr="00760BBB">
        <w:rPr>
          <w:rFonts w:ascii="Verdana" w:hAnsi="Verdana"/>
          <w:sz w:val="20"/>
        </w:rPr>
        <w:t xml:space="preserve">743, the Commission addressed the need to differentiate between Transmission and </w:t>
      </w:r>
      <w:r w:rsidR="00FC3435">
        <w:rPr>
          <w:rFonts w:ascii="Verdana" w:hAnsi="Verdana"/>
          <w:sz w:val="20"/>
        </w:rPr>
        <w:t>d</w:t>
      </w:r>
      <w:r w:rsidR="0067226E" w:rsidRPr="00760BBB">
        <w:rPr>
          <w:rFonts w:ascii="Verdana" w:hAnsi="Verdana"/>
          <w:sz w:val="20"/>
        </w:rPr>
        <w:t xml:space="preserve">istribution </w:t>
      </w:r>
      <w:r w:rsidRPr="00760BBB">
        <w:rPr>
          <w:rFonts w:ascii="Verdana" w:hAnsi="Verdana"/>
          <w:sz w:val="20"/>
        </w:rPr>
        <w:t>in the revised definition of the Bulk Electric System (BES).  Specifically, the Commission stated that local distribution</w:t>
      </w:r>
      <w:r w:rsidR="00CA6D4C">
        <w:rPr>
          <w:rFonts w:ascii="Verdana" w:hAnsi="Verdana"/>
          <w:sz w:val="20"/>
        </w:rPr>
        <w:t xml:space="preserve"> f</w:t>
      </w:r>
      <w:r w:rsidR="005A0C89">
        <w:rPr>
          <w:rFonts w:ascii="Verdana" w:hAnsi="Verdana"/>
          <w:sz w:val="20"/>
        </w:rPr>
        <w:t>acilities</w:t>
      </w:r>
      <w:r w:rsidRPr="00760BBB">
        <w:rPr>
          <w:rFonts w:ascii="Verdana" w:hAnsi="Verdana"/>
          <w:sz w:val="20"/>
        </w:rPr>
        <w:t xml:space="preserve"> </w:t>
      </w:r>
      <w:r w:rsidR="005A0C89">
        <w:rPr>
          <w:rFonts w:ascii="Verdana" w:hAnsi="Verdana"/>
          <w:sz w:val="20"/>
        </w:rPr>
        <w:t>are to be</w:t>
      </w:r>
      <w:r w:rsidR="005A0C89" w:rsidRPr="00760BBB">
        <w:rPr>
          <w:rFonts w:ascii="Verdana" w:hAnsi="Verdana"/>
          <w:sz w:val="20"/>
        </w:rPr>
        <w:t xml:space="preserve"> </w:t>
      </w:r>
      <w:r w:rsidRPr="00760BBB">
        <w:rPr>
          <w:rFonts w:ascii="Verdana" w:hAnsi="Verdana"/>
          <w:sz w:val="20"/>
        </w:rPr>
        <w:t xml:space="preserve">excluded from the BES.  The SDT believes that it has excluded local distribution </w:t>
      </w:r>
      <w:r w:rsidR="005A0C89">
        <w:rPr>
          <w:rFonts w:ascii="Verdana" w:hAnsi="Verdana"/>
          <w:sz w:val="20"/>
        </w:rPr>
        <w:t>facilities</w:t>
      </w:r>
      <w:r w:rsidR="00A72CDF">
        <w:rPr>
          <w:rFonts w:ascii="Verdana" w:hAnsi="Verdana"/>
          <w:sz w:val="20"/>
        </w:rPr>
        <w:t xml:space="preserve"> </w:t>
      </w:r>
      <w:r w:rsidRPr="00760BBB">
        <w:rPr>
          <w:rFonts w:ascii="Verdana" w:hAnsi="Verdana"/>
          <w:sz w:val="20"/>
        </w:rPr>
        <w:t xml:space="preserve">through the revised bright-line core definition and specific inclusions and exclusions.  Do you agree with this position?  If not, please provide specific comments and suggestions on what </w:t>
      </w:r>
      <w:r w:rsidR="005A0C89">
        <w:rPr>
          <w:rFonts w:ascii="Verdana" w:hAnsi="Verdana"/>
          <w:sz w:val="20"/>
        </w:rPr>
        <w:t xml:space="preserve">else </w:t>
      </w:r>
      <w:r w:rsidRPr="00760BBB">
        <w:rPr>
          <w:rFonts w:ascii="Verdana" w:hAnsi="Verdana"/>
          <w:sz w:val="20"/>
        </w:rPr>
        <w:t xml:space="preserve">needs to be </w:t>
      </w:r>
      <w:r w:rsidR="001555A6">
        <w:rPr>
          <w:rFonts w:ascii="Verdana" w:hAnsi="Verdana"/>
          <w:sz w:val="20"/>
        </w:rPr>
        <w:t>addressed or added</w:t>
      </w:r>
      <w:r w:rsidRPr="00760BBB">
        <w:rPr>
          <w:rFonts w:ascii="Verdana" w:hAnsi="Verdana"/>
          <w:sz w:val="20"/>
        </w:rPr>
        <w:t>.</w:t>
      </w:r>
      <w:r w:rsidR="00394507" w:rsidRPr="00760BBB">
        <w:rPr>
          <w:rFonts w:ascii="Verdana" w:hAnsi="Verdana"/>
          <w:sz w:val="20"/>
        </w:rPr>
        <w:t xml:space="preserve"> </w:t>
      </w:r>
    </w:p>
    <w:p w:rsidR="00394507" w:rsidRDefault="00394507" w:rsidP="00394507">
      <w:pPr>
        <w:ind w:left="360"/>
        <w:rPr>
          <w:rStyle w:val="BoxText"/>
          <w:rFonts w:ascii="Verdana" w:hAnsi="Verdana"/>
        </w:rPr>
      </w:pPr>
      <w:r>
        <w:rPr>
          <w:rStyle w:val="BoxText"/>
          <w:rFonts w:ascii="Verdana" w:hAnsi="Verdana"/>
        </w:rPr>
        <w:t xml:space="preserve">Yes: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394507" w:rsidRDefault="00394507" w:rsidP="00394507">
      <w:pPr>
        <w:ind w:left="360"/>
        <w:rPr>
          <w:rStyle w:val="BoxText"/>
          <w:rFonts w:ascii="Verdana" w:hAnsi="Verdana"/>
        </w:rPr>
      </w:pPr>
    </w:p>
    <w:p w:rsidR="00394507" w:rsidRDefault="00394507" w:rsidP="00394507">
      <w:pPr>
        <w:ind w:left="360"/>
        <w:rPr>
          <w:rStyle w:val="BoxText"/>
          <w:rFonts w:ascii="Verdana" w:hAnsi="Verdana"/>
        </w:rPr>
      </w:pPr>
      <w:r>
        <w:rPr>
          <w:rStyle w:val="BoxText"/>
          <w:rFonts w:ascii="Verdana" w:hAnsi="Verdana"/>
        </w:rPr>
        <w:t xml:space="preserve">No: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394507" w:rsidRDefault="00394507" w:rsidP="00394507">
      <w:pPr>
        <w:ind w:left="360"/>
        <w:rPr>
          <w:rStyle w:val="BoxText"/>
          <w:rFonts w:ascii="Verdana" w:hAnsi="Verdana"/>
        </w:rPr>
      </w:pPr>
    </w:p>
    <w:p w:rsidR="00394507" w:rsidRDefault="00394507" w:rsidP="00394507">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394507" w:rsidRDefault="00976955" w:rsidP="00B662D5">
      <w:pPr>
        <w:pStyle w:val="Bullet"/>
        <w:numPr>
          <w:ilvl w:val="0"/>
          <w:numId w:val="15"/>
        </w:numPr>
        <w:spacing w:before="0" w:after="120"/>
        <w:rPr>
          <w:rFonts w:ascii="Verdana" w:hAnsi="Verdana"/>
          <w:sz w:val="20"/>
        </w:rPr>
      </w:pPr>
      <w:r>
        <w:rPr>
          <w:rFonts w:ascii="Verdana" w:hAnsi="Verdana"/>
          <w:noProof/>
          <w:sz w:val="20"/>
        </w:rPr>
        <w:t>A</w:t>
      </w:r>
      <w:r w:rsidR="00C122E2" w:rsidRPr="00C122E2">
        <w:rPr>
          <w:rFonts w:ascii="Verdana" w:hAnsi="Verdana"/>
          <w:noProof/>
          <w:sz w:val="20"/>
        </w:rPr>
        <w:t xml:space="preserve">re </w:t>
      </w:r>
      <w:r>
        <w:rPr>
          <w:rFonts w:ascii="Verdana" w:hAnsi="Verdana"/>
          <w:noProof/>
          <w:sz w:val="20"/>
        </w:rPr>
        <w:t xml:space="preserve">you </w:t>
      </w:r>
      <w:r w:rsidR="00C122E2" w:rsidRPr="00C122E2">
        <w:rPr>
          <w:rFonts w:ascii="Verdana" w:hAnsi="Verdana"/>
          <w:noProof/>
          <w:sz w:val="20"/>
        </w:rPr>
        <w:t xml:space="preserve">aware of any conflicts between the proposed </w:t>
      </w:r>
      <w:r w:rsidR="00C1282A">
        <w:rPr>
          <w:rFonts w:ascii="Verdana" w:hAnsi="Verdana"/>
          <w:noProof/>
          <w:sz w:val="20"/>
        </w:rPr>
        <w:t xml:space="preserve">definition </w:t>
      </w:r>
      <w:r w:rsidR="00C122E2" w:rsidRPr="00C122E2">
        <w:rPr>
          <w:rFonts w:ascii="Verdana" w:hAnsi="Verdana"/>
          <w:noProof/>
          <w:sz w:val="20"/>
        </w:rPr>
        <w:t>and any regulatory function, rule order, tariff, rate schedule, legislative requirement or agreement, or jurisdictional issue</w:t>
      </w:r>
      <w:r>
        <w:rPr>
          <w:rFonts w:ascii="Verdana" w:hAnsi="Verdana"/>
          <w:noProof/>
          <w:sz w:val="20"/>
        </w:rPr>
        <w:t xml:space="preserve">?  If so, please identify them here and </w:t>
      </w:r>
      <w:r w:rsidR="00C1282A">
        <w:rPr>
          <w:rFonts w:ascii="Verdana" w:hAnsi="Verdana"/>
          <w:noProof/>
          <w:sz w:val="20"/>
        </w:rPr>
        <w:t xml:space="preserve">provide suggested language changes that may clarify the issue.  </w:t>
      </w:r>
      <w:r w:rsidR="00394507" w:rsidRPr="00C122E2">
        <w:rPr>
          <w:rFonts w:ascii="Verdana" w:hAnsi="Verdana"/>
          <w:sz w:val="20"/>
        </w:rPr>
        <w:t xml:space="preserve"> </w:t>
      </w:r>
    </w:p>
    <w:p w:rsidR="00DB3AB9" w:rsidRPr="00DB3AB9" w:rsidRDefault="00DB3AB9" w:rsidP="00DB3AB9">
      <w:pPr>
        <w:pStyle w:val="ListParagraph"/>
        <w:ind w:left="360"/>
        <w:rPr>
          <w:rStyle w:val="BoxText"/>
          <w:rFonts w:ascii="Verdana" w:hAnsi="Verdana"/>
        </w:rPr>
      </w:pPr>
      <w:r w:rsidRPr="00DB3AB9">
        <w:rPr>
          <w:rStyle w:val="BoxText"/>
          <w:rFonts w:ascii="Verdana" w:hAnsi="Verdana"/>
        </w:rPr>
        <w:lastRenderedPageBreak/>
        <w:t xml:space="preserve">Yes: </w:t>
      </w:r>
      <w:r w:rsidR="001B1DEF" w:rsidRPr="00DB3AB9">
        <w:rPr>
          <w:rStyle w:val="BoxText"/>
          <w:rFonts w:ascii="Verdana" w:hAnsi="Verdana"/>
        </w:rPr>
        <w:fldChar w:fldCharType="begin">
          <w:ffData>
            <w:name w:val="Text12"/>
            <w:enabled/>
            <w:calcOnExit w:val="0"/>
            <w:textInput/>
          </w:ffData>
        </w:fldChar>
      </w:r>
      <w:r w:rsidRPr="00DB3AB9">
        <w:rPr>
          <w:rStyle w:val="BoxText"/>
          <w:rFonts w:ascii="Verdana" w:hAnsi="Verdana"/>
        </w:rPr>
        <w:instrText xml:space="preserve"> FORMTEXT </w:instrText>
      </w:r>
      <w:r w:rsidR="001B1DEF" w:rsidRPr="00DB3AB9">
        <w:rPr>
          <w:rStyle w:val="BoxText"/>
          <w:rFonts w:ascii="Verdana" w:hAnsi="Verdana"/>
        </w:rPr>
      </w:r>
      <w:r w:rsidR="001B1DEF" w:rsidRPr="00DB3AB9">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DB3AB9">
        <w:rPr>
          <w:rStyle w:val="BoxText"/>
          <w:rFonts w:ascii="Verdana" w:hAnsi="Verdana"/>
        </w:rPr>
        <w:fldChar w:fldCharType="end"/>
      </w:r>
    </w:p>
    <w:p w:rsidR="00DB3AB9" w:rsidRPr="00DB3AB9" w:rsidRDefault="00DB3AB9" w:rsidP="00DB3AB9">
      <w:pPr>
        <w:pStyle w:val="ListParagraph"/>
        <w:ind w:left="360"/>
        <w:rPr>
          <w:rStyle w:val="BoxText"/>
          <w:rFonts w:ascii="Verdana" w:hAnsi="Verdana"/>
        </w:rPr>
      </w:pPr>
    </w:p>
    <w:p w:rsidR="00DB3AB9" w:rsidRPr="00DB3AB9" w:rsidRDefault="00DB3AB9" w:rsidP="00DB3AB9">
      <w:pPr>
        <w:pStyle w:val="ListParagraph"/>
        <w:ind w:left="360"/>
        <w:rPr>
          <w:rStyle w:val="BoxText"/>
          <w:rFonts w:ascii="Verdana" w:hAnsi="Verdana"/>
        </w:rPr>
      </w:pPr>
      <w:r w:rsidRPr="00DB3AB9">
        <w:rPr>
          <w:rStyle w:val="BoxText"/>
          <w:rFonts w:ascii="Verdana" w:hAnsi="Verdana"/>
        </w:rPr>
        <w:t xml:space="preserve">No:  </w:t>
      </w:r>
      <w:r w:rsidR="001B1DEF" w:rsidRPr="00DB3AB9">
        <w:rPr>
          <w:rStyle w:val="BoxText"/>
          <w:rFonts w:ascii="Verdana" w:hAnsi="Verdana"/>
        </w:rPr>
        <w:fldChar w:fldCharType="begin">
          <w:ffData>
            <w:name w:val="Text12"/>
            <w:enabled/>
            <w:calcOnExit w:val="0"/>
            <w:textInput/>
          </w:ffData>
        </w:fldChar>
      </w:r>
      <w:r w:rsidRPr="00DB3AB9">
        <w:rPr>
          <w:rStyle w:val="BoxText"/>
          <w:rFonts w:ascii="Verdana" w:hAnsi="Verdana"/>
        </w:rPr>
        <w:instrText xml:space="preserve"> FORMTEXT </w:instrText>
      </w:r>
      <w:r w:rsidR="001B1DEF" w:rsidRPr="00DB3AB9">
        <w:rPr>
          <w:rStyle w:val="BoxText"/>
          <w:rFonts w:ascii="Verdana" w:hAnsi="Verdana"/>
        </w:rPr>
      </w:r>
      <w:r w:rsidR="001B1DEF" w:rsidRPr="00DB3AB9">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DB3AB9">
        <w:rPr>
          <w:rStyle w:val="BoxText"/>
          <w:rFonts w:ascii="Verdana" w:hAnsi="Verdana"/>
        </w:rPr>
        <w:fldChar w:fldCharType="end"/>
      </w:r>
    </w:p>
    <w:p w:rsidR="00DB3AB9" w:rsidRPr="00DB3AB9" w:rsidRDefault="00DB3AB9" w:rsidP="00DB3AB9">
      <w:pPr>
        <w:pStyle w:val="ListParagraph"/>
        <w:ind w:left="360"/>
        <w:rPr>
          <w:rStyle w:val="BoxText"/>
          <w:rFonts w:ascii="Verdana" w:hAnsi="Verdana"/>
        </w:rPr>
      </w:pPr>
    </w:p>
    <w:p w:rsidR="00DB3AB9" w:rsidRDefault="00DB3AB9" w:rsidP="00DB3AB9">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DB3AB9" w:rsidRPr="00C122E2" w:rsidRDefault="00DB3AB9" w:rsidP="00B662D5">
      <w:pPr>
        <w:pStyle w:val="Bullet"/>
        <w:numPr>
          <w:ilvl w:val="0"/>
          <w:numId w:val="15"/>
        </w:numPr>
        <w:spacing w:before="0" w:after="120"/>
        <w:rPr>
          <w:rFonts w:ascii="Verdana" w:hAnsi="Verdana"/>
          <w:sz w:val="20"/>
        </w:rPr>
      </w:pPr>
      <w:r>
        <w:rPr>
          <w:rFonts w:ascii="Verdana" w:hAnsi="Verdana"/>
          <w:sz w:val="20"/>
        </w:rPr>
        <w:t>Are there any other concerns with this definition that haven’t been cover</w:t>
      </w:r>
      <w:r w:rsidR="008001A5">
        <w:rPr>
          <w:rFonts w:ascii="Verdana" w:hAnsi="Verdana"/>
          <w:sz w:val="20"/>
        </w:rPr>
        <w:t>e</w:t>
      </w:r>
      <w:r>
        <w:rPr>
          <w:rFonts w:ascii="Verdana" w:hAnsi="Verdana"/>
          <w:sz w:val="20"/>
        </w:rPr>
        <w:t xml:space="preserve">d in previous questions and comments? </w:t>
      </w:r>
    </w:p>
    <w:p w:rsidR="008A6330" w:rsidRDefault="008A6330" w:rsidP="00B662D5">
      <w:pPr>
        <w:ind w:left="360"/>
        <w:rPr>
          <w:rStyle w:val="BoxText"/>
          <w:rFonts w:ascii="Verdana" w:hAnsi="Verdana"/>
        </w:rPr>
      </w:pPr>
      <w:r>
        <w:rPr>
          <w:rStyle w:val="BoxText"/>
          <w:rFonts w:ascii="Verdana" w:hAnsi="Verdana"/>
        </w:rPr>
        <w:t xml:space="preserve">Yes: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8A6330" w:rsidRDefault="008A6330" w:rsidP="00B662D5">
      <w:pPr>
        <w:ind w:left="360"/>
        <w:rPr>
          <w:rStyle w:val="BoxText"/>
          <w:rFonts w:ascii="Verdana" w:hAnsi="Verdana"/>
        </w:rPr>
      </w:pPr>
    </w:p>
    <w:p w:rsidR="008A6330" w:rsidRDefault="008A6330" w:rsidP="00B662D5">
      <w:pPr>
        <w:ind w:left="360"/>
        <w:rPr>
          <w:rStyle w:val="BoxText"/>
          <w:rFonts w:ascii="Verdana" w:hAnsi="Verdana"/>
        </w:rPr>
      </w:pPr>
      <w:r>
        <w:rPr>
          <w:rStyle w:val="BoxText"/>
          <w:rFonts w:ascii="Verdana" w:hAnsi="Verdana"/>
        </w:rPr>
        <w:t xml:space="preserve">No:  </w:t>
      </w:r>
      <w:r w:rsidR="001B1DE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p>
    <w:p w:rsidR="0011263E" w:rsidRDefault="0011263E" w:rsidP="0011263E">
      <w:pPr>
        <w:rPr>
          <w:rStyle w:val="BoxText"/>
          <w:rFonts w:ascii="Verdana" w:hAnsi="Verdana"/>
        </w:rPr>
      </w:pPr>
    </w:p>
    <w:p w:rsidR="00530978" w:rsidRPr="00E376D0" w:rsidRDefault="004759E2" w:rsidP="00794459">
      <w:pPr>
        <w:ind w:left="360"/>
        <w:rPr>
          <w:rFonts w:ascii="Verdana" w:hAnsi="Verdana"/>
          <w:b/>
          <w:sz w:val="20"/>
          <w:lang w:val="fr-FR"/>
        </w:rPr>
      </w:pPr>
      <w:r w:rsidRPr="00182CEE">
        <w:rPr>
          <w:rStyle w:val="BoxText"/>
          <w:rFonts w:ascii="Verdana" w:hAnsi="Verdana"/>
        </w:rPr>
        <w:t xml:space="preserve">Comments: </w:t>
      </w:r>
      <w:r w:rsidR="001B1DEF" w:rsidRPr="00182CEE">
        <w:rPr>
          <w:rStyle w:val="BoxText"/>
          <w:rFonts w:ascii="Verdana" w:hAnsi="Verdana"/>
        </w:rPr>
        <w:fldChar w:fldCharType="begin">
          <w:ffData>
            <w:name w:val="Text12"/>
            <w:enabled/>
            <w:calcOnExit w:val="0"/>
            <w:textInput/>
          </w:ffData>
        </w:fldChar>
      </w:r>
      <w:bookmarkStart w:id="0" w:name="Text12"/>
      <w:r w:rsidRPr="00182CEE">
        <w:rPr>
          <w:rStyle w:val="BoxText"/>
          <w:rFonts w:ascii="Verdana" w:hAnsi="Verdana"/>
        </w:rPr>
        <w:instrText xml:space="preserve"> FORMTEXT </w:instrText>
      </w:r>
      <w:r w:rsidR="001B1DEF" w:rsidRPr="00182CEE">
        <w:rPr>
          <w:rStyle w:val="BoxText"/>
          <w:rFonts w:ascii="Verdana" w:hAnsi="Verdana"/>
        </w:rPr>
      </w:r>
      <w:r w:rsidR="001B1DE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1B1DEF" w:rsidRPr="00182CEE">
        <w:rPr>
          <w:rStyle w:val="BoxText"/>
          <w:rFonts w:ascii="Verdana" w:hAnsi="Verdana"/>
        </w:rPr>
        <w:fldChar w:fldCharType="end"/>
      </w:r>
      <w:bookmarkEnd w:id="0"/>
    </w:p>
    <w:p w:rsidR="00412F85" w:rsidRPr="00E376D0" w:rsidRDefault="00412F85" w:rsidP="00B662D5">
      <w:pPr>
        <w:ind w:left="360"/>
        <w:rPr>
          <w:rStyle w:val="BoxText"/>
          <w:rFonts w:ascii="Verdana" w:hAnsi="Verdana"/>
          <w:lang w:val="fr-FR"/>
        </w:rPr>
      </w:pPr>
    </w:p>
    <w:p w:rsidR="00412F85" w:rsidRPr="00E376D0" w:rsidRDefault="00412F85" w:rsidP="00412F85">
      <w:pPr>
        <w:rPr>
          <w:rFonts w:ascii="Verdana" w:hAnsi="Verdana"/>
          <w:sz w:val="20"/>
          <w:lang w:val="fr-FR"/>
        </w:rPr>
      </w:pPr>
    </w:p>
    <w:p w:rsidR="00A56C97" w:rsidRPr="00E376D0" w:rsidRDefault="00A56C97" w:rsidP="00A56C97">
      <w:pPr>
        <w:rPr>
          <w:rStyle w:val="BoxText"/>
          <w:rFonts w:ascii="Verdana" w:hAnsi="Verdana"/>
          <w:lang w:val="fr-FR"/>
        </w:rPr>
      </w:pPr>
    </w:p>
    <w:sectPr w:rsidR="00A56C97" w:rsidRPr="00E376D0" w:rsidSect="00536CD1">
      <w:headerReference w:type="default" r:id="rId8"/>
      <w:footerReference w:type="default" r:id="rId9"/>
      <w:headerReference w:type="first" r:id="rId10"/>
      <w:footerReference w:type="first" r:id="rId11"/>
      <w:type w:val="continuous"/>
      <w:pgSz w:w="12240" w:h="15840" w:code="1"/>
      <w:pgMar w:top="1627"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124" w:rsidRDefault="00557124">
      <w:r>
        <w:separator/>
      </w:r>
    </w:p>
  </w:endnote>
  <w:endnote w:type="continuationSeparator" w:id="0">
    <w:p w:rsidR="00557124" w:rsidRDefault="005571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124" w:rsidRDefault="00557124">
    <w:pPr>
      <w:pStyle w:val="Footer"/>
      <w:rPr>
        <w:rFonts w:ascii="Arial" w:hAnsi="Arial"/>
        <w:sz w:val="20"/>
      </w:rPr>
    </w:pPr>
    <w:r>
      <w:rPr>
        <w:rFonts w:ascii="Arial" w:hAnsi="Arial"/>
        <w:sz w:val="20"/>
      </w:rPr>
      <w:tab/>
    </w:r>
    <w:r>
      <w:rPr>
        <w:rFonts w:ascii="Arial" w:hAnsi="Arial"/>
        <w:snapToGrid w:val="0"/>
        <w:sz w:val="20"/>
      </w:rPr>
      <w:t xml:space="preserve">Page </w:t>
    </w:r>
    <w:r w:rsidR="001B1DEF">
      <w:rPr>
        <w:rFonts w:ascii="Arial" w:hAnsi="Arial"/>
        <w:snapToGrid w:val="0"/>
        <w:sz w:val="20"/>
      </w:rPr>
      <w:fldChar w:fldCharType="begin"/>
    </w:r>
    <w:r>
      <w:rPr>
        <w:rFonts w:ascii="Arial" w:hAnsi="Arial"/>
        <w:snapToGrid w:val="0"/>
        <w:sz w:val="20"/>
      </w:rPr>
      <w:instrText xml:space="preserve"> PAGE </w:instrText>
    </w:r>
    <w:r w:rsidR="001B1DEF">
      <w:rPr>
        <w:rFonts w:ascii="Arial" w:hAnsi="Arial"/>
        <w:snapToGrid w:val="0"/>
        <w:sz w:val="20"/>
      </w:rPr>
      <w:fldChar w:fldCharType="separate"/>
    </w:r>
    <w:r w:rsidR="00724349">
      <w:rPr>
        <w:rFonts w:ascii="Arial" w:hAnsi="Arial"/>
        <w:noProof/>
        <w:snapToGrid w:val="0"/>
        <w:sz w:val="20"/>
      </w:rPr>
      <w:t>2</w:t>
    </w:r>
    <w:r w:rsidR="001B1DEF">
      <w:rPr>
        <w:rFonts w:ascii="Arial" w:hAnsi="Arial"/>
        <w:snapToGrid w:val="0"/>
        <w:sz w:val="20"/>
      </w:rPr>
      <w:fldChar w:fldCharType="end"/>
    </w:r>
    <w:r>
      <w:rPr>
        <w:rFonts w:ascii="Arial" w:hAnsi="Arial"/>
        <w:snapToGrid w:val="0"/>
        <w:sz w:val="20"/>
      </w:rPr>
      <w:t xml:space="preserve"> of </w:t>
    </w:r>
    <w:r w:rsidR="001B1DEF">
      <w:rPr>
        <w:rFonts w:ascii="Arial" w:hAnsi="Arial"/>
        <w:snapToGrid w:val="0"/>
        <w:sz w:val="20"/>
      </w:rPr>
      <w:fldChar w:fldCharType="begin"/>
    </w:r>
    <w:r>
      <w:rPr>
        <w:rFonts w:ascii="Arial" w:hAnsi="Arial"/>
        <w:snapToGrid w:val="0"/>
        <w:sz w:val="20"/>
      </w:rPr>
      <w:instrText xml:space="preserve"> NUMPAGES </w:instrText>
    </w:r>
    <w:r w:rsidR="001B1DEF">
      <w:rPr>
        <w:rFonts w:ascii="Arial" w:hAnsi="Arial"/>
        <w:snapToGrid w:val="0"/>
        <w:sz w:val="20"/>
      </w:rPr>
      <w:fldChar w:fldCharType="separate"/>
    </w:r>
    <w:r w:rsidR="00724349">
      <w:rPr>
        <w:rFonts w:ascii="Arial" w:hAnsi="Arial"/>
        <w:noProof/>
        <w:snapToGrid w:val="0"/>
        <w:sz w:val="20"/>
      </w:rPr>
      <w:t>7</w:t>
    </w:r>
    <w:r w:rsidR="001B1DEF">
      <w:rPr>
        <w:rFonts w:ascii="Arial" w:hAnsi="Arial"/>
        <w:snapToGrid w:val="0"/>
        <w:sz w:val="20"/>
      </w:rPr>
      <w:fldChar w:fldCharType="end"/>
    </w:r>
    <w:r>
      <w:rPr>
        <w:rFonts w:ascii="Arial" w:hAnsi="Arial"/>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124" w:rsidRPr="001F0639" w:rsidRDefault="00557124" w:rsidP="00DA287C">
    <w:pPr>
      <w:spacing w:after="120"/>
      <w:ind w:left="-360"/>
      <w:jc w:val="center"/>
      <w:rPr>
        <w:rFonts w:ascii="Verdana" w:hAnsi="Verdana" w:cs="Arial"/>
        <w:sz w:val="18"/>
        <w:szCs w:val="18"/>
      </w:rPr>
    </w:pPr>
    <w:smartTag w:uri="urn:schemas-microsoft-com:office:smarttags" w:element="address">
      <w:smartTag w:uri="urn:schemas-microsoft-com:office:smarttags" w:element="Street">
        <w:r w:rsidRPr="001F0639">
          <w:rPr>
            <w:rFonts w:ascii="Verdana" w:hAnsi="Verdana" w:cs="Arial"/>
            <w:sz w:val="18"/>
            <w:szCs w:val="18"/>
          </w:rPr>
          <w:t>116-390 Village Boulevard</w:t>
        </w:r>
      </w:smartTag>
      <w:r w:rsidRPr="001F0639">
        <w:rPr>
          <w:rFonts w:ascii="Verdana" w:hAnsi="Verdana" w:cs="Arial"/>
          <w:sz w:val="18"/>
          <w:szCs w:val="18"/>
        </w:rPr>
        <w:t xml:space="preserve">, </w:t>
      </w:r>
      <w:smartTag w:uri="urn:schemas-microsoft-com:office:smarttags" w:element="City">
        <w:r w:rsidRPr="001F0639">
          <w:rPr>
            <w:rFonts w:ascii="Verdana" w:hAnsi="Verdana" w:cs="Arial"/>
            <w:sz w:val="18"/>
            <w:szCs w:val="18"/>
          </w:rPr>
          <w:t>Princeton</w:t>
        </w:r>
      </w:smartTag>
      <w:r w:rsidRPr="001F0639">
        <w:rPr>
          <w:rFonts w:ascii="Verdana" w:hAnsi="Verdana" w:cs="Arial"/>
          <w:sz w:val="18"/>
          <w:szCs w:val="18"/>
        </w:rPr>
        <w:t>, N</w:t>
      </w:r>
      <w:r>
        <w:rPr>
          <w:rFonts w:ascii="Verdana" w:hAnsi="Verdana" w:cs="Arial"/>
          <w:sz w:val="18"/>
          <w:szCs w:val="18"/>
        </w:rPr>
        <w:t xml:space="preserve">ew </w:t>
      </w:r>
      <w:proofErr w:type="gramStart"/>
      <w:r w:rsidRPr="001F0639">
        <w:rPr>
          <w:rFonts w:ascii="Verdana" w:hAnsi="Verdana" w:cs="Arial"/>
          <w:sz w:val="18"/>
          <w:szCs w:val="18"/>
        </w:rPr>
        <w:t>J</w:t>
      </w:r>
      <w:r>
        <w:rPr>
          <w:rFonts w:ascii="Verdana" w:hAnsi="Verdana" w:cs="Arial"/>
          <w:sz w:val="18"/>
          <w:szCs w:val="18"/>
        </w:rPr>
        <w:t>ersey</w:t>
      </w:r>
      <w:r w:rsidRPr="001F0639">
        <w:rPr>
          <w:rFonts w:ascii="Verdana" w:hAnsi="Verdana" w:cs="Arial"/>
          <w:sz w:val="18"/>
          <w:szCs w:val="18"/>
        </w:rPr>
        <w:t xml:space="preserve">  </w:t>
      </w:r>
      <w:smartTag w:uri="urn:schemas-microsoft-com:office:smarttags" w:element="PostalCode">
        <w:r w:rsidRPr="001F0639">
          <w:rPr>
            <w:rFonts w:ascii="Verdana" w:hAnsi="Verdana" w:cs="Arial"/>
            <w:sz w:val="18"/>
            <w:szCs w:val="18"/>
          </w:rPr>
          <w:t>08540</w:t>
        </w:r>
        <w:proofErr w:type="gramEnd"/>
        <w:r w:rsidRPr="001F0639">
          <w:rPr>
            <w:rFonts w:ascii="Verdana" w:hAnsi="Verdana" w:cs="Arial"/>
            <w:sz w:val="18"/>
            <w:szCs w:val="18"/>
          </w:rPr>
          <w:t>-5721</w:t>
        </w:r>
      </w:smartTag>
    </w:smartTag>
  </w:p>
  <w:p w:rsidR="00557124" w:rsidRPr="00DA287C" w:rsidRDefault="00557124" w:rsidP="00DA287C">
    <w:pPr>
      <w:ind w:left="-180"/>
      <w:jc w:val="center"/>
      <w:rPr>
        <w:rFonts w:ascii="Verdana" w:hAnsi="Verdana" w:cs="Arial"/>
        <w:sz w:val="18"/>
        <w:szCs w:val="18"/>
      </w:rPr>
    </w:pPr>
    <w:r w:rsidRPr="00DA287C">
      <w:rPr>
        <w:rFonts w:ascii="Verdana" w:hAnsi="Verdana"/>
        <w:sz w:val="18"/>
        <w:szCs w:val="18"/>
      </w:rPr>
      <w:t>Phone: 609.452.8060 ▪ Fax: 609.452.9550 ▪ www.nerc.com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124" w:rsidRDefault="00557124">
      <w:r>
        <w:separator/>
      </w:r>
    </w:p>
  </w:footnote>
  <w:footnote w:type="continuationSeparator" w:id="0">
    <w:p w:rsidR="00557124" w:rsidRDefault="00557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124" w:rsidRDefault="00557124" w:rsidP="00164523">
    <w:pPr>
      <w:pStyle w:val="Header"/>
    </w:pPr>
    <w:r w:rsidRPr="00DA287C">
      <w:rPr>
        <w:rFonts w:ascii="Verdana" w:hAnsi="Verdana"/>
        <w:b/>
        <w:bCs/>
        <w:szCs w:val="22"/>
      </w:rPr>
      <w:t>Comment Form for</w:t>
    </w:r>
    <w:r>
      <w:rPr>
        <w:rFonts w:ascii="Verdana" w:hAnsi="Verdana"/>
        <w:b/>
        <w:bCs/>
        <w:szCs w:val="22"/>
      </w:rPr>
      <w:t xml:space="preserve"> 1</w:t>
    </w:r>
    <w:r w:rsidRPr="008A6330">
      <w:rPr>
        <w:rFonts w:ascii="Verdana" w:hAnsi="Verdana"/>
        <w:b/>
        <w:bCs/>
        <w:szCs w:val="22"/>
        <w:vertAlign w:val="superscript"/>
      </w:rPr>
      <w:t>st</w:t>
    </w:r>
    <w:r>
      <w:rPr>
        <w:rFonts w:ascii="Verdana" w:hAnsi="Verdana"/>
        <w:b/>
        <w:bCs/>
        <w:szCs w:val="22"/>
      </w:rPr>
      <w:t xml:space="preserve"> Draft of </w:t>
    </w:r>
    <w:r w:rsidR="001B1DEF" w:rsidRPr="001B1DEF">
      <w:rPr>
        <w:rFonts w:ascii="Verdana" w:hAnsi="Verdana"/>
        <w:b/>
        <w:bCs/>
        <w:noProof/>
        <w:szCs w:val="22"/>
      </w:rPr>
      <w:pict>
        <v:line id="_x0000_s2050" style="position:absolute;z-index:251658240;mso-position-horizontal-relative:text;mso-position-vertical-relative:text" from="-1.35pt,13.85pt" to="466.65pt,13.85pt"/>
      </w:pict>
    </w:r>
    <w:r>
      <w:rPr>
        <w:rFonts w:ascii="Verdana" w:hAnsi="Verdana"/>
        <w:b/>
        <w:bCs/>
        <w:szCs w:val="22"/>
      </w:rPr>
      <w:t>Definition of BES (Project 2010-17)</w:t>
    </w:r>
  </w:p>
  <w:p w:rsidR="00557124" w:rsidRPr="00164523" w:rsidRDefault="00557124" w:rsidP="001645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124" w:rsidRDefault="00557124">
    <w:pPr>
      <w:pStyle w:val="Header"/>
    </w:pPr>
    <w:r w:rsidRPr="00DA287C">
      <w:rPr>
        <w:rFonts w:ascii="Verdana" w:hAnsi="Verdana"/>
        <w:b/>
        <w:bCs/>
        <w:szCs w:val="22"/>
      </w:rPr>
      <w:t>Comment Form for</w:t>
    </w:r>
    <w:r>
      <w:rPr>
        <w:rFonts w:ascii="Verdana" w:hAnsi="Verdana"/>
        <w:b/>
        <w:bCs/>
        <w:szCs w:val="22"/>
      </w:rPr>
      <w:t xml:space="preserve"> 1</w:t>
    </w:r>
    <w:r w:rsidRPr="008A6330">
      <w:rPr>
        <w:rFonts w:ascii="Verdana" w:hAnsi="Verdana"/>
        <w:b/>
        <w:bCs/>
        <w:szCs w:val="22"/>
        <w:vertAlign w:val="superscript"/>
      </w:rPr>
      <w:t>st</w:t>
    </w:r>
    <w:r>
      <w:rPr>
        <w:rFonts w:ascii="Verdana" w:hAnsi="Verdana"/>
        <w:b/>
        <w:bCs/>
        <w:szCs w:val="22"/>
      </w:rPr>
      <w:t xml:space="preserve"> Draft of Definition of BES (</w:t>
    </w:r>
    <w:r w:rsidR="001B1DEF" w:rsidRPr="001B1DEF">
      <w:rPr>
        <w:rFonts w:ascii="Verdana" w:hAnsi="Verdana"/>
        <w:b/>
        <w:bCs/>
        <w:noProof/>
        <w:szCs w:val="22"/>
      </w:rPr>
      <w:pict>
        <v:line id="_x0000_s2049" style="position:absolute;z-index:251657216;mso-position-horizontal-relative:text;mso-position-vertical-relative:text" from="-1.35pt,13.85pt" to="466.65pt,13.85pt"/>
      </w:pict>
    </w:r>
    <w:r>
      <w:rPr>
        <w:rFonts w:ascii="Verdana" w:hAnsi="Verdana"/>
        <w:b/>
        <w:bCs/>
        <w:szCs w:val="22"/>
      </w:rPr>
      <w:t>Project 2010-17)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D65232"/>
    <w:lvl w:ilvl="0">
      <w:start w:val="1"/>
      <w:numFmt w:val="bullet"/>
      <w:lvlText w:val=""/>
      <w:lvlJc w:val="left"/>
      <w:pPr>
        <w:tabs>
          <w:tab w:val="num" w:pos="360"/>
        </w:tabs>
        <w:ind w:left="360" w:hanging="360"/>
      </w:pPr>
      <w:rPr>
        <w:rFonts w:ascii="Symbol" w:hAnsi="Symbol" w:hint="default"/>
      </w:rPr>
    </w:lvl>
  </w:abstractNum>
  <w:abstractNum w:abstractNumId="1">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2">
    <w:nsid w:val="035E6CDB"/>
    <w:multiLevelType w:val="hybridMultilevel"/>
    <w:tmpl w:val="CA52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92739"/>
    <w:multiLevelType w:val="hybridMultilevel"/>
    <w:tmpl w:val="C23E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5">
    <w:nsid w:val="06633862"/>
    <w:multiLevelType w:val="hybridMultilevel"/>
    <w:tmpl w:val="8C147D50"/>
    <w:lvl w:ilvl="0" w:tplc="026058FC">
      <w:start w:val="2"/>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7">
    <w:nsid w:val="0B643A33"/>
    <w:multiLevelType w:val="hybridMultilevel"/>
    <w:tmpl w:val="C7C09630"/>
    <w:lvl w:ilvl="0" w:tplc="41DE5162">
      <w:start w:val="1"/>
      <w:numFmt w:val="decimal"/>
      <w:lvlText w:val="%1."/>
      <w:lvlJc w:val="left"/>
      <w:pPr>
        <w:tabs>
          <w:tab w:val="num" w:pos="720"/>
        </w:tabs>
        <w:ind w:left="720" w:hanging="36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021C8C"/>
    <w:multiLevelType w:val="hybridMultilevel"/>
    <w:tmpl w:val="F3BE6AE6"/>
    <w:lvl w:ilvl="0" w:tplc="F8B27F96">
      <w:start w:val="4"/>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2741BF"/>
    <w:multiLevelType w:val="hybridMultilevel"/>
    <w:tmpl w:val="6E1A5D7C"/>
    <w:lvl w:ilvl="0" w:tplc="689A6E2A">
      <w:start w:val="1"/>
      <w:numFmt w:val="decimal"/>
      <w:lvlText w:val="%1."/>
      <w:lvlJc w:val="left"/>
      <w:pPr>
        <w:tabs>
          <w:tab w:val="num" w:pos="720"/>
        </w:tabs>
        <w:ind w:left="720" w:hanging="360"/>
      </w:pPr>
    </w:lvl>
    <w:lvl w:ilvl="1" w:tplc="D264D122">
      <w:start w:val="1"/>
      <w:numFmt w:val="lowerLetter"/>
      <w:lvlText w:val="%2."/>
      <w:lvlJc w:val="left"/>
      <w:pPr>
        <w:tabs>
          <w:tab w:val="num" w:pos="1440"/>
        </w:tabs>
        <w:ind w:left="1440" w:hanging="360"/>
      </w:pPr>
    </w:lvl>
    <w:lvl w:ilvl="2" w:tplc="C4625668" w:tentative="1">
      <w:start w:val="1"/>
      <w:numFmt w:val="lowerRoman"/>
      <w:lvlText w:val="%3."/>
      <w:lvlJc w:val="right"/>
      <w:pPr>
        <w:tabs>
          <w:tab w:val="num" w:pos="2160"/>
        </w:tabs>
        <w:ind w:left="2160" w:hanging="180"/>
      </w:pPr>
    </w:lvl>
    <w:lvl w:ilvl="3" w:tplc="4B4611DA" w:tentative="1">
      <w:start w:val="1"/>
      <w:numFmt w:val="decimal"/>
      <w:lvlText w:val="%4."/>
      <w:lvlJc w:val="left"/>
      <w:pPr>
        <w:tabs>
          <w:tab w:val="num" w:pos="2880"/>
        </w:tabs>
        <w:ind w:left="2880" w:hanging="360"/>
      </w:pPr>
    </w:lvl>
    <w:lvl w:ilvl="4" w:tplc="1DD4BD82" w:tentative="1">
      <w:start w:val="1"/>
      <w:numFmt w:val="lowerLetter"/>
      <w:lvlText w:val="%5."/>
      <w:lvlJc w:val="left"/>
      <w:pPr>
        <w:tabs>
          <w:tab w:val="num" w:pos="3600"/>
        </w:tabs>
        <w:ind w:left="3600" w:hanging="360"/>
      </w:pPr>
    </w:lvl>
    <w:lvl w:ilvl="5" w:tplc="DA4AE472" w:tentative="1">
      <w:start w:val="1"/>
      <w:numFmt w:val="lowerRoman"/>
      <w:lvlText w:val="%6."/>
      <w:lvlJc w:val="right"/>
      <w:pPr>
        <w:tabs>
          <w:tab w:val="num" w:pos="4320"/>
        </w:tabs>
        <w:ind w:left="4320" w:hanging="180"/>
      </w:pPr>
    </w:lvl>
    <w:lvl w:ilvl="6" w:tplc="9C6A0228" w:tentative="1">
      <w:start w:val="1"/>
      <w:numFmt w:val="decimal"/>
      <w:lvlText w:val="%7."/>
      <w:lvlJc w:val="left"/>
      <w:pPr>
        <w:tabs>
          <w:tab w:val="num" w:pos="5040"/>
        </w:tabs>
        <w:ind w:left="5040" w:hanging="360"/>
      </w:pPr>
    </w:lvl>
    <w:lvl w:ilvl="7" w:tplc="27844AF8" w:tentative="1">
      <w:start w:val="1"/>
      <w:numFmt w:val="lowerLetter"/>
      <w:lvlText w:val="%8."/>
      <w:lvlJc w:val="left"/>
      <w:pPr>
        <w:tabs>
          <w:tab w:val="num" w:pos="5760"/>
        </w:tabs>
        <w:ind w:left="5760" w:hanging="360"/>
      </w:pPr>
    </w:lvl>
    <w:lvl w:ilvl="8" w:tplc="8F24BE98" w:tentative="1">
      <w:start w:val="1"/>
      <w:numFmt w:val="lowerRoman"/>
      <w:lvlText w:val="%9."/>
      <w:lvlJc w:val="right"/>
      <w:pPr>
        <w:tabs>
          <w:tab w:val="num" w:pos="6480"/>
        </w:tabs>
        <w:ind w:left="6480" w:hanging="180"/>
      </w:pPr>
    </w:lvl>
  </w:abstractNum>
  <w:abstractNum w:abstractNumId="10">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11">
    <w:nsid w:val="1B972F19"/>
    <w:multiLevelType w:val="hybridMultilevel"/>
    <w:tmpl w:val="26E0A25A"/>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2">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13">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14">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5">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6">
    <w:nsid w:val="36046428"/>
    <w:multiLevelType w:val="hybridMultilevel"/>
    <w:tmpl w:val="72664578"/>
    <w:lvl w:ilvl="0" w:tplc="BF303366">
      <w:start w:val="5"/>
      <w:numFmt w:val="decimal"/>
      <w:lvlText w:val="%1."/>
      <w:lvlJc w:val="left"/>
      <w:pPr>
        <w:tabs>
          <w:tab w:val="num" w:pos="1350"/>
        </w:tabs>
        <w:ind w:left="1350" w:hanging="360"/>
      </w:pPr>
      <w:rPr>
        <w:rFonts w:ascii="Arial" w:hAnsi="Arial" w:hint="default"/>
        <w:b w:val="0"/>
        <w:i w:val="0"/>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7">
    <w:nsid w:val="3FE865C7"/>
    <w:multiLevelType w:val="hybridMultilevel"/>
    <w:tmpl w:val="8834C78A"/>
    <w:lvl w:ilvl="0" w:tplc="757CB196">
      <w:start w:val="1"/>
      <w:numFmt w:val="decimal"/>
      <w:lvlText w:val="%1."/>
      <w:lvlJc w:val="left"/>
      <w:pPr>
        <w:tabs>
          <w:tab w:val="num" w:pos="720"/>
        </w:tabs>
        <w:ind w:left="720" w:hanging="360"/>
      </w:pPr>
    </w:lvl>
    <w:lvl w:ilvl="1" w:tplc="4E4047CE">
      <w:start w:val="1"/>
      <w:numFmt w:val="lowerLetter"/>
      <w:lvlText w:val="%2."/>
      <w:lvlJc w:val="left"/>
      <w:pPr>
        <w:tabs>
          <w:tab w:val="num" w:pos="1440"/>
        </w:tabs>
        <w:ind w:left="1440" w:hanging="360"/>
      </w:pPr>
    </w:lvl>
    <w:lvl w:ilvl="2" w:tplc="3F3A01CC">
      <w:start w:val="1"/>
      <w:numFmt w:val="decimal"/>
      <w:lvlText w:val="%3."/>
      <w:lvlJc w:val="left"/>
      <w:pPr>
        <w:tabs>
          <w:tab w:val="num" w:pos="2340"/>
        </w:tabs>
        <w:ind w:left="2340" w:hanging="360"/>
      </w:pPr>
    </w:lvl>
    <w:lvl w:ilvl="3" w:tplc="6068E128" w:tentative="1">
      <w:start w:val="1"/>
      <w:numFmt w:val="decimal"/>
      <w:lvlText w:val="%4."/>
      <w:lvlJc w:val="left"/>
      <w:pPr>
        <w:tabs>
          <w:tab w:val="num" w:pos="2880"/>
        </w:tabs>
        <w:ind w:left="2880" w:hanging="360"/>
      </w:pPr>
    </w:lvl>
    <w:lvl w:ilvl="4" w:tplc="71F89062" w:tentative="1">
      <w:start w:val="1"/>
      <w:numFmt w:val="lowerLetter"/>
      <w:lvlText w:val="%5."/>
      <w:lvlJc w:val="left"/>
      <w:pPr>
        <w:tabs>
          <w:tab w:val="num" w:pos="3600"/>
        </w:tabs>
        <w:ind w:left="3600" w:hanging="360"/>
      </w:pPr>
    </w:lvl>
    <w:lvl w:ilvl="5" w:tplc="88D864DE" w:tentative="1">
      <w:start w:val="1"/>
      <w:numFmt w:val="lowerRoman"/>
      <w:lvlText w:val="%6."/>
      <w:lvlJc w:val="right"/>
      <w:pPr>
        <w:tabs>
          <w:tab w:val="num" w:pos="4320"/>
        </w:tabs>
        <w:ind w:left="4320" w:hanging="180"/>
      </w:pPr>
    </w:lvl>
    <w:lvl w:ilvl="6" w:tplc="3646779E" w:tentative="1">
      <w:start w:val="1"/>
      <w:numFmt w:val="decimal"/>
      <w:lvlText w:val="%7."/>
      <w:lvlJc w:val="left"/>
      <w:pPr>
        <w:tabs>
          <w:tab w:val="num" w:pos="5040"/>
        </w:tabs>
        <w:ind w:left="5040" w:hanging="360"/>
      </w:pPr>
    </w:lvl>
    <w:lvl w:ilvl="7" w:tplc="8F0C36F6" w:tentative="1">
      <w:start w:val="1"/>
      <w:numFmt w:val="lowerLetter"/>
      <w:lvlText w:val="%8."/>
      <w:lvlJc w:val="left"/>
      <w:pPr>
        <w:tabs>
          <w:tab w:val="num" w:pos="5760"/>
        </w:tabs>
        <w:ind w:left="5760" w:hanging="360"/>
      </w:pPr>
    </w:lvl>
    <w:lvl w:ilvl="8" w:tplc="0400E484" w:tentative="1">
      <w:start w:val="1"/>
      <w:numFmt w:val="lowerRoman"/>
      <w:lvlText w:val="%9."/>
      <w:lvlJc w:val="right"/>
      <w:pPr>
        <w:tabs>
          <w:tab w:val="num" w:pos="6480"/>
        </w:tabs>
        <w:ind w:left="6480" w:hanging="180"/>
      </w:pPr>
    </w:lvl>
  </w:abstractNum>
  <w:abstractNum w:abstractNumId="18">
    <w:nsid w:val="40E674F5"/>
    <w:multiLevelType w:val="hybridMultilevel"/>
    <w:tmpl w:val="7B5C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D5C76"/>
    <w:multiLevelType w:val="hybridMultilevel"/>
    <w:tmpl w:val="54E0A3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8A5A39"/>
    <w:multiLevelType w:val="hybridMultilevel"/>
    <w:tmpl w:val="D5AA8950"/>
    <w:lvl w:ilvl="0" w:tplc="0409000F">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2">
    <w:nsid w:val="65E60751"/>
    <w:multiLevelType w:val="hybridMultilevel"/>
    <w:tmpl w:val="E2D4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24">
    <w:nsid w:val="78300D06"/>
    <w:multiLevelType w:val="hybridMultilevel"/>
    <w:tmpl w:val="D626E800"/>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nsid w:val="783F4B0A"/>
    <w:multiLevelType w:val="singleLevel"/>
    <w:tmpl w:val="0409000F"/>
    <w:lvl w:ilvl="0">
      <w:start w:val="1"/>
      <w:numFmt w:val="decimal"/>
      <w:lvlText w:val="%1."/>
      <w:lvlJc w:val="left"/>
      <w:pPr>
        <w:tabs>
          <w:tab w:val="num" w:pos="360"/>
        </w:tabs>
        <w:ind w:left="360" w:hanging="360"/>
      </w:pPr>
    </w:lvl>
  </w:abstractNum>
  <w:abstractNum w:abstractNumId="26">
    <w:nsid w:val="7D086A48"/>
    <w:multiLevelType w:val="hybridMultilevel"/>
    <w:tmpl w:val="3C8E7292"/>
    <w:lvl w:ilvl="0" w:tplc="8B62A060">
      <w:start w:val="2"/>
      <w:numFmt w:val="decimal"/>
      <w:lvlText w:val="%1."/>
      <w:lvlJc w:val="left"/>
      <w:pPr>
        <w:tabs>
          <w:tab w:val="num" w:pos="720"/>
        </w:tabs>
        <w:ind w:left="720" w:hanging="360"/>
      </w:pPr>
      <w:rPr>
        <w:rFonts w:hint="default"/>
      </w:rPr>
    </w:lvl>
    <w:lvl w:ilvl="1" w:tplc="1A48AD74" w:tentative="1">
      <w:start w:val="1"/>
      <w:numFmt w:val="lowerLetter"/>
      <w:lvlText w:val="%2."/>
      <w:lvlJc w:val="left"/>
      <w:pPr>
        <w:tabs>
          <w:tab w:val="num" w:pos="1440"/>
        </w:tabs>
        <w:ind w:left="1440" w:hanging="360"/>
      </w:pPr>
    </w:lvl>
    <w:lvl w:ilvl="2" w:tplc="C846AB32" w:tentative="1">
      <w:start w:val="1"/>
      <w:numFmt w:val="lowerRoman"/>
      <w:lvlText w:val="%3."/>
      <w:lvlJc w:val="right"/>
      <w:pPr>
        <w:tabs>
          <w:tab w:val="num" w:pos="2160"/>
        </w:tabs>
        <w:ind w:left="2160" w:hanging="180"/>
      </w:pPr>
    </w:lvl>
    <w:lvl w:ilvl="3" w:tplc="2842D9D2" w:tentative="1">
      <w:start w:val="1"/>
      <w:numFmt w:val="decimal"/>
      <w:lvlText w:val="%4."/>
      <w:lvlJc w:val="left"/>
      <w:pPr>
        <w:tabs>
          <w:tab w:val="num" w:pos="2880"/>
        </w:tabs>
        <w:ind w:left="2880" w:hanging="360"/>
      </w:pPr>
    </w:lvl>
    <w:lvl w:ilvl="4" w:tplc="C6F643EC" w:tentative="1">
      <w:start w:val="1"/>
      <w:numFmt w:val="lowerLetter"/>
      <w:lvlText w:val="%5."/>
      <w:lvlJc w:val="left"/>
      <w:pPr>
        <w:tabs>
          <w:tab w:val="num" w:pos="3600"/>
        </w:tabs>
        <w:ind w:left="3600" w:hanging="360"/>
      </w:pPr>
    </w:lvl>
    <w:lvl w:ilvl="5" w:tplc="066A5422" w:tentative="1">
      <w:start w:val="1"/>
      <w:numFmt w:val="lowerRoman"/>
      <w:lvlText w:val="%6."/>
      <w:lvlJc w:val="right"/>
      <w:pPr>
        <w:tabs>
          <w:tab w:val="num" w:pos="4320"/>
        </w:tabs>
        <w:ind w:left="4320" w:hanging="180"/>
      </w:pPr>
    </w:lvl>
    <w:lvl w:ilvl="6" w:tplc="05DC4C64" w:tentative="1">
      <w:start w:val="1"/>
      <w:numFmt w:val="decimal"/>
      <w:lvlText w:val="%7."/>
      <w:lvlJc w:val="left"/>
      <w:pPr>
        <w:tabs>
          <w:tab w:val="num" w:pos="5040"/>
        </w:tabs>
        <w:ind w:left="5040" w:hanging="360"/>
      </w:pPr>
    </w:lvl>
    <w:lvl w:ilvl="7" w:tplc="0AE41D7C" w:tentative="1">
      <w:start w:val="1"/>
      <w:numFmt w:val="lowerLetter"/>
      <w:lvlText w:val="%8."/>
      <w:lvlJc w:val="left"/>
      <w:pPr>
        <w:tabs>
          <w:tab w:val="num" w:pos="5760"/>
        </w:tabs>
        <w:ind w:left="5760" w:hanging="360"/>
      </w:pPr>
    </w:lvl>
    <w:lvl w:ilvl="8" w:tplc="711CD93E"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
  </w:num>
  <w:num w:numId="4">
    <w:abstractNumId w:val="21"/>
  </w:num>
  <w:num w:numId="5">
    <w:abstractNumId w:val="6"/>
  </w:num>
  <w:num w:numId="6">
    <w:abstractNumId w:val="23"/>
  </w:num>
  <w:num w:numId="7">
    <w:abstractNumId w:val="13"/>
  </w:num>
  <w:num w:numId="8">
    <w:abstractNumId w:val="17"/>
  </w:num>
  <w:num w:numId="9">
    <w:abstractNumId w:val="15"/>
  </w:num>
  <w:num w:numId="10">
    <w:abstractNumId w:val="12"/>
  </w:num>
  <w:num w:numId="11">
    <w:abstractNumId w:val="26"/>
  </w:num>
  <w:num w:numId="12">
    <w:abstractNumId w:val="9"/>
  </w:num>
  <w:num w:numId="13">
    <w:abstractNumId w:val="14"/>
  </w:num>
  <w:num w:numId="14">
    <w:abstractNumId w:val="20"/>
  </w:num>
  <w:num w:numId="15">
    <w:abstractNumId w:val="25"/>
  </w:num>
  <w:num w:numId="16">
    <w:abstractNumId w:val="5"/>
  </w:num>
  <w:num w:numId="17">
    <w:abstractNumId w:val="8"/>
  </w:num>
  <w:num w:numId="18">
    <w:abstractNumId w:val="16"/>
  </w:num>
  <w:num w:numId="19">
    <w:abstractNumId w:val="19"/>
  </w:num>
  <w:num w:numId="20">
    <w:abstractNumId w:val="7"/>
  </w:num>
  <w:num w:numId="21">
    <w:abstractNumId w:val="11"/>
  </w:num>
  <w:num w:numId="22">
    <w:abstractNumId w:val="24"/>
  </w:num>
  <w:num w:numId="23">
    <w:abstractNumId w:val="0"/>
  </w:num>
  <w:num w:numId="24">
    <w:abstractNumId w:val="18"/>
  </w:num>
  <w:num w:numId="25">
    <w:abstractNumId w:val="2"/>
  </w:num>
  <w:num w:numId="26">
    <w:abstractNumId w:val="3"/>
  </w:num>
  <w:num w:numId="27">
    <w:abstractNumId w:val="22"/>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64205"/>
    <w:rsid w:val="00003CD7"/>
    <w:rsid w:val="00027E75"/>
    <w:rsid w:val="0007412B"/>
    <w:rsid w:val="00074D55"/>
    <w:rsid w:val="000824AA"/>
    <w:rsid w:val="000A7BEE"/>
    <w:rsid w:val="000C28E2"/>
    <w:rsid w:val="000C3E55"/>
    <w:rsid w:val="000C6647"/>
    <w:rsid w:val="0011263E"/>
    <w:rsid w:val="00112F34"/>
    <w:rsid w:val="001238A5"/>
    <w:rsid w:val="00131BF6"/>
    <w:rsid w:val="001331D7"/>
    <w:rsid w:val="00141E27"/>
    <w:rsid w:val="00143E80"/>
    <w:rsid w:val="001505E9"/>
    <w:rsid w:val="00152A37"/>
    <w:rsid w:val="001555A6"/>
    <w:rsid w:val="001625A7"/>
    <w:rsid w:val="00164523"/>
    <w:rsid w:val="00166C11"/>
    <w:rsid w:val="00171831"/>
    <w:rsid w:val="00176A53"/>
    <w:rsid w:val="00182CEE"/>
    <w:rsid w:val="00182D6E"/>
    <w:rsid w:val="00184E69"/>
    <w:rsid w:val="00195CC1"/>
    <w:rsid w:val="001A4404"/>
    <w:rsid w:val="001B1DEF"/>
    <w:rsid w:val="001C14F0"/>
    <w:rsid w:val="001C28D3"/>
    <w:rsid w:val="001C3758"/>
    <w:rsid w:val="001D286D"/>
    <w:rsid w:val="001E20E2"/>
    <w:rsid w:val="001E2DE1"/>
    <w:rsid w:val="00241D14"/>
    <w:rsid w:val="00245161"/>
    <w:rsid w:val="00245DA8"/>
    <w:rsid w:val="0025256F"/>
    <w:rsid w:val="002820AF"/>
    <w:rsid w:val="0029019C"/>
    <w:rsid w:val="00292089"/>
    <w:rsid w:val="00292F51"/>
    <w:rsid w:val="002C1D66"/>
    <w:rsid w:val="002C55F7"/>
    <w:rsid w:val="002F4A1F"/>
    <w:rsid w:val="002F506D"/>
    <w:rsid w:val="002F792B"/>
    <w:rsid w:val="003073AA"/>
    <w:rsid w:val="00321BF5"/>
    <w:rsid w:val="003225A9"/>
    <w:rsid w:val="00323644"/>
    <w:rsid w:val="00332E09"/>
    <w:rsid w:val="00346490"/>
    <w:rsid w:val="003504FD"/>
    <w:rsid w:val="00354C81"/>
    <w:rsid w:val="003619D8"/>
    <w:rsid w:val="003838E9"/>
    <w:rsid w:val="00393D1A"/>
    <w:rsid w:val="00394507"/>
    <w:rsid w:val="00396412"/>
    <w:rsid w:val="003E441F"/>
    <w:rsid w:val="003F0610"/>
    <w:rsid w:val="004059F3"/>
    <w:rsid w:val="00412F85"/>
    <w:rsid w:val="00415629"/>
    <w:rsid w:val="0043434C"/>
    <w:rsid w:val="0044166E"/>
    <w:rsid w:val="0045236F"/>
    <w:rsid w:val="00453FC7"/>
    <w:rsid w:val="00454099"/>
    <w:rsid w:val="00455220"/>
    <w:rsid w:val="00456E26"/>
    <w:rsid w:val="0046374C"/>
    <w:rsid w:val="004759E2"/>
    <w:rsid w:val="00476B9A"/>
    <w:rsid w:val="00486D52"/>
    <w:rsid w:val="00487410"/>
    <w:rsid w:val="0049441A"/>
    <w:rsid w:val="004A0F0F"/>
    <w:rsid w:val="004A43EA"/>
    <w:rsid w:val="004B25B0"/>
    <w:rsid w:val="004B3628"/>
    <w:rsid w:val="004B4F55"/>
    <w:rsid w:val="004B6CB1"/>
    <w:rsid w:val="004D524A"/>
    <w:rsid w:val="0051476E"/>
    <w:rsid w:val="00517A96"/>
    <w:rsid w:val="00530978"/>
    <w:rsid w:val="00532839"/>
    <w:rsid w:val="00532C6E"/>
    <w:rsid w:val="0053425E"/>
    <w:rsid w:val="00536CD1"/>
    <w:rsid w:val="00536FAD"/>
    <w:rsid w:val="00555530"/>
    <w:rsid w:val="00557124"/>
    <w:rsid w:val="00561BCE"/>
    <w:rsid w:val="005904F1"/>
    <w:rsid w:val="00597653"/>
    <w:rsid w:val="005A0C89"/>
    <w:rsid w:val="005A58A6"/>
    <w:rsid w:val="005B00B5"/>
    <w:rsid w:val="005B7B29"/>
    <w:rsid w:val="005C1FDA"/>
    <w:rsid w:val="005D1633"/>
    <w:rsid w:val="005D79C6"/>
    <w:rsid w:val="005E071C"/>
    <w:rsid w:val="005E3AB7"/>
    <w:rsid w:val="005E76C0"/>
    <w:rsid w:val="00604EBA"/>
    <w:rsid w:val="006065C6"/>
    <w:rsid w:val="00611BF7"/>
    <w:rsid w:val="00611DCD"/>
    <w:rsid w:val="006208BF"/>
    <w:rsid w:val="006230A3"/>
    <w:rsid w:val="00634858"/>
    <w:rsid w:val="00642661"/>
    <w:rsid w:val="006544AE"/>
    <w:rsid w:val="0067196A"/>
    <w:rsid w:val="006719FC"/>
    <w:rsid w:val="0067216F"/>
    <w:rsid w:val="0067226E"/>
    <w:rsid w:val="006826B1"/>
    <w:rsid w:val="00683592"/>
    <w:rsid w:val="00685673"/>
    <w:rsid w:val="00696B44"/>
    <w:rsid w:val="006A351B"/>
    <w:rsid w:val="006B1C30"/>
    <w:rsid w:val="006B23E6"/>
    <w:rsid w:val="006B38DE"/>
    <w:rsid w:val="006B7AD1"/>
    <w:rsid w:val="006C3A0C"/>
    <w:rsid w:val="006D170C"/>
    <w:rsid w:val="006D455B"/>
    <w:rsid w:val="007158CE"/>
    <w:rsid w:val="007221F9"/>
    <w:rsid w:val="00724349"/>
    <w:rsid w:val="00731067"/>
    <w:rsid w:val="0073443E"/>
    <w:rsid w:val="00754EB7"/>
    <w:rsid w:val="00760BBB"/>
    <w:rsid w:val="00780DBF"/>
    <w:rsid w:val="00794459"/>
    <w:rsid w:val="007A7DAD"/>
    <w:rsid w:val="007B2A93"/>
    <w:rsid w:val="007D1DE7"/>
    <w:rsid w:val="007D4E6A"/>
    <w:rsid w:val="007D743F"/>
    <w:rsid w:val="007E0A71"/>
    <w:rsid w:val="007E34E3"/>
    <w:rsid w:val="007E440C"/>
    <w:rsid w:val="007F1308"/>
    <w:rsid w:val="007F1708"/>
    <w:rsid w:val="007F740B"/>
    <w:rsid w:val="008001A5"/>
    <w:rsid w:val="00810565"/>
    <w:rsid w:val="00814DC9"/>
    <w:rsid w:val="008223AC"/>
    <w:rsid w:val="008461EB"/>
    <w:rsid w:val="008503C4"/>
    <w:rsid w:val="008520CE"/>
    <w:rsid w:val="0085764E"/>
    <w:rsid w:val="00857D53"/>
    <w:rsid w:val="00860BD0"/>
    <w:rsid w:val="008627E6"/>
    <w:rsid w:val="00865C98"/>
    <w:rsid w:val="00870166"/>
    <w:rsid w:val="008725C4"/>
    <w:rsid w:val="00887E3F"/>
    <w:rsid w:val="00891B91"/>
    <w:rsid w:val="008962F7"/>
    <w:rsid w:val="008A0477"/>
    <w:rsid w:val="008A45D2"/>
    <w:rsid w:val="008A6330"/>
    <w:rsid w:val="008B3943"/>
    <w:rsid w:val="008C5353"/>
    <w:rsid w:val="008D1BC0"/>
    <w:rsid w:val="008E2B3F"/>
    <w:rsid w:val="008F0BB5"/>
    <w:rsid w:val="008F7DAF"/>
    <w:rsid w:val="00907F0F"/>
    <w:rsid w:val="009270C4"/>
    <w:rsid w:val="00927357"/>
    <w:rsid w:val="00943D01"/>
    <w:rsid w:val="0094433E"/>
    <w:rsid w:val="0094615F"/>
    <w:rsid w:val="00955AAF"/>
    <w:rsid w:val="009576B2"/>
    <w:rsid w:val="009607B0"/>
    <w:rsid w:val="0096298D"/>
    <w:rsid w:val="00972502"/>
    <w:rsid w:val="00976955"/>
    <w:rsid w:val="00985E99"/>
    <w:rsid w:val="00991C26"/>
    <w:rsid w:val="00992169"/>
    <w:rsid w:val="009A29E7"/>
    <w:rsid w:val="009B38B7"/>
    <w:rsid w:val="009B4751"/>
    <w:rsid w:val="009B7A43"/>
    <w:rsid w:val="009C2A03"/>
    <w:rsid w:val="009E3738"/>
    <w:rsid w:val="00A01065"/>
    <w:rsid w:val="00A017A1"/>
    <w:rsid w:val="00A05232"/>
    <w:rsid w:val="00A1519E"/>
    <w:rsid w:val="00A15631"/>
    <w:rsid w:val="00A22BF0"/>
    <w:rsid w:val="00A320CA"/>
    <w:rsid w:val="00A54953"/>
    <w:rsid w:val="00A56C97"/>
    <w:rsid w:val="00A72CDF"/>
    <w:rsid w:val="00A83537"/>
    <w:rsid w:val="00A86F1E"/>
    <w:rsid w:val="00AD606F"/>
    <w:rsid w:val="00AE16B6"/>
    <w:rsid w:val="00AE3110"/>
    <w:rsid w:val="00AE5A63"/>
    <w:rsid w:val="00B04639"/>
    <w:rsid w:val="00B11236"/>
    <w:rsid w:val="00B21980"/>
    <w:rsid w:val="00B6122B"/>
    <w:rsid w:val="00B6256F"/>
    <w:rsid w:val="00B6497F"/>
    <w:rsid w:val="00B662D5"/>
    <w:rsid w:val="00B70743"/>
    <w:rsid w:val="00B71691"/>
    <w:rsid w:val="00B93E07"/>
    <w:rsid w:val="00BC047C"/>
    <w:rsid w:val="00BC5826"/>
    <w:rsid w:val="00BD17E1"/>
    <w:rsid w:val="00BD31BE"/>
    <w:rsid w:val="00BE5F43"/>
    <w:rsid w:val="00BE7C61"/>
    <w:rsid w:val="00BF7841"/>
    <w:rsid w:val="00C05C0E"/>
    <w:rsid w:val="00C05F98"/>
    <w:rsid w:val="00C10D59"/>
    <w:rsid w:val="00C122E2"/>
    <w:rsid w:val="00C1282A"/>
    <w:rsid w:val="00C2551D"/>
    <w:rsid w:val="00C333A5"/>
    <w:rsid w:val="00C426F8"/>
    <w:rsid w:val="00C43585"/>
    <w:rsid w:val="00C647BF"/>
    <w:rsid w:val="00C71AA1"/>
    <w:rsid w:val="00CA122A"/>
    <w:rsid w:val="00CA6D4C"/>
    <w:rsid w:val="00CB391B"/>
    <w:rsid w:val="00CE26C1"/>
    <w:rsid w:val="00CE526C"/>
    <w:rsid w:val="00CF14A5"/>
    <w:rsid w:val="00D00043"/>
    <w:rsid w:val="00D04520"/>
    <w:rsid w:val="00D10573"/>
    <w:rsid w:val="00D1269C"/>
    <w:rsid w:val="00D22FF3"/>
    <w:rsid w:val="00D4139E"/>
    <w:rsid w:val="00D47ACA"/>
    <w:rsid w:val="00D52F96"/>
    <w:rsid w:val="00D638C6"/>
    <w:rsid w:val="00D64205"/>
    <w:rsid w:val="00D84CE8"/>
    <w:rsid w:val="00D9440B"/>
    <w:rsid w:val="00DA287C"/>
    <w:rsid w:val="00DB3AB9"/>
    <w:rsid w:val="00DC6F60"/>
    <w:rsid w:val="00DD0F5C"/>
    <w:rsid w:val="00DD4B70"/>
    <w:rsid w:val="00DE18C5"/>
    <w:rsid w:val="00DE46C5"/>
    <w:rsid w:val="00DF105D"/>
    <w:rsid w:val="00DF194F"/>
    <w:rsid w:val="00DF1AF0"/>
    <w:rsid w:val="00DF1E60"/>
    <w:rsid w:val="00DF6581"/>
    <w:rsid w:val="00E02C52"/>
    <w:rsid w:val="00E11879"/>
    <w:rsid w:val="00E1530D"/>
    <w:rsid w:val="00E376D0"/>
    <w:rsid w:val="00E44A96"/>
    <w:rsid w:val="00E504D9"/>
    <w:rsid w:val="00E50962"/>
    <w:rsid w:val="00E60A90"/>
    <w:rsid w:val="00E805CF"/>
    <w:rsid w:val="00E87E2A"/>
    <w:rsid w:val="00E9015A"/>
    <w:rsid w:val="00EA448E"/>
    <w:rsid w:val="00EA5D7C"/>
    <w:rsid w:val="00EB362C"/>
    <w:rsid w:val="00EC4250"/>
    <w:rsid w:val="00EC56DF"/>
    <w:rsid w:val="00EC60CE"/>
    <w:rsid w:val="00EF68A3"/>
    <w:rsid w:val="00F018E5"/>
    <w:rsid w:val="00F019BC"/>
    <w:rsid w:val="00F153AD"/>
    <w:rsid w:val="00F3460E"/>
    <w:rsid w:val="00F37CD3"/>
    <w:rsid w:val="00F427F0"/>
    <w:rsid w:val="00F44C6B"/>
    <w:rsid w:val="00F44ECD"/>
    <w:rsid w:val="00F44F04"/>
    <w:rsid w:val="00F50009"/>
    <w:rsid w:val="00F52988"/>
    <w:rsid w:val="00F54563"/>
    <w:rsid w:val="00F64523"/>
    <w:rsid w:val="00F65920"/>
    <w:rsid w:val="00F71C8F"/>
    <w:rsid w:val="00F72E47"/>
    <w:rsid w:val="00F87387"/>
    <w:rsid w:val="00F90C94"/>
    <w:rsid w:val="00FC02CE"/>
    <w:rsid w:val="00FC1557"/>
    <w:rsid w:val="00FC3435"/>
    <w:rsid w:val="00FC4C16"/>
    <w:rsid w:val="00FC5339"/>
    <w:rsid w:val="00FD03C5"/>
    <w:rsid w:val="00FD0930"/>
    <w:rsid w:val="00FE2C1D"/>
    <w:rsid w:val="00FE2E2D"/>
    <w:rsid w:val="00FF4402"/>
    <w:rsid w:val="00FF6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ostalCod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F96"/>
    <w:rPr>
      <w:sz w:val="22"/>
    </w:rPr>
  </w:style>
  <w:style w:type="paragraph" w:styleId="Heading1">
    <w:name w:val="heading 1"/>
    <w:basedOn w:val="Normal"/>
    <w:next w:val="Normal"/>
    <w:qFormat/>
    <w:rsid w:val="00F37CD3"/>
    <w:pPr>
      <w:keepNext/>
      <w:outlineLvl w:val="0"/>
    </w:pPr>
    <w:rPr>
      <w:b/>
      <w:sz w:val="20"/>
    </w:rPr>
  </w:style>
  <w:style w:type="paragraph" w:styleId="Heading2">
    <w:name w:val="heading 2"/>
    <w:basedOn w:val="Normal"/>
    <w:next w:val="Normal"/>
    <w:qFormat/>
    <w:rsid w:val="00F37CD3"/>
    <w:pPr>
      <w:keepNext/>
      <w:outlineLvl w:val="1"/>
    </w:pPr>
    <w:rPr>
      <w:rFonts w:ascii="Tahoma" w:hAnsi="Tahoma"/>
      <w:b/>
      <w:i/>
    </w:rPr>
  </w:style>
  <w:style w:type="paragraph" w:styleId="Heading3">
    <w:name w:val="heading 3"/>
    <w:basedOn w:val="Normal"/>
    <w:next w:val="Normal"/>
    <w:qFormat/>
    <w:rsid w:val="00F37CD3"/>
    <w:pPr>
      <w:keepNext/>
      <w:spacing w:before="240" w:after="60"/>
      <w:outlineLvl w:val="2"/>
    </w:pPr>
    <w:rPr>
      <w:rFonts w:ascii="Arial" w:hAnsi="Arial"/>
      <w:sz w:val="24"/>
    </w:rPr>
  </w:style>
  <w:style w:type="paragraph" w:styleId="Heading4">
    <w:name w:val="heading 4"/>
    <w:basedOn w:val="Normal"/>
    <w:next w:val="Normal"/>
    <w:qFormat/>
    <w:rsid w:val="00F37CD3"/>
    <w:pPr>
      <w:keepNext/>
      <w:spacing w:before="240" w:after="60"/>
      <w:outlineLvl w:val="3"/>
    </w:pPr>
    <w:rPr>
      <w:rFonts w:ascii="Arial" w:hAnsi="Arial"/>
      <w:b/>
      <w:i/>
      <w:sz w:val="20"/>
    </w:rPr>
  </w:style>
  <w:style w:type="paragraph" w:styleId="Heading5">
    <w:name w:val="heading 5"/>
    <w:basedOn w:val="Normal"/>
    <w:next w:val="Normal"/>
    <w:qFormat/>
    <w:rsid w:val="00F37CD3"/>
    <w:pPr>
      <w:keepNext/>
      <w:outlineLvl w:val="4"/>
    </w:pPr>
    <w:rPr>
      <w:b/>
    </w:rPr>
  </w:style>
  <w:style w:type="paragraph" w:styleId="Heading6">
    <w:name w:val="heading 6"/>
    <w:basedOn w:val="Normal"/>
    <w:next w:val="Normal"/>
    <w:qFormat/>
    <w:rsid w:val="00F37CD3"/>
    <w:pPr>
      <w:keepNext/>
      <w:jc w:val="center"/>
      <w:outlineLvl w:val="5"/>
    </w:pPr>
    <w:rPr>
      <w:rFonts w:ascii="Arial" w:hAnsi="Arial"/>
      <w:i/>
    </w:rPr>
  </w:style>
  <w:style w:type="paragraph" w:styleId="Heading7">
    <w:name w:val="heading 7"/>
    <w:basedOn w:val="Normal"/>
    <w:next w:val="Normal"/>
    <w:qFormat/>
    <w:rsid w:val="00F37CD3"/>
    <w:pPr>
      <w:keepNext/>
      <w:outlineLvl w:val="6"/>
    </w:pPr>
    <w:rPr>
      <w:rFonts w:ascii="Arial" w:hAnsi="Arial" w:cs="Arial"/>
      <w:sz w:val="20"/>
      <w:szCs w:val="24"/>
      <w:u w:val="single"/>
    </w:rPr>
  </w:style>
  <w:style w:type="paragraph" w:styleId="Heading8">
    <w:name w:val="heading 8"/>
    <w:basedOn w:val="Normal"/>
    <w:next w:val="Normal"/>
    <w:qFormat/>
    <w:rsid w:val="00F37CD3"/>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7CD3"/>
    <w:pPr>
      <w:tabs>
        <w:tab w:val="center" w:pos="4320"/>
        <w:tab w:val="right" w:pos="8640"/>
      </w:tabs>
    </w:pPr>
  </w:style>
  <w:style w:type="paragraph" w:styleId="Footer">
    <w:name w:val="footer"/>
    <w:basedOn w:val="Normal"/>
    <w:rsid w:val="00F37CD3"/>
    <w:pPr>
      <w:tabs>
        <w:tab w:val="center" w:pos="4320"/>
        <w:tab w:val="right" w:pos="8640"/>
      </w:tabs>
    </w:pPr>
  </w:style>
  <w:style w:type="paragraph" w:customStyle="1" w:styleId="Dashlevel1">
    <w:name w:val="Dash level 1"/>
    <w:basedOn w:val="Normal"/>
    <w:rsid w:val="00F37CD3"/>
    <w:pPr>
      <w:numPr>
        <w:numId w:val="1"/>
      </w:numPr>
      <w:spacing w:after="60"/>
      <w:ind w:left="1080"/>
    </w:pPr>
  </w:style>
  <w:style w:type="paragraph" w:customStyle="1" w:styleId="ListBullet1">
    <w:name w:val="List Bullet 1"/>
    <w:basedOn w:val="Normal"/>
    <w:rsid w:val="00F37CD3"/>
    <w:pPr>
      <w:numPr>
        <w:numId w:val="2"/>
      </w:numPr>
      <w:spacing w:before="60" w:after="60"/>
      <w:ind w:left="720"/>
    </w:pPr>
  </w:style>
  <w:style w:type="paragraph" w:customStyle="1" w:styleId="Dashlevel2">
    <w:name w:val="Dash level 2"/>
    <w:basedOn w:val="Dashlevel1"/>
    <w:rsid w:val="00F37CD3"/>
    <w:pPr>
      <w:numPr>
        <w:numId w:val="3"/>
      </w:numPr>
      <w:ind w:left="1440"/>
    </w:pPr>
  </w:style>
  <w:style w:type="paragraph" w:styleId="BodyText">
    <w:name w:val="Body Text"/>
    <w:basedOn w:val="Normal"/>
    <w:rsid w:val="00F37CD3"/>
    <w:pPr>
      <w:ind w:left="360"/>
    </w:pPr>
  </w:style>
  <w:style w:type="paragraph" w:customStyle="1" w:styleId="NumberedSteps">
    <w:name w:val="Numbered Steps"/>
    <w:basedOn w:val="Normal"/>
    <w:rsid w:val="00F37CD3"/>
    <w:pPr>
      <w:numPr>
        <w:numId w:val="7"/>
      </w:numPr>
    </w:pPr>
  </w:style>
  <w:style w:type="paragraph" w:styleId="ListBullet">
    <w:name w:val="List Bullet"/>
    <w:basedOn w:val="Normal"/>
    <w:rsid w:val="00F37CD3"/>
    <w:pPr>
      <w:numPr>
        <w:numId w:val="5"/>
      </w:numPr>
    </w:pPr>
  </w:style>
  <w:style w:type="paragraph" w:styleId="ListBullet2">
    <w:name w:val="List Bullet 2"/>
    <w:basedOn w:val="Normal"/>
    <w:autoRedefine/>
    <w:rsid w:val="00F37CD3"/>
    <w:pPr>
      <w:numPr>
        <w:numId w:val="4"/>
      </w:numPr>
    </w:pPr>
  </w:style>
  <w:style w:type="paragraph" w:styleId="BodyTextIndent">
    <w:name w:val="Body Text Indent"/>
    <w:basedOn w:val="Normal"/>
    <w:rsid w:val="00F37CD3"/>
    <w:pPr>
      <w:ind w:left="720"/>
    </w:pPr>
  </w:style>
  <w:style w:type="paragraph" w:customStyle="1" w:styleId="Bullet2">
    <w:name w:val="Bullet 2"/>
    <w:basedOn w:val="Normal"/>
    <w:rsid w:val="00F37CD3"/>
    <w:pPr>
      <w:numPr>
        <w:numId w:val="6"/>
      </w:numPr>
    </w:pPr>
  </w:style>
  <w:style w:type="character" w:styleId="Hyperlink">
    <w:name w:val="Hyperlink"/>
    <w:basedOn w:val="DefaultParagraphFont"/>
    <w:rsid w:val="00F37CD3"/>
    <w:rPr>
      <w:color w:val="0000FF"/>
      <w:u w:val="single"/>
    </w:rPr>
  </w:style>
  <w:style w:type="character" w:customStyle="1" w:styleId="BoxText">
    <w:name w:val="Box Text"/>
    <w:basedOn w:val="DefaultParagraphFont"/>
    <w:rsid w:val="00F37CD3"/>
    <w:rPr>
      <w:rFonts w:ascii="Arial" w:hAnsi="Arial"/>
      <w:sz w:val="20"/>
    </w:rPr>
  </w:style>
  <w:style w:type="paragraph" w:customStyle="1" w:styleId="TableText">
    <w:name w:val="Table Text"/>
    <w:basedOn w:val="Normal"/>
    <w:rsid w:val="00F37CD3"/>
    <w:pPr>
      <w:spacing w:before="60" w:after="60"/>
    </w:pPr>
    <w:rPr>
      <w:rFonts w:ascii="Arial" w:hAnsi="Arial"/>
      <w:sz w:val="18"/>
    </w:rPr>
  </w:style>
  <w:style w:type="character" w:customStyle="1" w:styleId="Exhibit">
    <w:name w:val="Exhibit"/>
    <w:basedOn w:val="DefaultParagraphFont"/>
    <w:rsid w:val="00F37CD3"/>
    <w:rPr>
      <w:rFonts w:ascii="Arial" w:hAnsi="Arial"/>
      <w:b/>
      <w:sz w:val="22"/>
      <w:szCs w:val="24"/>
    </w:rPr>
  </w:style>
  <w:style w:type="paragraph" w:customStyle="1" w:styleId="NormalNERC">
    <w:name w:val="Normal NERC"/>
    <w:basedOn w:val="Normal"/>
    <w:autoRedefine/>
    <w:rsid w:val="00F37CD3"/>
    <w:pPr>
      <w:autoSpaceDE w:val="0"/>
      <w:autoSpaceDN w:val="0"/>
      <w:adjustRightInd w:val="0"/>
      <w:ind w:firstLine="360"/>
    </w:pPr>
    <w:rPr>
      <w:rFonts w:ascii="Arial" w:hAnsi="Arial"/>
      <w:sz w:val="20"/>
    </w:rPr>
  </w:style>
  <w:style w:type="paragraph" w:styleId="BodyText2">
    <w:name w:val="Body Text 2"/>
    <w:basedOn w:val="Normal"/>
    <w:rsid w:val="00F37CD3"/>
    <w:pPr>
      <w:spacing w:before="120"/>
    </w:pPr>
    <w:rPr>
      <w:i/>
      <w:color w:val="0000FF"/>
      <w:sz w:val="24"/>
    </w:rPr>
  </w:style>
  <w:style w:type="character" w:styleId="FollowedHyperlink">
    <w:name w:val="FollowedHyperlink"/>
    <w:basedOn w:val="DefaultParagraphFont"/>
    <w:rsid w:val="00F37CD3"/>
    <w:rPr>
      <w:color w:val="800080"/>
      <w:u w:val="single"/>
    </w:rPr>
  </w:style>
  <w:style w:type="paragraph" w:customStyle="1" w:styleId="Bullet3">
    <w:name w:val="Bullet 3"/>
    <w:basedOn w:val="Normal"/>
    <w:rsid w:val="00F37CD3"/>
    <w:pPr>
      <w:numPr>
        <w:numId w:val="10"/>
      </w:numPr>
    </w:pPr>
    <w:rPr>
      <w:szCs w:val="24"/>
    </w:rPr>
  </w:style>
  <w:style w:type="paragraph" w:customStyle="1" w:styleId="BoxBullet">
    <w:name w:val="Box Bullet"/>
    <w:basedOn w:val="Normal"/>
    <w:rsid w:val="00F37CD3"/>
    <w:pPr>
      <w:numPr>
        <w:numId w:val="9"/>
      </w:numPr>
    </w:pPr>
    <w:rPr>
      <w:sz w:val="24"/>
      <w:szCs w:val="24"/>
    </w:rPr>
  </w:style>
  <w:style w:type="paragraph" w:customStyle="1" w:styleId="NormalTimes">
    <w:name w:val="Normal Times"/>
    <w:basedOn w:val="Normal"/>
    <w:rsid w:val="00F37CD3"/>
    <w:pPr>
      <w:spacing w:after="240"/>
    </w:pPr>
    <w:rPr>
      <w:szCs w:val="24"/>
    </w:rPr>
  </w:style>
  <w:style w:type="character" w:styleId="CommentReference">
    <w:name w:val="annotation reference"/>
    <w:basedOn w:val="DefaultParagraphFont"/>
    <w:semiHidden/>
    <w:rsid w:val="00F37CD3"/>
    <w:rPr>
      <w:sz w:val="16"/>
      <w:szCs w:val="16"/>
    </w:rPr>
  </w:style>
  <w:style w:type="paragraph" w:styleId="CommentText">
    <w:name w:val="annotation text"/>
    <w:basedOn w:val="Normal"/>
    <w:semiHidden/>
    <w:rsid w:val="00F37CD3"/>
    <w:rPr>
      <w:sz w:val="20"/>
    </w:rPr>
  </w:style>
  <w:style w:type="paragraph" w:styleId="BalloonText">
    <w:name w:val="Balloon Text"/>
    <w:basedOn w:val="Normal"/>
    <w:semiHidden/>
    <w:rsid w:val="00F37CD3"/>
    <w:rPr>
      <w:rFonts w:ascii="Tahoma" w:hAnsi="Tahoma" w:cs="Tahoma"/>
      <w:sz w:val="16"/>
      <w:szCs w:val="16"/>
    </w:rPr>
  </w:style>
  <w:style w:type="paragraph" w:styleId="FootnoteText">
    <w:name w:val="footnote text"/>
    <w:basedOn w:val="Normal"/>
    <w:semiHidden/>
    <w:rsid w:val="00F37CD3"/>
    <w:pPr>
      <w:spacing w:after="240"/>
    </w:pPr>
    <w:rPr>
      <w:sz w:val="20"/>
    </w:rPr>
  </w:style>
  <w:style w:type="paragraph" w:customStyle="1" w:styleId="Normal0pt">
    <w:name w:val="Normal 0pt"/>
    <w:basedOn w:val="Normal"/>
    <w:next w:val="Normal"/>
    <w:rsid w:val="00F37CD3"/>
  </w:style>
  <w:style w:type="paragraph" w:customStyle="1" w:styleId="Bullet">
    <w:name w:val="Bullet"/>
    <w:basedOn w:val="Normal"/>
    <w:rsid w:val="00F37CD3"/>
    <w:pPr>
      <w:numPr>
        <w:numId w:val="13"/>
      </w:numPr>
      <w:spacing w:before="120"/>
    </w:pPr>
  </w:style>
  <w:style w:type="paragraph" w:customStyle="1" w:styleId="Section">
    <w:name w:val="Section"/>
    <w:basedOn w:val="Normal"/>
    <w:rsid w:val="006B1C30"/>
    <w:rPr>
      <w:sz w:val="24"/>
      <w:szCs w:val="24"/>
    </w:rPr>
  </w:style>
  <w:style w:type="paragraph" w:styleId="CommentSubject">
    <w:name w:val="annotation subject"/>
    <w:basedOn w:val="CommentText"/>
    <w:next w:val="CommentText"/>
    <w:semiHidden/>
    <w:rsid w:val="00171831"/>
    <w:rPr>
      <w:b/>
      <w:bCs/>
    </w:rPr>
  </w:style>
  <w:style w:type="paragraph" w:styleId="ListParagraph">
    <w:name w:val="List Paragraph"/>
    <w:basedOn w:val="Normal"/>
    <w:uiPriority w:val="34"/>
    <w:qFormat/>
    <w:rsid w:val="008A6330"/>
    <w:pPr>
      <w:ind w:left="720"/>
    </w:pPr>
  </w:style>
  <w:style w:type="paragraph" w:styleId="Revision">
    <w:name w:val="Revision"/>
    <w:hidden/>
    <w:uiPriority w:val="99"/>
    <w:semiHidden/>
    <w:rsid w:val="00321BF5"/>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dobrowolski@nerc.net"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5355F51C6124EB0EEF5AD82E147F4" ma:contentTypeVersion="0" ma:contentTypeDescription="Create a new document." ma:contentTypeScope="" ma:versionID="5900291bba0ae2648d9b7c514aac264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3007E08CD8D4641B7F1D4A554322006" ma:contentTypeVersion="26" ma:contentTypeDescription="Create a new document." ma:contentTypeScope="" ma:versionID="5fb16f3f29444f61057c13a773cd3158">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6B8DF-CF82-4210-8529-3EECDCAA2FCB}"/>
</file>

<file path=customXml/itemProps2.xml><?xml version="1.0" encoding="utf-8"?>
<ds:datastoreItem xmlns:ds="http://schemas.openxmlformats.org/officeDocument/2006/customXml" ds:itemID="{43631A5D-4569-4394-98E8-0A754EC89E7E}"/>
</file>

<file path=customXml/itemProps3.xml><?xml version="1.0" encoding="utf-8"?>
<ds:datastoreItem xmlns:ds="http://schemas.openxmlformats.org/officeDocument/2006/customXml" ds:itemID="{83C017FA-EA7D-4956-AEC7-BBB9484CF5E8}"/>
</file>

<file path=customXml/itemProps4.xml><?xml version="1.0" encoding="utf-8"?>
<ds:datastoreItem xmlns:ds="http://schemas.openxmlformats.org/officeDocument/2006/customXml" ds:itemID="{033DE7D0-C3DA-4AF2-8695-8B1866FAF9AE}"/>
</file>

<file path=docProps/app.xml><?xml version="1.0" encoding="utf-8"?>
<Properties xmlns="http://schemas.openxmlformats.org/officeDocument/2006/extended-properties" xmlns:vt="http://schemas.openxmlformats.org/officeDocument/2006/docPropsVTypes">
  <Template>Normal.dotm</Template>
  <TotalTime>5</TotalTime>
  <Pages>7</Pages>
  <Words>2517</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COMMENT FORM</vt:lpstr>
    </vt:vector>
  </TitlesOfParts>
  <Company>Long Consulting</Company>
  <LinksUpToDate>false</LinksUpToDate>
  <CharactersWithSpaces>16445</CharactersWithSpaces>
  <SharedDoc>false</SharedDoc>
  <HLinks>
    <vt:vector size="6" baseType="variant">
      <vt:variant>
        <vt:i4>1572965</vt:i4>
      </vt:variant>
      <vt:variant>
        <vt:i4>0</vt:i4>
      </vt:variant>
      <vt:variant>
        <vt:i4>0</vt:i4>
      </vt:variant>
      <vt:variant>
        <vt:i4>5</vt:i4>
      </vt:variant>
      <vt:variant>
        <vt:lpwstr>mailto:ed.dobrowolski@nerc.net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FORM</dc:title>
  <dc:subject/>
  <dc:creator>Maureen E Long</dc:creator>
  <cp:keywords/>
  <cp:lastModifiedBy>Monica Benson</cp:lastModifiedBy>
  <cp:revision>3</cp:revision>
  <cp:lastPrinted>2009-09-15T18:46:00Z</cp:lastPrinted>
  <dcterms:created xsi:type="dcterms:W3CDTF">2011-04-26T18:43:00Z</dcterms:created>
  <dcterms:modified xsi:type="dcterms:W3CDTF">2011-04-27T19:11:00Z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0x010100B3007E08CD8D4641B7F1D4A554322006</vt:lpwstr>
  </property>
  <property fmtid="{D5CDD505-2E9C-101B-9397-08002B2CF9AE}" pid="3" name="_dlc_DocIdItemGuid">
    <vt:lpwstr>b7483570-8982-4696-9e32-0de21c8b5868</vt:lpwstr>
  </property>
</Properties>
</file>