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Pr="00D933A3" w:rsidRDefault="006B79D6" w:rsidP="00D933A3">
      <w:pPr>
        <w:pStyle w:val="DocumentSubtitle"/>
      </w:pPr>
      <w:bookmarkStart w:id="0" w:name="_Toc195946480"/>
      <w:r w:rsidRPr="006B79D6">
        <w:t xml:space="preserve">Project </w:t>
      </w:r>
      <w:r w:rsidR="00F57C03">
        <w:t>2007-17.4</w:t>
      </w:r>
      <w:r w:rsidRPr="006B79D6">
        <w:t xml:space="preserve"> PRC-005 Order No. 803 Directives </w:t>
      </w:r>
    </w:p>
    <w:p w:rsidR="002F2BFE" w:rsidRDefault="002F2BFE" w:rsidP="00102A01">
      <w:pPr>
        <w:pStyle w:val="Heading1"/>
      </w:pPr>
    </w:p>
    <w:p w:rsidR="0073546A" w:rsidRPr="00D24289" w:rsidRDefault="0073546A" w:rsidP="0073546A">
      <w:bookmarkStart w:id="1" w:name="_Toc195946481"/>
      <w:bookmarkEnd w:id="0"/>
      <w:r w:rsidRPr="00D24289">
        <w:rPr>
          <w:b/>
          <w:color w:val="FF0000"/>
        </w:rPr>
        <w:t>DO NOT</w:t>
      </w:r>
      <w:r w:rsidRPr="00D24289">
        <w:t xml:space="preserve"> use this form for submitting comments.  </w:t>
      </w:r>
      <w:r w:rsidR="00051D24">
        <w:t>U</w:t>
      </w:r>
      <w:r w:rsidRPr="00D24289">
        <w:t xml:space="preserve">se the </w:t>
      </w:r>
      <w:hyperlink r:id="rId12" w:history="1">
        <w:r w:rsidR="00D24289" w:rsidRPr="00A303F3">
          <w:rPr>
            <w:rStyle w:val="Hyperlink"/>
          </w:rPr>
          <w:t>electronic form</w:t>
        </w:r>
      </w:hyperlink>
      <w:r w:rsidR="00D24289" w:rsidRPr="00D24289">
        <w:t xml:space="preserve"> </w:t>
      </w:r>
      <w:r w:rsidRPr="00D24289">
        <w:t xml:space="preserve">to submit comments on the </w:t>
      </w:r>
      <w:r w:rsidR="006A3E43">
        <w:t>SAR</w:t>
      </w:r>
      <w:bookmarkStart w:id="2" w:name="_GoBack"/>
      <w:bookmarkEnd w:id="2"/>
      <w:r w:rsidRPr="00D24289">
        <w:t xml:space="preserve">.  The electronic comment form must be completed by </w:t>
      </w:r>
      <w:r w:rsidR="00F7641D" w:rsidRPr="00D24289">
        <w:t xml:space="preserve">8:00 p.m. ET </w:t>
      </w:r>
      <w:r w:rsidR="00B21462" w:rsidRPr="00D24289">
        <w:t xml:space="preserve">on </w:t>
      </w:r>
      <w:r w:rsidR="00AE5BB0" w:rsidRPr="00AE5BB0">
        <w:rPr>
          <w:b/>
        </w:rPr>
        <w:t>April 10</w:t>
      </w:r>
      <w:r w:rsidR="0079656F" w:rsidRPr="00AE5BB0">
        <w:rPr>
          <w:b/>
        </w:rPr>
        <w:t>, 201</w:t>
      </w:r>
      <w:r w:rsidR="00F8287F" w:rsidRPr="00AE5BB0">
        <w:rPr>
          <w:b/>
        </w:rPr>
        <w:t>5</w:t>
      </w:r>
      <w:r w:rsidR="0079656F" w:rsidRPr="00470B1F">
        <w:rPr>
          <w:b/>
        </w:rPr>
        <w:t>.</w:t>
      </w:r>
    </w:p>
    <w:p w:rsidR="0073546A" w:rsidRPr="00D24289" w:rsidRDefault="0073546A" w:rsidP="0073546A"/>
    <w:p w:rsidR="0073546A" w:rsidRPr="005E1746" w:rsidRDefault="0073546A" w:rsidP="0073546A">
      <w:r w:rsidRPr="005E1746">
        <w:t xml:space="preserve">If you have questions please contact </w:t>
      </w:r>
      <w:r w:rsidR="00D24289" w:rsidRPr="005E1746">
        <w:t>Ste</w:t>
      </w:r>
      <w:r w:rsidR="00970A35">
        <w:t>ph</w:t>
      </w:r>
      <w:r w:rsidR="00D24289" w:rsidRPr="005E1746">
        <w:t xml:space="preserve">en </w:t>
      </w:r>
      <w:r w:rsidR="00970A35">
        <w:t>Crutchfield</w:t>
      </w:r>
      <w:r w:rsidR="00970A35" w:rsidRPr="005E1746">
        <w:t xml:space="preserve"> </w:t>
      </w:r>
      <w:r w:rsidR="003C2871" w:rsidRPr="005E1746">
        <w:t>via</w:t>
      </w:r>
      <w:r w:rsidR="00C97D29" w:rsidRPr="005E1746">
        <w:t xml:space="preserve"> email </w:t>
      </w:r>
      <w:r w:rsidRPr="005E1746">
        <w:t xml:space="preserve">or by telephone </w:t>
      </w:r>
      <w:r w:rsidR="0079656F">
        <w:t xml:space="preserve">at </w:t>
      </w:r>
      <w:hyperlink r:id="rId13" w:history="1">
        <w:r w:rsidR="00970A35">
          <w:rPr>
            <w:rStyle w:val="Hyperlink"/>
          </w:rPr>
          <w:t>stephen.crutchfield</w:t>
        </w:r>
        <w:r w:rsidR="00970A35" w:rsidRPr="005E1746">
          <w:rPr>
            <w:rStyle w:val="Hyperlink"/>
          </w:rPr>
          <w:t>@nerc.net</w:t>
        </w:r>
      </w:hyperlink>
      <w:r w:rsidR="00D24289" w:rsidRPr="005E1746">
        <w:t xml:space="preserve"> or </w:t>
      </w:r>
      <w:r w:rsidR="00D72B49">
        <w:t>609-651-9455</w:t>
      </w:r>
      <w:r w:rsidRPr="005E1746">
        <w:t>.</w:t>
      </w:r>
    </w:p>
    <w:p w:rsidR="0073546A" w:rsidRPr="005E1746" w:rsidRDefault="0073546A" w:rsidP="0073546A"/>
    <w:p w:rsidR="0039275D" w:rsidRPr="005E1746" w:rsidRDefault="004739A3" w:rsidP="0073546A">
      <w:r w:rsidRPr="005E1746">
        <w:t xml:space="preserve">The project page may be accessed by </w:t>
      </w:r>
      <w:hyperlink r:id="rId14" w:history="1">
        <w:r w:rsidR="00D24289" w:rsidRPr="00C955C7">
          <w:rPr>
            <w:rStyle w:val="Hyperlink"/>
          </w:rPr>
          <w:t>clicking here</w:t>
        </w:r>
      </w:hyperlink>
      <w:r w:rsidR="00D24289" w:rsidRPr="00470B1F">
        <w:t>.</w:t>
      </w:r>
      <w:r w:rsidR="00ED5673" w:rsidRPr="005E1746">
        <w:tab/>
      </w:r>
    </w:p>
    <w:p w:rsidR="002F2BFE" w:rsidRPr="005E1746" w:rsidRDefault="002F2BFE" w:rsidP="00D933A3"/>
    <w:bookmarkEnd w:id="1"/>
    <w:p w:rsidR="0039275D" w:rsidRPr="005E1746" w:rsidRDefault="0073546A" w:rsidP="00102A01">
      <w:pPr>
        <w:pStyle w:val="Heading2"/>
        <w:rPr>
          <w:rFonts w:asciiTheme="minorHAnsi" w:hAnsiTheme="minorHAnsi"/>
          <w:sz w:val="24"/>
          <w:szCs w:val="24"/>
        </w:rPr>
      </w:pPr>
      <w:r w:rsidRPr="005E1746">
        <w:rPr>
          <w:rFonts w:asciiTheme="minorHAnsi" w:hAnsiTheme="minorHAnsi"/>
          <w:sz w:val="24"/>
          <w:szCs w:val="24"/>
        </w:rPr>
        <w:t>Background Information</w:t>
      </w:r>
    </w:p>
    <w:p w:rsidR="00964CB8" w:rsidRPr="005E1746" w:rsidRDefault="00964CB8" w:rsidP="00964CB8">
      <w:pPr>
        <w:pStyle w:val="ListParagraph"/>
        <w:ind w:left="0"/>
        <w:rPr>
          <w:rFonts w:asciiTheme="minorHAnsi" w:hAnsiTheme="minorHAnsi"/>
        </w:rPr>
      </w:pPr>
      <w:bookmarkStart w:id="3" w:name="_Toc195946482"/>
    </w:p>
    <w:p w:rsidR="006B79D6" w:rsidRPr="006B79D6" w:rsidRDefault="006B79D6" w:rsidP="006B79D6">
      <w:pPr>
        <w:rPr>
          <w:color w:val="000000"/>
        </w:rPr>
      </w:pPr>
      <w:r w:rsidRPr="006B79D6">
        <w:rPr>
          <w:color w:val="000000"/>
        </w:rPr>
        <w:t xml:space="preserve">In Order No. 803, FERC approved Standard PRC-005-3 and, in Paragraph 31, directed NERC to: </w:t>
      </w:r>
    </w:p>
    <w:p w:rsidR="006B79D6" w:rsidRPr="006B79D6" w:rsidRDefault="006B79D6" w:rsidP="006B79D6">
      <w:pPr>
        <w:rPr>
          <w:color w:val="000000"/>
        </w:rPr>
      </w:pPr>
    </w:p>
    <w:p w:rsidR="00E42E83" w:rsidRDefault="006B79D6" w:rsidP="00E42E83">
      <w:pPr>
        <w:ind w:left="720"/>
      </w:pPr>
      <w:r w:rsidRPr="006B79D6">
        <w:rPr>
          <w:color w:val="000000"/>
        </w:rPr>
        <w:t>"...direct that, pursuant to section 215(d</w:t>
      </w:r>
      <w:proofErr w:type="gramStart"/>
      <w:r w:rsidRPr="006B79D6">
        <w:rPr>
          <w:color w:val="000000"/>
        </w:rPr>
        <w:t>)(</w:t>
      </w:r>
      <w:proofErr w:type="gramEnd"/>
      <w:r w:rsidRPr="006B79D6">
        <w:rPr>
          <w:color w:val="000000"/>
        </w:rPr>
        <w:t>5) of the FPA, NERC develop modifications to PRC-005-3 to include supervisory devices associated with auto-reclosing relay schemes to which the Reliability Standard applies. Further, we clarify that NERC’s proposal regarding the scope of supervisory devices is an acceptable approach to satisfy the Commission directive. Specifically, NERC proposed in its NOPR comments, and we find acceptable, that the scope of the supervisory devices to be encompassed in the Reliability Standard are those providing voltage supervision, supervisory inputs associated with selective auto-reclosing, and sync-check relays that are part of a reclosing scheme covered by PRC-005-3."</w:t>
      </w:r>
    </w:p>
    <w:p w:rsidR="00E42E83" w:rsidRDefault="00E42E83" w:rsidP="00E42E83"/>
    <w:p w:rsidR="006B79D6" w:rsidRDefault="006B79D6" w:rsidP="00E42E83">
      <w:r>
        <w:t xml:space="preserve">A </w:t>
      </w:r>
      <w:r w:rsidR="00904132">
        <w:t xml:space="preserve">revised </w:t>
      </w:r>
      <w:r>
        <w:t>Standards Authorization Request (SAR) was prepared along with a proposal to address the directive.  The SAR provides background information regarding the directive. The proposed solution that the PSMTSDT developed to address the directive revises the standard specific defined term</w:t>
      </w:r>
      <w:r w:rsidR="00093788">
        <w:t>s</w:t>
      </w:r>
      <w:r>
        <w:t xml:space="preserve"> “Automatic Reclosing” </w:t>
      </w:r>
      <w:r w:rsidR="00F10715">
        <w:t xml:space="preserve">and “Component Type” </w:t>
      </w:r>
      <w:r>
        <w:t>as follows:</w:t>
      </w:r>
    </w:p>
    <w:p w:rsidR="006B79D6" w:rsidRDefault="006B79D6" w:rsidP="00E42E83"/>
    <w:p w:rsidR="00F10715" w:rsidRPr="004258F9" w:rsidRDefault="00F10715" w:rsidP="00F10715">
      <w:pPr>
        <w:tabs>
          <w:tab w:val="left" w:pos="1440"/>
        </w:tabs>
        <w:autoSpaceDE w:val="0"/>
        <w:autoSpaceDN w:val="0"/>
        <w:adjustRightInd w:val="0"/>
        <w:ind w:left="1080" w:hanging="360"/>
      </w:pPr>
      <w:r w:rsidRPr="004258F9">
        <w:rPr>
          <w:b/>
        </w:rPr>
        <w:t xml:space="preserve">Automatic Reclosing </w:t>
      </w:r>
      <w:r w:rsidRPr="00592EA9">
        <w:t>–</w:t>
      </w:r>
      <w:r w:rsidRPr="004258F9">
        <w:rPr>
          <w:b/>
        </w:rPr>
        <w:t xml:space="preserve"> </w:t>
      </w:r>
      <w:r w:rsidRPr="004258F9">
        <w:t>Includes the following Components:</w:t>
      </w:r>
    </w:p>
    <w:p w:rsidR="00F10715" w:rsidRDefault="00F10715" w:rsidP="00F10715">
      <w:pPr>
        <w:numPr>
          <w:ilvl w:val="0"/>
          <w:numId w:val="35"/>
        </w:numPr>
        <w:tabs>
          <w:tab w:val="left" w:pos="1800"/>
        </w:tabs>
        <w:autoSpaceDE w:val="0"/>
        <w:autoSpaceDN w:val="0"/>
        <w:adjustRightInd w:val="0"/>
        <w:spacing w:before="120"/>
      </w:pPr>
      <w:r w:rsidRPr="004258F9">
        <w:t>Reclosing relay</w:t>
      </w:r>
    </w:p>
    <w:p w:rsidR="00F10715" w:rsidRPr="00E02F52" w:rsidRDefault="00F10715" w:rsidP="00F10715">
      <w:pPr>
        <w:numPr>
          <w:ilvl w:val="0"/>
          <w:numId w:val="35"/>
        </w:numPr>
        <w:tabs>
          <w:tab w:val="left" w:pos="1800"/>
        </w:tabs>
        <w:autoSpaceDE w:val="0"/>
        <w:autoSpaceDN w:val="0"/>
        <w:adjustRightInd w:val="0"/>
        <w:spacing w:before="120"/>
        <w:rPr>
          <w:color w:val="FF0000"/>
        </w:rPr>
      </w:pPr>
      <w:r w:rsidRPr="00E02F52">
        <w:rPr>
          <w:color w:val="FF0000"/>
        </w:rPr>
        <w:t>Supervisory relay that monitors BES quantities (such as voltage, frequency, or voltage angle) and supervises operation of the reclosing relay</w:t>
      </w:r>
    </w:p>
    <w:p w:rsidR="00F10715" w:rsidRDefault="00F10715" w:rsidP="000E20E8">
      <w:pPr>
        <w:numPr>
          <w:ilvl w:val="0"/>
          <w:numId w:val="35"/>
        </w:numPr>
        <w:tabs>
          <w:tab w:val="left" w:pos="1800"/>
        </w:tabs>
        <w:autoSpaceDE w:val="0"/>
        <w:autoSpaceDN w:val="0"/>
        <w:adjustRightInd w:val="0"/>
        <w:spacing w:before="120"/>
      </w:pPr>
      <w:r w:rsidRPr="00E02F52">
        <w:rPr>
          <w:color w:val="FF0000"/>
        </w:rPr>
        <w:t xml:space="preserve">Voltage and Current Sensing Devices associated with the supervisory </w:t>
      </w:r>
    </w:p>
    <w:p w:rsidR="00F10715" w:rsidRDefault="00F10715" w:rsidP="000E20E8">
      <w:pPr>
        <w:numPr>
          <w:ilvl w:val="0"/>
          <w:numId w:val="35"/>
        </w:numPr>
        <w:tabs>
          <w:tab w:val="left" w:pos="1800"/>
        </w:tabs>
        <w:autoSpaceDE w:val="0"/>
        <w:autoSpaceDN w:val="0"/>
        <w:adjustRightInd w:val="0"/>
        <w:spacing w:before="120"/>
      </w:pPr>
      <w:r w:rsidRPr="004258F9">
        <w:t>Control circuitry associated with the reclosing relay</w:t>
      </w:r>
      <w:r>
        <w:t xml:space="preserve"> </w:t>
      </w:r>
      <w:r w:rsidRPr="00E02F52">
        <w:rPr>
          <w:color w:val="FF0000"/>
        </w:rPr>
        <w:t>or supervisory relay</w:t>
      </w:r>
      <w:r w:rsidRPr="004258F9">
        <w:t>.</w:t>
      </w:r>
    </w:p>
    <w:p w:rsidR="001C7B0C" w:rsidRDefault="001C7B0C" w:rsidP="00F10715">
      <w:pPr>
        <w:pStyle w:val="BodyText"/>
        <w:spacing w:after="0"/>
        <w:ind w:left="720"/>
        <w:rPr>
          <w:rFonts w:asciiTheme="minorHAnsi" w:hAnsiTheme="minorHAnsi"/>
          <w:b/>
          <w:sz w:val="24"/>
          <w:szCs w:val="24"/>
        </w:rPr>
      </w:pPr>
    </w:p>
    <w:p w:rsidR="00F10715" w:rsidRDefault="00F10715" w:rsidP="00F10715">
      <w:pPr>
        <w:pStyle w:val="BodyText"/>
        <w:spacing w:after="0"/>
        <w:ind w:left="720"/>
        <w:rPr>
          <w:rFonts w:asciiTheme="minorHAnsi" w:hAnsiTheme="minorHAnsi"/>
          <w:sz w:val="24"/>
          <w:szCs w:val="24"/>
        </w:rPr>
      </w:pPr>
      <w:r w:rsidRPr="004258F9">
        <w:rPr>
          <w:rFonts w:asciiTheme="minorHAnsi" w:hAnsiTheme="minorHAnsi"/>
          <w:b/>
          <w:sz w:val="24"/>
          <w:szCs w:val="24"/>
        </w:rPr>
        <w:t>Component Type</w:t>
      </w:r>
      <w:r w:rsidRPr="004258F9">
        <w:rPr>
          <w:rFonts w:asciiTheme="minorHAnsi" w:hAnsiTheme="minorHAnsi"/>
          <w:sz w:val="24"/>
          <w:szCs w:val="24"/>
        </w:rPr>
        <w:t xml:space="preserve"> – </w:t>
      </w:r>
    </w:p>
    <w:p w:rsidR="00F10715" w:rsidRDefault="00F10715" w:rsidP="00F10715">
      <w:pPr>
        <w:pStyle w:val="BodyText"/>
        <w:numPr>
          <w:ilvl w:val="0"/>
          <w:numId w:val="36"/>
        </w:numPr>
        <w:spacing w:after="0"/>
        <w:rPr>
          <w:rFonts w:asciiTheme="minorHAnsi" w:hAnsiTheme="minorHAnsi"/>
          <w:sz w:val="24"/>
          <w:szCs w:val="24"/>
        </w:rPr>
      </w:pPr>
      <w:r>
        <w:rPr>
          <w:rFonts w:asciiTheme="minorHAnsi" w:hAnsiTheme="minorHAnsi"/>
          <w:sz w:val="24"/>
          <w:szCs w:val="24"/>
        </w:rPr>
        <w:lastRenderedPageBreak/>
        <w:t>A</w:t>
      </w:r>
      <w:r w:rsidRPr="004258F9">
        <w:rPr>
          <w:rFonts w:asciiTheme="minorHAnsi" w:hAnsiTheme="minorHAnsi"/>
          <w:sz w:val="24"/>
          <w:szCs w:val="24"/>
        </w:rPr>
        <w:t xml:space="preserve">ny one of the five specific elements of </w:t>
      </w:r>
      <w:r>
        <w:rPr>
          <w:rFonts w:asciiTheme="minorHAnsi" w:hAnsiTheme="minorHAnsi"/>
          <w:sz w:val="24"/>
          <w:szCs w:val="24"/>
        </w:rPr>
        <w:t>a</w:t>
      </w:r>
      <w:r w:rsidRPr="004258F9">
        <w:rPr>
          <w:rFonts w:asciiTheme="minorHAnsi" w:hAnsiTheme="minorHAnsi"/>
          <w:sz w:val="24"/>
          <w:szCs w:val="24"/>
        </w:rPr>
        <w:t xml:space="preserve"> Protection System</w:t>
      </w:r>
      <w:r>
        <w:rPr>
          <w:rFonts w:asciiTheme="minorHAnsi" w:hAnsiTheme="minorHAnsi"/>
          <w:sz w:val="24"/>
          <w:szCs w:val="24"/>
        </w:rPr>
        <w:t xml:space="preserve">. </w:t>
      </w:r>
    </w:p>
    <w:p w:rsidR="00F10715" w:rsidRDefault="00F10715" w:rsidP="00F10715">
      <w:pPr>
        <w:pStyle w:val="BodyText"/>
        <w:numPr>
          <w:ilvl w:val="0"/>
          <w:numId w:val="36"/>
        </w:numPr>
        <w:spacing w:after="0"/>
        <w:rPr>
          <w:rFonts w:asciiTheme="minorHAnsi" w:hAnsiTheme="minorHAnsi"/>
          <w:sz w:val="24"/>
          <w:szCs w:val="24"/>
        </w:rPr>
      </w:pPr>
      <w:r>
        <w:rPr>
          <w:rFonts w:asciiTheme="minorHAnsi" w:hAnsiTheme="minorHAnsi"/>
          <w:sz w:val="24"/>
          <w:szCs w:val="24"/>
        </w:rPr>
        <w:t xml:space="preserve">Any one of the </w:t>
      </w:r>
      <w:r w:rsidRPr="00F10715">
        <w:rPr>
          <w:rFonts w:asciiTheme="minorHAnsi" w:hAnsiTheme="minorHAnsi"/>
          <w:strike/>
          <w:color w:val="FF0000"/>
          <w:sz w:val="24"/>
          <w:szCs w:val="24"/>
        </w:rPr>
        <w:t xml:space="preserve">two </w:t>
      </w:r>
      <w:r>
        <w:rPr>
          <w:rFonts w:asciiTheme="minorHAnsi" w:hAnsiTheme="minorHAnsi"/>
          <w:color w:val="FF0000"/>
          <w:sz w:val="24"/>
          <w:szCs w:val="24"/>
        </w:rPr>
        <w:t>f</w:t>
      </w:r>
      <w:r w:rsidRPr="00F10715">
        <w:rPr>
          <w:rFonts w:asciiTheme="minorHAnsi" w:hAnsiTheme="minorHAnsi"/>
          <w:color w:val="FF0000"/>
          <w:sz w:val="24"/>
          <w:szCs w:val="24"/>
        </w:rPr>
        <w:t>our</w:t>
      </w:r>
      <w:r>
        <w:rPr>
          <w:rFonts w:asciiTheme="minorHAnsi" w:hAnsiTheme="minorHAnsi"/>
          <w:sz w:val="24"/>
          <w:szCs w:val="24"/>
        </w:rPr>
        <w:t xml:space="preserve"> </w:t>
      </w:r>
      <w:r w:rsidRPr="004258F9">
        <w:rPr>
          <w:rFonts w:asciiTheme="minorHAnsi" w:hAnsiTheme="minorHAnsi"/>
          <w:sz w:val="24"/>
          <w:szCs w:val="24"/>
        </w:rPr>
        <w:t>specific elements of Automatic Reclosing</w:t>
      </w:r>
      <w:r>
        <w:rPr>
          <w:rFonts w:asciiTheme="minorHAnsi" w:hAnsiTheme="minorHAnsi"/>
          <w:sz w:val="24"/>
          <w:szCs w:val="24"/>
        </w:rPr>
        <w:t xml:space="preserve">. </w:t>
      </w:r>
    </w:p>
    <w:p w:rsidR="00F10715" w:rsidRDefault="00F10715" w:rsidP="00F10715">
      <w:pPr>
        <w:pStyle w:val="BodyText"/>
        <w:numPr>
          <w:ilvl w:val="0"/>
          <w:numId w:val="36"/>
        </w:numPr>
        <w:spacing w:after="0"/>
        <w:rPr>
          <w:rFonts w:asciiTheme="minorHAnsi" w:hAnsiTheme="minorHAnsi"/>
          <w:sz w:val="24"/>
          <w:szCs w:val="24"/>
        </w:rPr>
      </w:pPr>
      <w:r>
        <w:rPr>
          <w:rFonts w:asciiTheme="minorHAnsi" w:hAnsiTheme="minorHAnsi"/>
          <w:sz w:val="24"/>
          <w:szCs w:val="24"/>
        </w:rPr>
        <w:t>Any</w:t>
      </w:r>
      <w:r w:rsidRPr="004258F9">
        <w:rPr>
          <w:rFonts w:asciiTheme="minorHAnsi" w:hAnsiTheme="minorHAnsi"/>
          <w:sz w:val="24"/>
          <w:szCs w:val="24"/>
        </w:rPr>
        <w:t xml:space="preserve"> one of the two specific elements of </w:t>
      </w:r>
      <w:r>
        <w:rPr>
          <w:rFonts w:asciiTheme="minorHAnsi" w:hAnsiTheme="minorHAnsi"/>
          <w:sz w:val="24"/>
          <w:szCs w:val="24"/>
        </w:rPr>
        <w:t>Sudden Pressure Relaying</w:t>
      </w:r>
      <w:r w:rsidRPr="004258F9">
        <w:rPr>
          <w:rFonts w:asciiTheme="minorHAnsi" w:hAnsiTheme="minorHAnsi"/>
          <w:sz w:val="24"/>
          <w:szCs w:val="24"/>
        </w:rPr>
        <w:t>.</w:t>
      </w:r>
    </w:p>
    <w:p w:rsidR="002A209B" w:rsidRDefault="002A209B" w:rsidP="002A209B">
      <w:pPr>
        <w:pStyle w:val="BodyText"/>
        <w:spacing w:after="0"/>
        <w:rPr>
          <w:rFonts w:asciiTheme="minorHAnsi" w:hAnsiTheme="minorHAnsi"/>
          <w:sz w:val="24"/>
          <w:szCs w:val="24"/>
        </w:rPr>
      </w:pPr>
    </w:p>
    <w:p w:rsidR="002A209B" w:rsidRDefault="002A209B" w:rsidP="002A209B">
      <w:pPr>
        <w:pStyle w:val="BodyText"/>
        <w:spacing w:after="0"/>
        <w:rPr>
          <w:rFonts w:asciiTheme="minorHAnsi" w:hAnsiTheme="minorHAnsi"/>
          <w:sz w:val="24"/>
          <w:szCs w:val="24"/>
        </w:rPr>
      </w:pPr>
      <w:r>
        <w:rPr>
          <w:rFonts w:asciiTheme="minorHAnsi" w:hAnsiTheme="minorHAnsi"/>
          <w:sz w:val="24"/>
          <w:szCs w:val="24"/>
        </w:rPr>
        <w:t xml:space="preserve">The term “supervisory relay” was also added as appropriate to Table 4-1. The Rationale section was also revised to reflect the proposed revisions to the defined terms above. </w:t>
      </w:r>
      <w:r w:rsidR="00517F22">
        <w:rPr>
          <w:rFonts w:asciiTheme="minorHAnsi" w:hAnsiTheme="minorHAnsi"/>
          <w:sz w:val="24"/>
          <w:szCs w:val="24"/>
        </w:rPr>
        <w:t xml:space="preserve">A new Table 4-3 was added to address maintenance activities and testing for Automatic Reclosing with supervisory relays. </w:t>
      </w:r>
      <w:r>
        <w:rPr>
          <w:rFonts w:asciiTheme="minorHAnsi" w:hAnsiTheme="minorHAnsi"/>
          <w:sz w:val="24"/>
          <w:szCs w:val="24"/>
        </w:rPr>
        <w:t xml:space="preserve">No revisions are being proposed for the Requirements of the standard. This version of PRC-005 uses PRC-005-5 being developer under Project </w:t>
      </w:r>
      <w:r w:rsidR="005640EA">
        <w:rPr>
          <w:rFonts w:asciiTheme="minorHAnsi" w:hAnsiTheme="minorHAnsi"/>
          <w:sz w:val="24"/>
          <w:szCs w:val="24"/>
        </w:rPr>
        <w:t xml:space="preserve">2014-01 </w:t>
      </w:r>
      <w:r>
        <w:rPr>
          <w:rFonts w:asciiTheme="minorHAnsi" w:hAnsiTheme="minorHAnsi"/>
          <w:sz w:val="24"/>
          <w:szCs w:val="24"/>
        </w:rPr>
        <w:t>as the starting point for revisions to address the directive.</w:t>
      </w:r>
    </w:p>
    <w:p w:rsidR="00FC72E9" w:rsidRPr="00D24289" w:rsidRDefault="00FC72E9" w:rsidP="0073546A"/>
    <w:bookmarkEnd w:id="3"/>
    <w:p w:rsidR="0039275D" w:rsidRPr="00D24289" w:rsidRDefault="0073546A" w:rsidP="00102A01">
      <w:pPr>
        <w:pStyle w:val="Heading2"/>
        <w:rPr>
          <w:rFonts w:asciiTheme="minorHAnsi" w:hAnsiTheme="minorHAnsi"/>
        </w:rPr>
      </w:pPr>
      <w:r w:rsidRPr="00D24289">
        <w:rPr>
          <w:rFonts w:asciiTheme="minorHAnsi" w:hAnsiTheme="minorHAnsi"/>
        </w:rPr>
        <w:t>Question</w:t>
      </w:r>
      <w:r w:rsidR="00970A35">
        <w:rPr>
          <w:rFonts w:asciiTheme="minorHAnsi" w:hAnsiTheme="minorHAnsi"/>
        </w:rPr>
        <w:t>s</w:t>
      </w:r>
    </w:p>
    <w:p w:rsidR="00575783" w:rsidRPr="00D24289" w:rsidRDefault="00575783" w:rsidP="00575783"/>
    <w:p w:rsidR="00C955C7" w:rsidRPr="00CC5FFD" w:rsidRDefault="00C955C7" w:rsidP="00C955C7">
      <w:pPr>
        <w:pStyle w:val="Bullet"/>
        <w:numPr>
          <w:ilvl w:val="0"/>
          <w:numId w:val="34"/>
        </w:numPr>
        <w:spacing w:before="0" w:after="120"/>
        <w:rPr>
          <w:rFonts w:asciiTheme="minorHAnsi" w:hAnsiTheme="minorHAnsi"/>
          <w:sz w:val="24"/>
          <w:szCs w:val="24"/>
        </w:rPr>
      </w:pPr>
      <w:r>
        <w:rPr>
          <w:rFonts w:asciiTheme="minorHAnsi" w:hAnsiTheme="minorHAnsi"/>
          <w:sz w:val="24"/>
          <w:szCs w:val="24"/>
        </w:rPr>
        <w:t xml:space="preserve">Do you agree </w:t>
      </w:r>
      <w:r w:rsidR="00C727E3">
        <w:rPr>
          <w:rFonts w:asciiTheme="minorHAnsi" w:hAnsiTheme="minorHAnsi"/>
          <w:sz w:val="24"/>
          <w:szCs w:val="24"/>
        </w:rPr>
        <w:t>that t</w:t>
      </w:r>
      <w:r>
        <w:rPr>
          <w:rFonts w:asciiTheme="minorHAnsi" w:hAnsiTheme="minorHAnsi"/>
          <w:sz w:val="24"/>
          <w:szCs w:val="24"/>
        </w:rPr>
        <w:t>he scope and objectives of th</w:t>
      </w:r>
      <w:r w:rsidR="00904132">
        <w:rPr>
          <w:rFonts w:asciiTheme="minorHAnsi" w:hAnsiTheme="minorHAnsi"/>
          <w:sz w:val="24"/>
          <w:szCs w:val="24"/>
        </w:rPr>
        <w:t>e revised</w:t>
      </w:r>
      <w:r>
        <w:rPr>
          <w:rFonts w:asciiTheme="minorHAnsi" w:hAnsiTheme="minorHAnsi"/>
          <w:sz w:val="24"/>
          <w:szCs w:val="24"/>
        </w:rPr>
        <w:t xml:space="preserve"> SAR</w:t>
      </w:r>
      <w:r w:rsidR="00C727E3">
        <w:rPr>
          <w:rFonts w:asciiTheme="minorHAnsi" w:hAnsiTheme="minorHAnsi"/>
          <w:sz w:val="24"/>
          <w:szCs w:val="24"/>
        </w:rPr>
        <w:t xml:space="preserve"> address the directive in Order No. 803</w:t>
      </w:r>
      <w:r>
        <w:rPr>
          <w:rFonts w:asciiTheme="minorHAnsi" w:hAnsiTheme="minorHAnsi"/>
          <w:sz w:val="24"/>
          <w:szCs w:val="24"/>
        </w:rPr>
        <w:t>?  If not, please explain why you do not agree and, if possible, provide specific language revisions that would make it acceptable to you.</w:t>
      </w:r>
      <w:r w:rsidRPr="00CC5FFD">
        <w:rPr>
          <w:rFonts w:asciiTheme="minorHAnsi" w:hAnsiTheme="minorHAnsi"/>
          <w:sz w:val="24"/>
          <w:szCs w:val="24"/>
        </w:rPr>
        <w:t xml:space="preserve"> </w:t>
      </w:r>
    </w:p>
    <w:p w:rsidR="00C955C7" w:rsidRPr="00D24289" w:rsidRDefault="00C955C7" w:rsidP="00C955C7">
      <w:pPr>
        <w:pStyle w:val="ListParagraph"/>
        <w:keepNext/>
      </w:pPr>
      <w:r w:rsidRPr="00D24289">
        <w:fldChar w:fldCharType="begin">
          <w:ffData>
            <w:name w:val="Check4"/>
            <w:enabled/>
            <w:calcOnExit w:val="0"/>
            <w:checkBox>
              <w:sizeAuto/>
              <w:default w:val="0"/>
            </w:checkBox>
          </w:ffData>
        </w:fldChar>
      </w:r>
      <w:r w:rsidRPr="00D24289">
        <w:instrText xml:space="preserve"> FORMCHECKBOX </w:instrText>
      </w:r>
      <w:r w:rsidR="00913EA7">
        <w:fldChar w:fldCharType="separate"/>
      </w:r>
      <w:r w:rsidRPr="00D24289">
        <w:fldChar w:fldCharType="end"/>
      </w:r>
      <w:r w:rsidRPr="00D24289">
        <w:t xml:space="preserve"> Yes </w:t>
      </w:r>
    </w:p>
    <w:p w:rsidR="00C955C7" w:rsidRPr="00D24289" w:rsidRDefault="00C955C7" w:rsidP="00C955C7">
      <w:pPr>
        <w:pStyle w:val="ListParagraph"/>
        <w:keepNext/>
      </w:pPr>
      <w:r w:rsidRPr="00D24289">
        <w:fldChar w:fldCharType="begin">
          <w:ffData>
            <w:name w:val="Check4"/>
            <w:enabled/>
            <w:calcOnExit w:val="0"/>
            <w:checkBox>
              <w:sizeAuto/>
              <w:default w:val="0"/>
            </w:checkBox>
          </w:ffData>
        </w:fldChar>
      </w:r>
      <w:r w:rsidRPr="00D24289">
        <w:instrText xml:space="preserve"> FORMCHECKBOX </w:instrText>
      </w:r>
      <w:r w:rsidR="00913EA7">
        <w:fldChar w:fldCharType="separate"/>
      </w:r>
      <w:r w:rsidRPr="00D24289">
        <w:fldChar w:fldCharType="end"/>
      </w:r>
      <w:r w:rsidRPr="00D24289">
        <w:t xml:space="preserve"> No </w:t>
      </w:r>
    </w:p>
    <w:p w:rsidR="00C955C7" w:rsidRPr="00D24289" w:rsidRDefault="00C955C7" w:rsidP="00C955C7">
      <w:pPr>
        <w:pStyle w:val="ListParagraph"/>
        <w:keepNext/>
      </w:pPr>
    </w:p>
    <w:p w:rsidR="00C955C7" w:rsidRPr="00CC5FFD" w:rsidRDefault="00C955C7" w:rsidP="00C955C7">
      <w:pPr>
        <w:pStyle w:val="Bullet"/>
        <w:numPr>
          <w:ilvl w:val="0"/>
          <w:numId w:val="0"/>
        </w:numPr>
        <w:spacing w:before="0" w:after="120" w:line="360" w:lineRule="auto"/>
        <w:ind w:left="720"/>
        <w:rPr>
          <w:rStyle w:val="BoxText"/>
          <w:rFonts w:asciiTheme="minorHAnsi" w:hAnsiTheme="minorHAnsi"/>
        </w:rPr>
      </w:pPr>
      <w:r w:rsidRPr="00187FEE">
        <w:rPr>
          <w:rStyle w:val="BoxText"/>
          <w:rFonts w:cs="Arial"/>
        </w:rPr>
        <w:t>Comments:</w:t>
      </w:r>
      <w:r w:rsidRPr="00CC5FFD">
        <w:rPr>
          <w:rStyle w:val="BoxText"/>
          <w:rFonts w:asciiTheme="minorHAnsi" w:hAnsiTheme="minorHAnsi"/>
        </w:rPr>
        <w:t xml:space="preserve"> </w:t>
      </w:r>
      <w:r w:rsidRPr="00CC5FFD">
        <w:rPr>
          <w:rStyle w:val="BoxText"/>
          <w:rFonts w:asciiTheme="minorHAnsi" w:hAnsiTheme="minorHAnsi"/>
        </w:rPr>
        <w:fldChar w:fldCharType="begin">
          <w:ffData>
            <w:name w:val="Text12"/>
            <w:enabled/>
            <w:calcOnExit w:val="0"/>
            <w:textInput/>
          </w:ffData>
        </w:fldChar>
      </w:r>
      <w:r w:rsidRPr="00CC5FFD">
        <w:rPr>
          <w:rStyle w:val="BoxText"/>
          <w:rFonts w:asciiTheme="minorHAnsi" w:hAnsiTheme="minorHAnsi"/>
        </w:rPr>
        <w:instrText xml:space="preserve"> FORMTEXT </w:instrText>
      </w:r>
      <w:r w:rsidRPr="00CC5FFD">
        <w:rPr>
          <w:rStyle w:val="BoxText"/>
          <w:rFonts w:asciiTheme="minorHAnsi" w:hAnsiTheme="minorHAnsi"/>
        </w:rPr>
      </w:r>
      <w:r w:rsidRPr="00CC5FFD">
        <w:rPr>
          <w:rStyle w:val="BoxText"/>
          <w:rFonts w:asciiTheme="minorHAnsi" w:hAnsiTheme="minorHAnsi"/>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Theme="minorHAnsi" w:hAnsiTheme="minorHAnsi"/>
        </w:rPr>
        <w:fldChar w:fldCharType="end"/>
      </w:r>
    </w:p>
    <w:p w:rsidR="003E28CF" w:rsidRPr="00A70407" w:rsidRDefault="003E28CF" w:rsidP="00C955C7">
      <w:pPr>
        <w:pStyle w:val="ListParagraph"/>
        <w:keepNext/>
        <w:numPr>
          <w:ilvl w:val="0"/>
          <w:numId w:val="34"/>
        </w:numPr>
        <w:rPr>
          <w:rFonts w:asciiTheme="minorHAnsi" w:hAnsiTheme="minorHAnsi"/>
        </w:rPr>
      </w:pPr>
      <w:r w:rsidRPr="00A70407">
        <w:rPr>
          <w:rFonts w:asciiTheme="minorHAnsi" w:hAnsiTheme="minorHAnsi"/>
        </w:rPr>
        <w:t>The PS</w:t>
      </w:r>
      <w:r>
        <w:rPr>
          <w:rFonts w:asciiTheme="minorHAnsi" w:hAnsiTheme="minorHAnsi"/>
        </w:rPr>
        <w:t xml:space="preserve">TMSDT has proposed revising the definition of </w:t>
      </w:r>
      <w:r w:rsidR="002A209B">
        <w:rPr>
          <w:rFonts w:asciiTheme="minorHAnsi" w:hAnsiTheme="minorHAnsi"/>
        </w:rPr>
        <w:t>“</w:t>
      </w:r>
      <w:r>
        <w:rPr>
          <w:rFonts w:asciiTheme="minorHAnsi" w:hAnsiTheme="minorHAnsi"/>
        </w:rPr>
        <w:t>Automatic Reclosing</w:t>
      </w:r>
      <w:r w:rsidR="002A209B">
        <w:rPr>
          <w:rFonts w:asciiTheme="minorHAnsi" w:hAnsiTheme="minorHAnsi"/>
        </w:rPr>
        <w:t>”</w:t>
      </w:r>
      <w:r>
        <w:rPr>
          <w:rFonts w:asciiTheme="minorHAnsi" w:hAnsiTheme="minorHAnsi"/>
        </w:rPr>
        <w:t xml:space="preserve"> </w:t>
      </w:r>
      <w:r w:rsidR="002A209B">
        <w:rPr>
          <w:rFonts w:asciiTheme="minorHAnsi" w:hAnsiTheme="minorHAnsi"/>
        </w:rPr>
        <w:t xml:space="preserve">and “Component Type” </w:t>
      </w:r>
      <w:r>
        <w:rPr>
          <w:rFonts w:asciiTheme="minorHAnsi" w:hAnsiTheme="minorHAnsi"/>
        </w:rPr>
        <w:t xml:space="preserve">to address the FERC directive in Order 803. </w:t>
      </w:r>
      <w:r w:rsidRPr="00A70407">
        <w:rPr>
          <w:rFonts w:asciiTheme="minorHAnsi" w:hAnsiTheme="minorHAnsi"/>
        </w:rPr>
        <w:t xml:space="preserve">Do you agree </w:t>
      </w:r>
      <w:r>
        <w:rPr>
          <w:rFonts w:asciiTheme="minorHAnsi" w:hAnsiTheme="minorHAnsi"/>
        </w:rPr>
        <w:t xml:space="preserve">that </w:t>
      </w:r>
      <w:r w:rsidRPr="00A70407">
        <w:rPr>
          <w:rFonts w:asciiTheme="minorHAnsi" w:hAnsiTheme="minorHAnsi"/>
        </w:rPr>
        <w:t xml:space="preserve">the proposed revisions to </w:t>
      </w:r>
      <w:r>
        <w:rPr>
          <w:rFonts w:asciiTheme="minorHAnsi" w:hAnsiTheme="minorHAnsi"/>
        </w:rPr>
        <w:t>defined term</w:t>
      </w:r>
      <w:r w:rsidR="002A209B">
        <w:rPr>
          <w:rFonts w:asciiTheme="minorHAnsi" w:hAnsiTheme="minorHAnsi"/>
        </w:rPr>
        <w:t>s</w:t>
      </w:r>
      <w:r w:rsidRPr="00A70407">
        <w:rPr>
          <w:rFonts w:asciiTheme="minorHAnsi" w:hAnsiTheme="minorHAnsi"/>
        </w:rPr>
        <w:t xml:space="preserve"> as s</w:t>
      </w:r>
      <w:r>
        <w:rPr>
          <w:rFonts w:asciiTheme="minorHAnsi" w:hAnsiTheme="minorHAnsi"/>
        </w:rPr>
        <w:t xml:space="preserve">hown </w:t>
      </w:r>
      <w:r w:rsidRPr="00A70407">
        <w:rPr>
          <w:rFonts w:asciiTheme="minorHAnsi" w:hAnsiTheme="minorHAnsi"/>
        </w:rPr>
        <w:t>above</w:t>
      </w:r>
      <w:r>
        <w:rPr>
          <w:rFonts w:asciiTheme="minorHAnsi" w:hAnsiTheme="minorHAnsi"/>
        </w:rPr>
        <w:t xml:space="preserve"> address the directive</w:t>
      </w:r>
      <w:r w:rsidRPr="00A70407">
        <w:rPr>
          <w:rFonts w:asciiTheme="minorHAnsi" w:hAnsiTheme="minorHAnsi"/>
        </w:rPr>
        <w:t xml:space="preserve">? If not, please provide specific comments regarding the revision and any suggestions for </w:t>
      </w:r>
      <w:r>
        <w:rPr>
          <w:rFonts w:asciiTheme="minorHAnsi" w:hAnsiTheme="minorHAnsi"/>
        </w:rPr>
        <w:t>alternatives to address the directive</w:t>
      </w:r>
      <w:r w:rsidRPr="00A70407">
        <w:rPr>
          <w:rFonts w:asciiTheme="minorHAnsi" w:hAnsiTheme="minorHAnsi"/>
        </w:rPr>
        <w:t xml:space="preserve">. </w:t>
      </w:r>
    </w:p>
    <w:p w:rsidR="003E28CF" w:rsidRPr="00D24289" w:rsidRDefault="003E28CF" w:rsidP="00C955C7">
      <w:pPr>
        <w:pStyle w:val="ListParagraph"/>
        <w:keepNext/>
      </w:pPr>
      <w:r w:rsidRPr="00A70407">
        <w:rPr>
          <w:rFonts w:asciiTheme="minorHAnsi" w:hAnsiTheme="minorHAnsi"/>
        </w:rPr>
        <w:t xml:space="preserve"> </w:t>
      </w:r>
    </w:p>
    <w:p w:rsidR="003E28CF" w:rsidRPr="00D24289" w:rsidRDefault="003E28CF" w:rsidP="003E28CF">
      <w:pPr>
        <w:keepNext/>
        <w:ind w:firstLine="810"/>
      </w:pPr>
      <w:r w:rsidRPr="00D24289">
        <w:fldChar w:fldCharType="begin">
          <w:ffData>
            <w:name w:val="Check4"/>
            <w:enabled/>
            <w:calcOnExit w:val="0"/>
            <w:checkBox>
              <w:sizeAuto/>
              <w:default w:val="0"/>
            </w:checkBox>
          </w:ffData>
        </w:fldChar>
      </w:r>
      <w:r w:rsidRPr="00D24289">
        <w:instrText xml:space="preserve"> FORMCHECKBOX </w:instrText>
      </w:r>
      <w:r w:rsidR="00913EA7">
        <w:fldChar w:fldCharType="separate"/>
      </w:r>
      <w:r w:rsidRPr="00D24289">
        <w:fldChar w:fldCharType="end"/>
      </w:r>
      <w:r w:rsidRPr="00D24289">
        <w:t xml:space="preserve"> Yes </w:t>
      </w:r>
    </w:p>
    <w:p w:rsidR="003E28CF" w:rsidRPr="00D24289" w:rsidRDefault="003E28CF" w:rsidP="003E28CF">
      <w:pPr>
        <w:keepNext/>
        <w:ind w:left="720" w:firstLine="90"/>
      </w:pPr>
      <w:r w:rsidRPr="00D24289">
        <w:fldChar w:fldCharType="begin">
          <w:ffData>
            <w:name w:val="Check4"/>
            <w:enabled/>
            <w:calcOnExit w:val="0"/>
            <w:checkBox>
              <w:sizeAuto/>
              <w:default w:val="0"/>
            </w:checkBox>
          </w:ffData>
        </w:fldChar>
      </w:r>
      <w:r w:rsidRPr="00D24289">
        <w:instrText xml:space="preserve"> FORMCHECKBOX </w:instrText>
      </w:r>
      <w:r w:rsidR="00913EA7">
        <w:fldChar w:fldCharType="separate"/>
      </w:r>
      <w:r w:rsidRPr="00D24289">
        <w:fldChar w:fldCharType="end"/>
      </w:r>
      <w:r w:rsidRPr="00D24289">
        <w:t xml:space="preserve"> No </w:t>
      </w:r>
    </w:p>
    <w:p w:rsidR="003E28CF" w:rsidRPr="00D24289" w:rsidRDefault="003E28CF" w:rsidP="003E28CF">
      <w:pPr>
        <w:keepNext/>
      </w:pPr>
    </w:p>
    <w:p w:rsidR="003E28CF" w:rsidRDefault="003E28CF" w:rsidP="003E28CF">
      <w:pPr>
        <w:ind w:firstLine="81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rsidR="003E28CF" w:rsidRDefault="003E28CF" w:rsidP="003E28CF"/>
    <w:p w:rsidR="00185299" w:rsidRDefault="00185299" w:rsidP="00185299"/>
    <w:p w:rsidR="003E28CF" w:rsidRDefault="003E28CF" w:rsidP="00185299"/>
    <w:sectPr w:rsidR="003E28CF"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EA7" w:rsidRDefault="00913EA7">
      <w:r>
        <w:separator/>
      </w:r>
    </w:p>
  </w:endnote>
  <w:endnote w:type="continuationSeparator" w:id="0">
    <w:p w:rsidR="00913EA7" w:rsidRDefault="0091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98" w:rsidRPr="00855BA8" w:rsidRDefault="00A47F98" w:rsidP="00575783">
    <w:pPr>
      <w:pStyle w:val="Footer"/>
      <w:tabs>
        <w:tab w:val="clear" w:pos="10354"/>
        <w:tab w:val="right" w:pos="10350"/>
      </w:tabs>
      <w:ind w:left="0" w:right="18"/>
    </w:pPr>
    <w:r>
      <w:t>Unofficial Comment Form</w:t>
    </w:r>
    <w:r>
      <w:br/>
    </w:r>
    <w:r w:rsidR="00C955C7" w:rsidRPr="00C955C7">
      <w:t>Project 20</w:t>
    </w:r>
    <w:r w:rsidR="00904132">
      <w:t>07-17.4</w:t>
    </w:r>
    <w:r w:rsidR="00C955C7" w:rsidRPr="00C955C7">
      <w:t xml:space="preserve"> PRC-005 Order No. 803 Directives </w:t>
    </w:r>
    <w:r>
      <w:t xml:space="preserve">| </w:t>
    </w:r>
    <w:r w:rsidR="00904132">
      <w:t>March</w:t>
    </w:r>
    <w:r w:rsidR="00F31A25">
      <w:t xml:space="preserve"> </w:t>
    </w:r>
    <w:r w:rsidR="009B2332">
      <w:t>201</w:t>
    </w:r>
    <w:r w:rsidR="00A70407">
      <w:t>5</w:t>
    </w:r>
    <w:r>
      <w:tab/>
    </w:r>
    <w:r w:rsidR="0095698E">
      <w:fldChar w:fldCharType="begin"/>
    </w:r>
    <w:r w:rsidR="0095698E">
      <w:instrText xml:space="preserve"> PAGE </w:instrText>
    </w:r>
    <w:r w:rsidR="0095698E">
      <w:fldChar w:fldCharType="separate"/>
    </w:r>
    <w:r w:rsidR="006A3E43">
      <w:rPr>
        <w:noProof/>
      </w:rPr>
      <w:t>2</w:t>
    </w:r>
    <w:r w:rsidR="0095698E">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98" w:rsidRDefault="00A47F98" w:rsidP="00855BA8">
    <w:r>
      <w:rPr>
        <w:noProof/>
      </w:rPr>
      <w:drawing>
        <wp:anchor distT="0" distB="0" distL="114300" distR="114300" simplePos="0" relativeHeight="251665918" behindDoc="1" locked="0" layoutInCell="1" allowOverlap="1" wp14:anchorId="0F016690" wp14:editId="43C8624D">
          <wp:simplePos x="0" y="0"/>
          <wp:positionH relativeFrom="page">
            <wp:posOffset>0</wp:posOffset>
          </wp:positionH>
          <wp:positionV relativeFrom="page">
            <wp:posOffset>9458960</wp:posOffset>
          </wp:positionV>
          <wp:extent cx="7772400" cy="603250"/>
          <wp:effectExtent l="0" t="0" r="0" b="0"/>
          <wp:wrapNone/>
          <wp:docPr id="5" name="Picture 5"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EA7" w:rsidRDefault="00913EA7">
      <w:r>
        <w:separator/>
      </w:r>
    </w:p>
  </w:footnote>
  <w:footnote w:type="continuationSeparator" w:id="0">
    <w:p w:rsidR="00913EA7" w:rsidRDefault="00913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98" w:rsidRDefault="00A47F98">
    <w:r>
      <w:rPr>
        <w:noProof/>
      </w:rPr>
      <w:drawing>
        <wp:anchor distT="0" distB="0" distL="114300" distR="114300" simplePos="0" relativeHeight="251663870" behindDoc="1" locked="0" layoutInCell="1" allowOverlap="1" wp14:anchorId="47F474ED" wp14:editId="08369426">
          <wp:simplePos x="0" y="0"/>
          <wp:positionH relativeFrom="page">
            <wp:align>left</wp:align>
          </wp:positionH>
          <wp:positionV relativeFrom="page">
            <wp:align>top</wp:align>
          </wp:positionV>
          <wp:extent cx="7772400" cy="999490"/>
          <wp:effectExtent l="19050" t="0" r="0" b="0"/>
          <wp:wrapNone/>
          <wp:docPr id="2" name="Picture 2"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F98" w:rsidRDefault="00A47F98"/>
  <w:p w:rsidR="00A47F98" w:rsidRDefault="00A47F98">
    <w:r>
      <w:rPr>
        <w:noProof/>
      </w:rPr>
      <w:drawing>
        <wp:anchor distT="0" distB="0" distL="114300" distR="114300" simplePos="0" relativeHeight="251667966" behindDoc="1" locked="0" layoutInCell="1" allowOverlap="1" wp14:anchorId="30DE266F" wp14:editId="557545BE">
          <wp:simplePos x="0" y="0"/>
          <wp:positionH relativeFrom="page">
            <wp:posOffset>228600</wp:posOffset>
          </wp:positionH>
          <wp:positionV relativeFrom="page">
            <wp:posOffset>228600</wp:posOffset>
          </wp:positionV>
          <wp:extent cx="7315200" cy="68395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144C6A"/>
    <w:lvl w:ilvl="0">
      <w:start w:val="1"/>
      <w:numFmt w:val="decimal"/>
      <w:lvlText w:val="%1."/>
      <w:lvlJc w:val="left"/>
      <w:pPr>
        <w:tabs>
          <w:tab w:val="num" w:pos="1800"/>
        </w:tabs>
        <w:ind w:left="1800" w:hanging="360"/>
      </w:pPr>
    </w:lvl>
  </w:abstractNum>
  <w:abstractNum w:abstractNumId="1">
    <w:nsid w:val="FFFFFF7D"/>
    <w:multiLevelType w:val="singleLevel"/>
    <w:tmpl w:val="B88A36F0"/>
    <w:lvl w:ilvl="0">
      <w:start w:val="1"/>
      <w:numFmt w:val="decimal"/>
      <w:lvlText w:val="%1."/>
      <w:lvlJc w:val="left"/>
      <w:pPr>
        <w:tabs>
          <w:tab w:val="num" w:pos="1440"/>
        </w:tabs>
        <w:ind w:left="1440" w:hanging="360"/>
      </w:pPr>
    </w:lvl>
  </w:abstractNum>
  <w:abstractNum w:abstractNumId="2">
    <w:nsid w:val="FFFFFF7E"/>
    <w:multiLevelType w:val="singleLevel"/>
    <w:tmpl w:val="F038162E"/>
    <w:lvl w:ilvl="0">
      <w:start w:val="1"/>
      <w:numFmt w:val="decimal"/>
      <w:lvlText w:val="%1."/>
      <w:lvlJc w:val="left"/>
      <w:pPr>
        <w:tabs>
          <w:tab w:val="num" w:pos="1080"/>
        </w:tabs>
        <w:ind w:left="1080" w:hanging="360"/>
      </w:pPr>
    </w:lvl>
  </w:abstractNum>
  <w:abstractNum w:abstractNumId="3">
    <w:nsid w:val="FFFFFF7F"/>
    <w:multiLevelType w:val="singleLevel"/>
    <w:tmpl w:val="D0BE8B52"/>
    <w:lvl w:ilvl="0">
      <w:start w:val="1"/>
      <w:numFmt w:val="decimal"/>
      <w:lvlText w:val="%1."/>
      <w:lvlJc w:val="left"/>
      <w:pPr>
        <w:tabs>
          <w:tab w:val="num" w:pos="720"/>
        </w:tabs>
        <w:ind w:left="720" w:hanging="360"/>
      </w:pPr>
    </w:lvl>
  </w:abstractNum>
  <w:abstractNum w:abstractNumId="4">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002E1E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162E9A"/>
    <w:multiLevelType w:val="hybridMultilevel"/>
    <w:tmpl w:val="1534F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nsid w:val="1BDD33A2"/>
    <w:multiLevelType w:val="multilevel"/>
    <w:tmpl w:val="E410D42C"/>
    <w:numStyleLink w:val="NERCListBullets"/>
  </w:abstractNum>
  <w:abstractNum w:abstractNumId="17">
    <w:nsid w:val="2942134E"/>
    <w:multiLevelType w:val="hybridMultilevel"/>
    <w:tmpl w:val="A2C87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5">
    <w:nsid w:val="4B960212"/>
    <w:multiLevelType w:val="hybridMultilevel"/>
    <w:tmpl w:val="307EB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8C5F52"/>
    <w:multiLevelType w:val="hybridMultilevel"/>
    <w:tmpl w:val="126E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F96748"/>
    <w:multiLevelType w:val="hybridMultilevel"/>
    <w:tmpl w:val="F2E4C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1">
    <w:nsid w:val="783F4B0A"/>
    <w:multiLevelType w:val="singleLevel"/>
    <w:tmpl w:val="0409000F"/>
    <w:lvl w:ilvl="0">
      <w:start w:val="1"/>
      <w:numFmt w:val="decimal"/>
      <w:lvlText w:val="%1."/>
      <w:lvlJc w:val="left"/>
      <w:pPr>
        <w:ind w:left="720" w:hanging="360"/>
      </w:pPr>
    </w:lvl>
  </w:abstractNum>
  <w:abstractNum w:abstractNumId="32">
    <w:nsid w:val="78F46AFE"/>
    <w:multiLevelType w:val="hybridMultilevel"/>
    <w:tmpl w:val="A5E25FDC"/>
    <w:lvl w:ilvl="0" w:tplc="04090001">
      <w:start w:val="1"/>
      <w:numFmt w:val="bullet"/>
      <w:lvlText w:val=""/>
      <w:lvlJc w:val="left"/>
      <w:pPr>
        <w:ind w:left="1080" w:hanging="360"/>
      </w:pPr>
      <w:rPr>
        <w:rFonts w:ascii="Symbol" w:hAnsi="Symbol" w:hint="default"/>
      </w:rPr>
    </w:lvl>
    <w:lvl w:ilvl="1" w:tplc="0409001B">
      <w:start w:val="1"/>
      <w:numFmt w:val="lowerRoman"/>
      <w:lvlText w:val="%2."/>
      <w:lvlJc w:val="righ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8D518A"/>
    <w:multiLevelType w:val="hybridMultilevel"/>
    <w:tmpl w:val="BCF22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2"/>
  </w:num>
  <w:num w:numId="3">
    <w:abstractNumId w:val="29"/>
  </w:num>
  <w:num w:numId="4">
    <w:abstractNumId w:val="20"/>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4"/>
  </w:num>
  <w:num w:numId="21">
    <w:abstractNumId w:val="16"/>
  </w:num>
  <w:num w:numId="22">
    <w:abstractNumId w:val="10"/>
  </w:num>
  <w:num w:numId="23">
    <w:abstractNumId w:val="13"/>
  </w:num>
  <w:num w:numId="24">
    <w:abstractNumId w:val="22"/>
  </w:num>
  <w:num w:numId="25">
    <w:abstractNumId w:val="23"/>
  </w:num>
  <w:num w:numId="26">
    <w:abstractNumId w:val="33"/>
  </w:num>
  <w:num w:numId="27">
    <w:abstractNumId w:val="27"/>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17"/>
  </w:num>
  <w:num w:numId="31">
    <w:abstractNumId w:val="14"/>
  </w:num>
  <w:num w:numId="32">
    <w:abstractNumId w:val="34"/>
  </w:num>
  <w:num w:numId="33">
    <w:abstractNumId w:val="19"/>
  </w:num>
  <w:num w:numId="34">
    <w:abstractNumId w:val="31"/>
  </w:num>
  <w:num w:numId="35">
    <w:abstractNumId w:val="28"/>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51D24"/>
    <w:rsid w:val="00060E18"/>
    <w:rsid w:val="00070832"/>
    <w:rsid w:val="0009186E"/>
    <w:rsid w:val="00093788"/>
    <w:rsid w:val="000A70BC"/>
    <w:rsid w:val="000B36CB"/>
    <w:rsid w:val="000B49E3"/>
    <w:rsid w:val="000B7A04"/>
    <w:rsid w:val="000D7162"/>
    <w:rsid w:val="000D7AF2"/>
    <w:rsid w:val="000E3AB0"/>
    <w:rsid w:val="000F2177"/>
    <w:rsid w:val="000F4C80"/>
    <w:rsid w:val="00102A01"/>
    <w:rsid w:val="00104317"/>
    <w:rsid w:val="00132E88"/>
    <w:rsid w:val="001346AA"/>
    <w:rsid w:val="00136931"/>
    <w:rsid w:val="00154798"/>
    <w:rsid w:val="001574EA"/>
    <w:rsid w:val="00162ACA"/>
    <w:rsid w:val="0016651C"/>
    <w:rsid w:val="00185299"/>
    <w:rsid w:val="001859A9"/>
    <w:rsid w:val="001A6FC8"/>
    <w:rsid w:val="001A7B2D"/>
    <w:rsid w:val="001B732C"/>
    <w:rsid w:val="001C4424"/>
    <w:rsid w:val="001C7B0C"/>
    <w:rsid w:val="001D47FD"/>
    <w:rsid w:val="001D48ED"/>
    <w:rsid w:val="001E6782"/>
    <w:rsid w:val="001E7AF6"/>
    <w:rsid w:val="001F6F01"/>
    <w:rsid w:val="002038BA"/>
    <w:rsid w:val="00212C02"/>
    <w:rsid w:val="00262A2F"/>
    <w:rsid w:val="00262F32"/>
    <w:rsid w:val="00283FB4"/>
    <w:rsid w:val="002A209B"/>
    <w:rsid w:val="002C11E1"/>
    <w:rsid w:val="002C6E45"/>
    <w:rsid w:val="002D48A8"/>
    <w:rsid w:val="002F2BFE"/>
    <w:rsid w:val="003075F3"/>
    <w:rsid w:val="003134D1"/>
    <w:rsid w:val="003447B5"/>
    <w:rsid w:val="00366A96"/>
    <w:rsid w:val="00376D3E"/>
    <w:rsid w:val="0038676B"/>
    <w:rsid w:val="0039275D"/>
    <w:rsid w:val="003A039D"/>
    <w:rsid w:val="003A2C17"/>
    <w:rsid w:val="003C0FD0"/>
    <w:rsid w:val="003C2871"/>
    <w:rsid w:val="003C40A4"/>
    <w:rsid w:val="003E1C41"/>
    <w:rsid w:val="003E28CF"/>
    <w:rsid w:val="003F78BD"/>
    <w:rsid w:val="00403EBB"/>
    <w:rsid w:val="0040795F"/>
    <w:rsid w:val="00411B23"/>
    <w:rsid w:val="0042088D"/>
    <w:rsid w:val="00456B99"/>
    <w:rsid w:val="004631BF"/>
    <w:rsid w:val="00470550"/>
    <w:rsid w:val="00470B1F"/>
    <w:rsid w:val="004739A3"/>
    <w:rsid w:val="004800C7"/>
    <w:rsid w:val="004859C6"/>
    <w:rsid w:val="00487B7F"/>
    <w:rsid w:val="004A7BAA"/>
    <w:rsid w:val="004B7DE3"/>
    <w:rsid w:val="004D3EC5"/>
    <w:rsid w:val="004E7B5C"/>
    <w:rsid w:val="004F3DC5"/>
    <w:rsid w:val="00510652"/>
    <w:rsid w:val="00517F22"/>
    <w:rsid w:val="005240B5"/>
    <w:rsid w:val="005316C6"/>
    <w:rsid w:val="005316F3"/>
    <w:rsid w:val="00545613"/>
    <w:rsid w:val="00554C3C"/>
    <w:rsid w:val="00554CD1"/>
    <w:rsid w:val="00555F79"/>
    <w:rsid w:val="005640EA"/>
    <w:rsid w:val="00573832"/>
    <w:rsid w:val="00575783"/>
    <w:rsid w:val="00584F6D"/>
    <w:rsid w:val="00591CE2"/>
    <w:rsid w:val="00597D63"/>
    <w:rsid w:val="005A2920"/>
    <w:rsid w:val="005A721A"/>
    <w:rsid w:val="005B7382"/>
    <w:rsid w:val="005C2683"/>
    <w:rsid w:val="005C2C73"/>
    <w:rsid w:val="005D3F72"/>
    <w:rsid w:val="005D738E"/>
    <w:rsid w:val="005E1746"/>
    <w:rsid w:val="005E6F5D"/>
    <w:rsid w:val="00631174"/>
    <w:rsid w:val="00652754"/>
    <w:rsid w:val="00676409"/>
    <w:rsid w:val="00685D35"/>
    <w:rsid w:val="00692F16"/>
    <w:rsid w:val="006935E7"/>
    <w:rsid w:val="00694CD1"/>
    <w:rsid w:val="006A3CEB"/>
    <w:rsid w:val="006A3E43"/>
    <w:rsid w:val="006B3EC7"/>
    <w:rsid w:val="006B79D6"/>
    <w:rsid w:val="006C1F78"/>
    <w:rsid w:val="006C7571"/>
    <w:rsid w:val="006E4ED6"/>
    <w:rsid w:val="006E67B7"/>
    <w:rsid w:val="006F6DD1"/>
    <w:rsid w:val="00717FDE"/>
    <w:rsid w:val="00723EC7"/>
    <w:rsid w:val="007254EA"/>
    <w:rsid w:val="00733724"/>
    <w:rsid w:val="0073546A"/>
    <w:rsid w:val="00737219"/>
    <w:rsid w:val="0074626C"/>
    <w:rsid w:val="0075523D"/>
    <w:rsid w:val="00760B1C"/>
    <w:rsid w:val="00784EFD"/>
    <w:rsid w:val="00791651"/>
    <w:rsid w:val="0079656F"/>
    <w:rsid w:val="007A5C7E"/>
    <w:rsid w:val="007C12E8"/>
    <w:rsid w:val="007C1AEF"/>
    <w:rsid w:val="007E0028"/>
    <w:rsid w:val="007E32DA"/>
    <w:rsid w:val="00826E82"/>
    <w:rsid w:val="0084115B"/>
    <w:rsid w:val="00844209"/>
    <w:rsid w:val="008542FC"/>
    <w:rsid w:val="00855264"/>
    <w:rsid w:val="00855BA8"/>
    <w:rsid w:val="00860F5D"/>
    <w:rsid w:val="00861E94"/>
    <w:rsid w:val="00882E1B"/>
    <w:rsid w:val="008866E7"/>
    <w:rsid w:val="008C1A0A"/>
    <w:rsid w:val="008C2858"/>
    <w:rsid w:val="008D532D"/>
    <w:rsid w:val="008F09D5"/>
    <w:rsid w:val="00904132"/>
    <w:rsid w:val="00905A97"/>
    <w:rsid w:val="00905DC1"/>
    <w:rsid w:val="00913EA7"/>
    <w:rsid w:val="0091530F"/>
    <w:rsid w:val="009218CA"/>
    <w:rsid w:val="00926B1F"/>
    <w:rsid w:val="0095698E"/>
    <w:rsid w:val="00964CB8"/>
    <w:rsid w:val="00970A35"/>
    <w:rsid w:val="009838D6"/>
    <w:rsid w:val="00990DAF"/>
    <w:rsid w:val="009A3624"/>
    <w:rsid w:val="009A4DFE"/>
    <w:rsid w:val="009B2332"/>
    <w:rsid w:val="009C211C"/>
    <w:rsid w:val="009C777F"/>
    <w:rsid w:val="00A159B9"/>
    <w:rsid w:val="00A16B9C"/>
    <w:rsid w:val="00A303F3"/>
    <w:rsid w:val="00A31945"/>
    <w:rsid w:val="00A35DA7"/>
    <w:rsid w:val="00A47F98"/>
    <w:rsid w:val="00A6738A"/>
    <w:rsid w:val="00A70407"/>
    <w:rsid w:val="00A8535E"/>
    <w:rsid w:val="00A90B26"/>
    <w:rsid w:val="00A91FB4"/>
    <w:rsid w:val="00A92B1C"/>
    <w:rsid w:val="00AA1292"/>
    <w:rsid w:val="00AA13DB"/>
    <w:rsid w:val="00AC075B"/>
    <w:rsid w:val="00AC0C35"/>
    <w:rsid w:val="00AC36AD"/>
    <w:rsid w:val="00AC42DA"/>
    <w:rsid w:val="00AD1865"/>
    <w:rsid w:val="00AD3B11"/>
    <w:rsid w:val="00AE06D3"/>
    <w:rsid w:val="00AE5BB0"/>
    <w:rsid w:val="00B146D4"/>
    <w:rsid w:val="00B21462"/>
    <w:rsid w:val="00B36D07"/>
    <w:rsid w:val="00B375B5"/>
    <w:rsid w:val="00B67A92"/>
    <w:rsid w:val="00B81B28"/>
    <w:rsid w:val="00B90D2E"/>
    <w:rsid w:val="00B95513"/>
    <w:rsid w:val="00BA34E0"/>
    <w:rsid w:val="00BE5580"/>
    <w:rsid w:val="00BF2606"/>
    <w:rsid w:val="00C06FBE"/>
    <w:rsid w:val="00C2121A"/>
    <w:rsid w:val="00C31EA1"/>
    <w:rsid w:val="00C36DA2"/>
    <w:rsid w:val="00C64E95"/>
    <w:rsid w:val="00C65B49"/>
    <w:rsid w:val="00C727E3"/>
    <w:rsid w:val="00C73EF2"/>
    <w:rsid w:val="00C75655"/>
    <w:rsid w:val="00C802A9"/>
    <w:rsid w:val="00C84D89"/>
    <w:rsid w:val="00C955C7"/>
    <w:rsid w:val="00C96AC8"/>
    <w:rsid w:val="00C97D29"/>
    <w:rsid w:val="00CA232D"/>
    <w:rsid w:val="00CA401C"/>
    <w:rsid w:val="00CB54F5"/>
    <w:rsid w:val="00CC02DE"/>
    <w:rsid w:val="00CC04D5"/>
    <w:rsid w:val="00CC7BE7"/>
    <w:rsid w:val="00CF6E4A"/>
    <w:rsid w:val="00CF78A7"/>
    <w:rsid w:val="00D00890"/>
    <w:rsid w:val="00D225E0"/>
    <w:rsid w:val="00D228D6"/>
    <w:rsid w:val="00D24289"/>
    <w:rsid w:val="00D31B2F"/>
    <w:rsid w:val="00D35D48"/>
    <w:rsid w:val="00D56EBF"/>
    <w:rsid w:val="00D5715F"/>
    <w:rsid w:val="00D71B57"/>
    <w:rsid w:val="00D72B49"/>
    <w:rsid w:val="00D7715A"/>
    <w:rsid w:val="00D81573"/>
    <w:rsid w:val="00D835A5"/>
    <w:rsid w:val="00D8646B"/>
    <w:rsid w:val="00D9120D"/>
    <w:rsid w:val="00D92883"/>
    <w:rsid w:val="00D933A3"/>
    <w:rsid w:val="00D9670F"/>
    <w:rsid w:val="00D96A22"/>
    <w:rsid w:val="00DA634C"/>
    <w:rsid w:val="00DB62EC"/>
    <w:rsid w:val="00DB7C23"/>
    <w:rsid w:val="00DC3755"/>
    <w:rsid w:val="00DC4D2B"/>
    <w:rsid w:val="00DC63DB"/>
    <w:rsid w:val="00DC6B8D"/>
    <w:rsid w:val="00DE6954"/>
    <w:rsid w:val="00DF32CB"/>
    <w:rsid w:val="00E00283"/>
    <w:rsid w:val="00E02F52"/>
    <w:rsid w:val="00E202F4"/>
    <w:rsid w:val="00E41B22"/>
    <w:rsid w:val="00E42434"/>
    <w:rsid w:val="00E42E83"/>
    <w:rsid w:val="00E43401"/>
    <w:rsid w:val="00E43A0D"/>
    <w:rsid w:val="00E575A0"/>
    <w:rsid w:val="00E709AD"/>
    <w:rsid w:val="00E71B54"/>
    <w:rsid w:val="00E806C3"/>
    <w:rsid w:val="00EA11D3"/>
    <w:rsid w:val="00EA70E5"/>
    <w:rsid w:val="00ED5673"/>
    <w:rsid w:val="00EE4C1E"/>
    <w:rsid w:val="00EF5DFB"/>
    <w:rsid w:val="00EF6F41"/>
    <w:rsid w:val="00F006EF"/>
    <w:rsid w:val="00F07493"/>
    <w:rsid w:val="00F10715"/>
    <w:rsid w:val="00F31926"/>
    <w:rsid w:val="00F31A25"/>
    <w:rsid w:val="00F40074"/>
    <w:rsid w:val="00F55DCC"/>
    <w:rsid w:val="00F57C03"/>
    <w:rsid w:val="00F655D5"/>
    <w:rsid w:val="00F6772B"/>
    <w:rsid w:val="00F7187A"/>
    <w:rsid w:val="00F7641D"/>
    <w:rsid w:val="00F8146F"/>
    <w:rsid w:val="00F82125"/>
    <w:rsid w:val="00F8287F"/>
    <w:rsid w:val="00F84F32"/>
    <w:rsid w:val="00FA4BE5"/>
    <w:rsid w:val="00FA5D71"/>
    <w:rsid w:val="00FB0586"/>
    <w:rsid w:val="00FB5404"/>
    <w:rsid w:val="00FC2075"/>
    <w:rsid w:val="00FC3AEC"/>
    <w:rsid w:val="00FC3D2E"/>
    <w:rsid w:val="00FC72E9"/>
    <w:rsid w:val="00FC7B36"/>
    <w:rsid w:val="00FD74B7"/>
    <w:rsid w:val="00FE0D1D"/>
    <w:rsid w:val="00FE5672"/>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iPriority w:val="99"/>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C955C7"/>
    <w:rPr>
      <w:rFonts w:ascii="Arial" w:hAnsi="Arial"/>
      <w:sz w:val="20"/>
    </w:rPr>
  </w:style>
  <w:style w:type="paragraph" w:customStyle="1" w:styleId="Bullet">
    <w:name w:val="Bullet"/>
    <w:basedOn w:val="Normal"/>
    <w:rsid w:val="00C955C7"/>
    <w:pPr>
      <w:numPr>
        <w:numId w:val="33"/>
      </w:numPr>
      <w:spacing w:before="120"/>
    </w:pPr>
    <w:rPr>
      <w:rFonts w:ascii="Times New Roman" w:hAnsi="Times New Roman"/>
      <w:sz w:val="22"/>
      <w:szCs w:val="20"/>
    </w:rPr>
  </w:style>
  <w:style w:type="paragraph" w:styleId="BodyText">
    <w:name w:val="Body Text"/>
    <w:basedOn w:val="Normal"/>
    <w:link w:val="BodyTextChar1"/>
    <w:rsid w:val="00F10715"/>
    <w:pPr>
      <w:spacing w:after="120"/>
    </w:pPr>
    <w:rPr>
      <w:rFonts w:ascii="Times New Roman" w:hAnsi="Times New Roman"/>
      <w:sz w:val="22"/>
      <w:szCs w:val="20"/>
    </w:rPr>
  </w:style>
  <w:style w:type="character" w:customStyle="1" w:styleId="BodyTextChar">
    <w:name w:val="Body Text Char"/>
    <w:basedOn w:val="DefaultParagraphFont"/>
    <w:uiPriority w:val="99"/>
    <w:semiHidden/>
    <w:rsid w:val="00F10715"/>
    <w:rPr>
      <w:rFonts w:asciiTheme="minorHAnsi" w:hAnsiTheme="minorHAnsi"/>
      <w:sz w:val="24"/>
      <w:szCs w:val="24"/>
    </w:rPr>
  </w:style>
  <w:style w:type="character" w:customStyle="1" w:styleId="BodyTextChar1">
    <w:name w:val="Body Text Char1"/>
    <w:basedOn w:val="DefaultParagraphFont"/>
    <w:link w:val="BodyText"/>
    <w:rsid w:val="00F1071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phen.crutchfield@nerc.ne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www.nerc.com/pa/Stand/Pages/Project-201505-PRC005-Order-No-803-Directives.aspx"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8E2A169AFFAD4A95CAE210116D233E" ma:contentTypeVersion="40" ma:contentTypeDescription="Create a new document." ma:contentTypeScope="" ma:versionID="7a0223cf5c32a968a4639eba59da0bc9">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C5DD1F09-8771-4E96-8215-44892FC22223}"/>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A1227E5B-E7C4-4AD3-97EE-96884A07A9B1}">
  <ds:schemaRefs>
    <ds:schemaRef ds:uri="http://schemas.microsoft.com/sharepoint/v3/contenttype/forms"/>
  </ds:schemaRefs>
</ds:datastoreItem>
</file>

<file path=customXml/itemProps5.xml><?xml version="1.0" encoding="utf-8"?>
<ds:datastoreItem xmlns:ds="http://schemas.openxmlformats.org/officeDocument/2006/customXml" ds:itemID="{A76B0A5B-45AE-40E5-98DD-456446B09D30}"/>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2015-03-11T19:23:00Z</dcterms:created>
  <dcterms:modified xsi:type="dcterms:W3CDTF">2015-03-11T19:23:00Z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0x010100B58E2A169AFFAD4A95CAE210116D233E</vt:lpwstr>
  </property>
  <property fmtid="{D5CDD505-2E9C-101B-9397-08002B2CF9AE}" pid="3" name="Document Category">
    <vt:lpwstr>Template</vt:lpwstr>
  </property>
  <property fmtid="{D5CDD505-2E9C-101B-9397-08002B2CF9AE}" pid="4" name="_dlc_DocIdItemGuid">
    <vt:lpwstr>9ddc671d-5528-4d4d-8b20-c6711fae088d</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