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45" w:rsidRDefault="00193AE7" w:rsidP="00FD1345">
      <w:pPr>
        <w:pStyle w:val="DocumentTitle"/>
        <w:rPr>
          <w:rFonts w:ascii="Verdana" w:hAnsi="Verdana"/>
          <w:sz w:val="24"/>
        </w:rPr>
      </w:pPr>
      <w:bookmarkStart w:id="0" w:name="_Toc195946478"/>
      <w:r w:rsidRPr="00193AE7">
        <w:rPr>
          <w:szCs w:val="44"/>
        </w:rPr>
        <w:t>Nomination Form</w:t>
      </w:r>
      <w:r>
        <w:br/>
      </w:r>
      <w:r w:rsidR="0000166A" w:rsidRPr="00896153">
        <w:rPr>
          <w:b w:val="0"/>
          <w:sz w:val="36"/>
          <w:szCs w:val="36"/>
        </w:rPr>
        <w:t xml:space="preserve">Project </w:t>
      </w:r>
      <w:r w:rsidR="00476B91">
        <w:rPr>
          <w:b w:val="0"/>
          <w:sz w:val="36"/>
          <w:szCs w:val="36"/>
        </w:rPr>
        <w:t>2015</w:t>
      </w:r>
      <w:r w:rsidR="0000166A" w:rsidRPr="00896153">
        <w:rPr>
          <w:b w:val="0"/>
          <w:sz w:val="36"/>
          <w:szCs w:val="36"/>
        </w:rPr>
        <w:t>-0</w:t>
      </w:r>
      <w:r w:rsidR="00E24246">
        <w:rPr>
          <w:b w:val="0"/>
          <w:sz w:val="36"/>
          <w:szCs w:val="36"/>
        </w:rPr>
        <w:t>8</w:t>
      </w:r>
      <w:r w:rsidR="0000166A" w:rsidRPr="00896153">
        <w:rPr>
          <w:b w:val="0"/>
          <w:sz w:val="36"/>
          <w:szCs w:val="36"/>
        </w:rPr>
        <w:t xml:space="preserve"> </w:t>
      </w:r>
      <w:r w:rsidR="00476B91">
        <w:rPr>
          <w:b w:val="0"/>
          <w:sz w:val="36"/>
          <w:szCs w:val="36"/>
        </w:rPr>
        <w:t xml:space="preserve">Emergency Operations </w:t>
      </w:r>
      <w:r w:rsidR="00E24246">
        <w:rPr>
          <w:b w:val="0"/>
          <w:sz w:val="36"/>
          <w:szCs w:val="36"/>
        </w:rPr>
        <w:t>Standards Drafting</w:t>
      </w:r>
      <w:r w:rsidR="00476B91">
        <w:rPr>
          <w:b w:val="0"/>
          <w:sz w:val="36"/>
          <w:szCs w:val="36"/>
        </w:rPr>
        <w:t xml:space="preserve"> Team</w:t>
      </w:r>
      <w:r w:rsidR="0000166A" w:rsidRPr="00896153">
        <w:rPr>
          <w:b w:val="0"/>
          <w:sz w:val="36"/>
          <w:szCs w:val="36"/>
        </w:rPr>
        <w:br/>
      </w:r>
    </w:p>
    <w:p w:rsidR="00816016" w:rsidRPr="00816016" w:rsidRDefault="00816016" w:rsidP="00816016">
      <w:pPr>
        <w:rPr>
          <w:rFonts w:cs="Arial"/>
        </w:rPr>
      </w:pPr>
      <w:r w:rsidRPr="00816016">
        <w:rPr>
          <w:rFonts w:cs="Arial"/>
        </w:rPr>
        <w:t>Please return this form as soon as possible</w:t>
      </w:r>
      <w:r w:rsidR="00663305">
        <w:rPr>
          <w:rFonts w:ascii="Calibri" w:hAnsi="Calibri" w:cs="Arial"/>
        </w:rPr>
        <w:t xml:space="preserve">, but no later than </w:t>
      </w:r>
      <w:r w:rsidR="00663305">
        <w:rPr>
          <w:rStyle w:val="Strong"/>
          <w:rFonts w:ascii="Calibri" w:hAnsi="Calibri" w:cs="Arial"/>
        </w:rPr>
        <w:t>8:00 p.m. Eastern, Tuesday, August 4, 2015</w:t>
      </w:r>
      <w:r w:rsidRPr="00816016">
        <w:rPr>
          <w:rFonts w:cs="Arial"/>
          <w:b/>
        </w:rPr>
        <w:t>.</w:t>
      </w:r>
      <w:r w:rsidRPr="00816016">
        <w:rPr>
          <w:rFonts w:cs="Arial"/>
        </w:rPr>
        <w:t xml:space="preserve">  </w:t>
      </w:r>
      <w:r w:rsidR="00663305">
        <w:rPr>
          <w:rFonts w:ascii="Calibri" w:hAnsi="Calibri" w:cs="Arial"/>
        </w:rPr>
        <w:t xml:space="preserve">This unofficial version is provided to assist nominees in compiling the information necessary to submit the electronic form. </w:t>
      </w:r>
      <w:r w:rsidRPr="00816016">
        <w:rPr>
          <w:rFonts w:cs="Arial"/>
        </w:rPr>
        <w:t xml:space="preserve">If you have any questions, please contact </w:t>
      </w:r>
      <w:hyperlink r:id="rId12" w:history="1">
        <w:r w:rsidR="00476B91" w:rsidRPr="00663305">
          <w:rPr>
            <w:rStyle w:val="Hyperlink"/>
            <w:rFonts w:cs="Arial"/>
          </w:rPr>
          <w:t>Laura Anderson</w:t>
        </w:r>
      </w:hyperlink>
      <w:r w:rsidR="00676CFA">
        <w:rPr>
          <w:rFonts w:ascii="Tahoma" w:hAnsi="Tahoma" w:cs="Tahoma"/>
          <w:color w:val="1F497D"/>
          <w:sz w:val="20"/>
          <w:szCs w:val="20"/>
        </w:rPr>
        <w:t>.</w:t>
      </w:r>
      <w:r w:rsidRPr="00816016">
        <w:rPr>
          <w:rFonts w:cs="Arial"/>
        </w:rPr>
        <w:t xml:space="preserve"> </w:t>
      </w:r>
    </w:p>
    <w:p w:rsidR="00816016" w:rsidRDefault="00816016" w:rsidP="00816016">
      <w:pPr>
        <w:rPr>
          <w:rFonts w:ascii="Verdana" w:hAnsi="Verdana" w:cs="Arial"/>
          <w:sz w:val="18"/>
          <w:szCs w:val="18"/>
        </w:rPr>
      </w:pPr>
    </w:p>
    <w:p w:rsidR="002B29E4" w:rsidRPr="004C0DCD" w:rsidRDefault="002B29E4" w:rsidP="002B29E4">
      <w:pPr>
        <w:ind w:left="-5" w:right="378"/>
        <w:rPr>
          <w:color w:val="000000"/>
        </w:rPr>
      </w:pPr>
      <w:r w:rsidRPr="00B367D4">
        <w:rPr>
          <w:color w:val="000000"/>
        </w:rPr>
        <w:t>By submitting a nomination form, you are indicating your willingness and agreement to actively participate in the review or drafting team meetings if appointed by the Standards Committee. If appointed, you are expected to attend most of the face-to-face drafting team meetings</w:t>
      </w:r>
      <w:r>
        <w:rPr>
          <w:color w:val="000000"/>
        </w:rPr>
        <w:t>,</w:t>
      </w:r>
      <w:r w:rsidRPr="00B367D4">
        <w:rPr>
          <w:color w:val="000000"/>
        </w:rPr>
        <w:t xml:space="preserve"> as well as participate in all the team meetings held via conference calls.</w:t>
      </w:r>
    </w:p>
    <w:p w:rsidR="002B29E4" w:rsidRDefault="002B29E4" w:rsidP="002B29E4">
      <w:pPr>
        <w:ind w:left="-5" w:right="378"/>
        <w:rPr>
          <w:color w:val="000000"/>
        </w:rPr>
      </w:pPr>
    </w:p>
    <w:p w:rsidR="002B29E4" w:rsidRDefault="002B29E4" w:rsidP="002B29E4">
      <w:pPr>
        <w:ind w:left="-5" w:right="378"/>
        <w:rPr>
          <w:color w:val="000000"/>
        </w:rPr>
      </w:pPr>
      <w:r w:rsidRPr="004C0DCD">
        <w:rPr>
          <w:color w:val="000000"/>
        </w:rPr>
        <w:t>The time commitment for these projects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Pr>
          <w:color w:val="000000"/>
        </w:rPr>
        <w:t>D</w:t>
      </w:r>
      <w:r w:rsidRPr="004C0DCD">
        <w:rPr>
          <w:color w:val="000000"/>
        </w:rPr>
        <w:t>rafting teams also will have side projects, either individually or by subgroup, to present to the larger team for discussion and review. Lastly, an important component of the review and drafting team efforts is outreach. Members of the team should be conducting outreach during development prior to posting to ensure all issues can be discussed and resolved.</w:t>
      </w:r>
    </w:p>
    <w:p w:rsidR="002B29E4" w:rsidRDefault="002B29E4" w:rsidP="002B29E4">
      <w:pPr>
        <w:ind w:left="-5" w:right="378"/>
        <w:rPr>
          <w:color w:val="000000"/>
        </w:rPr>
      </w:pPr>
    </w:p>
    <w:p w:rsidR="002B29E4" w:rsidRDefault="002B29E4" w:rsidP="002B29E4">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rsidR="00816016" w:rsidRDefault="00816016" w:rsidP="00816016">
      <w:pPr>
        <w:rPr>
          <w:rFonts w:ascii="Verdana" w:hAnsi="Verdana" w:cs="Arial"/>
          <w:sz w:val="20"/>
        </w:rPr>
      </w:pPr>
    </w:p>
    <w:p w:rsidR="00E24246" w:rsidRDefault="00816016" w:rsidP="00476B91">
      <w:pPr>
        <w:pStyle w:val="default0"/>
        <w:rPr>
          <w:rFonts w:asciiTheme="minorHAnsi" w:hAnsiTheme="minorHAnsi" w:cs="Tahoma"/>
        </w:rPr>
      </w:pPr>
      <w:r w:rsidRPr="00816016">
        <w:rPr>
          <w:rStyle w:val="BoxText"/>
          <w:rFonts w:ascii="Verdana" w:hAnsi="Verdana" w:cs="Arial"/>
          <w:sz w:val="22"/>
          <w:szCs w:val="22"/>
        </w:rPr>
        <w:t>Project 20</w:t>
      </w:r>
      <w:r w:rsidR="00476B91">
        <w:rPr>
          <w:rStyle w:val="BoxText"/>
          <w:rFonts w:ascii="Verdana" w:hAnsi="Verdana" w:cs="Arial"/>
          <w:sz w:val="22"/>
          <w:szCs w:val="22"/>
        </w:rPr>
        <w:t>15</w:t>
      </w:r>
      <w:r w:rsidRPr="00816016">
        <w:rPr>
          <w:rStyle w:val="BoxText"/>
          <w:rFonts w:ascii="Verdana" w:hAnsi="Verdana" w:cs="Arial"/>
          <w:sz w:val="22"/>
          <w:szCs w:val="22"/>
        </w:rPr>
        <w:t>-0</w:t>
      </w:r>
      <w:r w:rsidR="00E24246">
        <w:rPr>
          <w:rStyle w:val="BoxText"/>
          <w:rFonts w:ascii="Verdana" w:hAnsi="Verdana" w:cs="Arial"/>
          <w:sz w:val="22"/>
          <w:szCs w:val="22"/>
        </w:rPr>
        <w:t>8</w:t>
      </w:r>
      <w:r w:rsidRPr="00816016">
        <w:rPr>
          <w:rStyle w:val="BoxText"/>
          <w:rFonts w:ascii="Verdana" w:hAnsi="Verdana" w:cs="Arial"/>
          <w:sz w:val="22"/>
          <w:szCs w:val="22"/>
        </w:rPr>
        <w:t xml:space="preserve"> </w:t>
      </w:r>
      <w:r w:rsidR="00476B91">
        <w:rPr>
          <w:rStyle w:val="BoxText"/>
          <w:rFonts w:ascii="Verdana" w:hAnsi="Verdana" w:cs="Arial"/>
          <w:sz w:val="22"/>
          <w:szCs w:val="22"/>
        </w:rPr>
        <w:t xml:space="preserve">Emergency Operations </w:t>
      </w:r>
      <w:r w:rsidRPr="00816016">
        <w:rPr>
          <w:rStyle w:val="BoxText"/>
          <w:rFonts w:ascii="Verdana" w:hAnsi="Verdana" w:cs="Arial"/>
          <w:sz w:val="22"/>
          <w:szCs w:val="22"/>
        </w:rPr>
        <w:br/>
      </w:r>
      <w:r w:rsidR="00476B91" w:rsidRPr="00476B91">
        <w:rPr>
          <w:rStyle w:val="BoxText"/>
          <w:rFonts w:asciiTheme="minorHAnsi" w:hAnsiTheme="minorHAnsi" w:cs="Arial"/>
          <w:b w:val="0"/>
          <w:sz w:val="24"/>
        </w:rPr>
        <w:t xml:space="preserve">The purpose of this project is to </w:t>
      </w:r>
      <w:r w:rsidR="00E24246">
        <w:rPr>
          <w:rStyle w:val="BoxText"/>
          <w:rFonts w:asciiTheme="minorHAnsi" w:hAnsiTheme="minorHAnsi" w:cs="Arial"/>
          <w:b w:val="0"/>
          <w:sz w:val="24"/>
        </w:rPr>
        <w:t xml:space="preserve">implement the recommendations of the </w:t>
      </w:r>
      <w:r w:rsidR="00476B91" w:rsidRPr="00476B91">
        <w:rPr>
          <w:rStyle w:val="BoxText"/>
          <w:rFonts w:asciiTheme="minorHAnsi" w:hAnsiTheme="minorHAnsi" w:cs="Arial"/>
          <w:b w:val="0"/>
          <w:sz w:val="24"/>
        </w:rPr>
        <w:t>Periodic R</w:t>
      </w:r>
      <w:r w:rsidR="00476B91" w:rsidRPr="00476B91">
        <w:rPr>
          <w:rFonts w:asciiTheme="minorHAnsi" w:hAnsiTheme="minorHAnsi" w:cs="Tahoma"/>
        </w:rPr>
        <w:t xml:space="preserve">eview </w:t>
      </w:r>
      <w:r w:rsidR="00E24246">
        <w:rPr>
          <w:rFonts w:asciiTheme="minorHAnsi" w:hAnsiTheme="minorHAnsi" w:cs="Tahoma"/>
        </w:rPr>
        <w:t xml:space="preserve">Team (PRT) that resulted from the PRT’s review </w:t>
      </w:r>
      <w:r w:rsidR="00476B91" w:rsidRPr="00476B91">
        <w:rPr>
          <w:rFonts w:asciiTheme="minorHAnsi" w:hAnsiTheme="minorHAnsi" w:cs="Tahoma"/>
        </w:rPr>
        <w:t>of a subset of Emergency Operations (EOP) Standards.  The Periodic Review comprehensively review</w:t>
      </w:r>
      <w:r w:rsidR="00E24246">
        <w:rPr>
          <w:rFonts w:asciiTheme="minorHAnsi" w:hAnsiTheme="minorHAnsi" w:cs="Tahoma"/>
        </w:rPr>
        <w:t>ed</w:t>
      </w:r>
      <w:r w:rsidR="00476B91" w:rsidRPr="00476B91">
        <w:rPr>
          <w:rFonts w:asciiTheme="minorHAnsi" w:hAnsiTheme="minorHAnsi" w:cs="Tahoma"/>
        </w:rPr>
        <w:t xml:space="preserve"> EOP-004, EOP-005, EOP-006 and EOP-008 to </w:t>
      </w:r>
      <w:r w:rsidR="00476B91" w:rsidRPr="00476B91">
        <w:rPr>
          <w:rFonts w:asciiTheme="minorHAnsi" w:hAnsiTheme="minorHAnsi" w:cs="Tahoma"/>
          <w:color w:val="auto"/>
        </w:rPr>
        <w:t xml:space="preserve">evaluate, for example, whether </w:t>
      </w:r>
      <w:r w:rsidR="00476B91" w:rsidRPr="00476B91">
        <w:rPr>
          <w:rFonts w:asciiTheme="minorHAnsi" w:hAnsiTheme="minorHAnsi" w:cs="Tahoma"/>
        </w:rPr>
        <w:t>the requirements are clear and unambiguous. The Periodic Review include</w:t>
      </w:r>
      <w:r w:rsidR="00E24246">
        <w:rPr>
          <w:rFonts w:asciiTheme="minorHAnsi" w:hAnsiTheme="minorHAnsi" w:cs="Tahoma"/>
        </w:rPr>
        <w:t>d</w:t>
      </w:r>
      <w:r w:rsidR="00476B91" w:rsidRPr="00476B91">
        <w:rPr>
          <w:rFonts w:asciiTheme="minorHAnsi" w:hAnsiTheme="minorHAnsi" w:cs="Tahoma"/>
        </w:rPr>
        <w:t xml:space="preserve"> </w:t>
      </w:r>
      <w:r w:rsidR="00E24246">
        <w:rPr>
          <w:rFonts w:asciiTheme="minorHAnsi" w:hAnsiTheme="minorHAnsi" w:cs="Tahoma"/>
        </w:rPr>
        <w:t>developing a recommendation based upon the language of Federal Energy Regulatory Commission (Commission) Order no. 749</w:t>
      </w:r>
      <w:r w:rsidR="00E24246">
        <w:rPr>
          <w:rStyle w:val="FootnoteReference"/>
          <w:rFonts w:asciiTheme="minorHAnsi" w:hAnsiTheme="minorHAnsi" w:cs="Tahoma"/>
        </w:rPr>
        <w:footnoteReference w:id="1"/>
      </w:r>
      <w:r w:rsidR="00E24246">
        <w:rPr>
          <w:rFonts w:asciiTheme="minorHAnsi" w:hAnsiTheme="minorHAnsi" w:cs="Tahoma"/>
        </w:rPr>
        <w:t xml:space="preserve"> as follows:</w:t>
      </w:r>
    </w:p>
    <w:p w:rsidR="00E24246" w:rsidRDefault="00E24246" w:rsidP="00476B91">
      <w:pPr>
        <w:pStyle w:val="default0"/>
        <w:rPr>
          <w:rFonts w:asciiTheme="minorHAnsi" w:hAnsiTheme="minorHAnsi" w:cs="Tahoma"/>
        </w:rPr>
      </w:pPr>
    </w:p>
    <w:p w:rsidR="00E24246" w:rsidRDefault="00E24246" w:rsidP="00E24246">
      <w:pPr>
        <w:pStyle w:val="default0"/>
        <w:ind w:left="900"/>
        <w:rPr>
          <w:rFonts w:asciiTheme="minorHAnsi" w:hAnsiTheme="minorHAnsi"/>
          <w:i/>
          <w:sz w:val="20"/>
          <w:szCs w:val="20"/>
        </w:rPr>
      </w:pPr>
      <w:r w:rsidRPr="000745F0">
        <w:rPr>
          <w:rFonts w:asciiTheme="minorHAnsi" w:hAnsiTheme="minorHAnsi"/>
          <w:i/>
          <w:sz w:val="20"/>
          <w:szCs w:val="20"/>
        </w:rPr>
        <w:t>“[N</w:t>
      </w:r>
      <w:proofErr w:type="gramStart"/>
      <w:r w:rsidRPr="000745F0">
        <w:rPr>
          <w:rFonts w:asciiTheme="minorHAnsi" w:hAnsiTheme="minorHAnsi"/>
          <w:i/>
          <w:sz w:val="20"/>
          <w:szCs w:val="20"/>
        </w:rPr>
        <w:t>]ERC</w:t>
      </w:r>
      <w:proofErr w:type="gramEnd"/>
      <w:r w:rsidRPr="000745F0">
        <w:rPr>
          <w:rFonts w:asciiTheme="minorHAnsi" w:hAnsiTheme="minorHAnsi"/>
          <w:i/>
          <w:sz w:val="20"/>
          <w:szCs w:val="20"/>
        </w:rPr>
        <w:t>, in its comments about the term, states that it “could promote the development of a guideline to aid registered entities in complying with Requirement R11.”</w:t>
      </w:r>
      <w:r w:rsidRPr="000745F0">
        <w:rPr>
          <w:rFonts w:asciiTheme="minorHAnsi" w:hAnsiTheme="minorHAnsi"/>
          <w:bCs/>
          <w:i/>
          <w:sz w:val="20"/>
          <w:szCs w:val="20"/>
        </w:rPr>
        <w:t xml:space="preserve"> </w:t>
      </w:r>
      <w:r w:rsidRPr="000745F0">
        <w:rPr>
          <w:rFonts w:asciiTheme="minorHAnsi" w:hAnsiTheme="minorHAnsi"/>
          <w:i/>
          <w:sz w:val="20"/>
          <w:szCs w:val="20"/>
        </w:rPr>
        <w:t>The Commission notes that this Reliability Standard will not become effective for at least 24 months, during which time ambiguities in language or differences of opinion among affected entities may be resolved in practical ways. Once the Standard is effective, if industry determines that ambiguity with the term arises, it would be appropriate for NERC to consider its proposal to develop a guideline to aid entities in their compliance obligations.”</w:t>
      </w:r>
      <w:r w:rsidRPr="000745F0">
        <w:rPr>
          <w:rStyle w:val="FootnoteReference"/>
          <w:rFonts w:asciiTheme="minorHAnsi" w:hAnsiTheme="minorHAnsi"/>
          <w:i/>
          <w:sz w:val="20"/>
          <w:szCs w:val="20"/>
        </w:rPr>
        <w:footnoteReference w:id="2"/>
      </w:r>
    </w:p>
    <w:p w:rsidR="00E24246" w:rsidRDefault="00E24246" w:rsidP="00476B91">
      <w:pPr>
        <w:pStyle w:val="default0"/>
        <w:rPr>
          <w:rFonts w:asciiTheme="minorHAnsi" w:hAnsiTheme="minorHAnsi" w:cs="Tahoma"/>
        </w:rPr>
      </w:pPr>
      <w:r>
        <w:rPr>
          <w:rFonts w:asciiTheme="minorHAnsi" w:hAnsiTheme="minorHAnsi" w:cs="Tahoma"/>
        </w:rPr>
        <w:lastRenderedPageBreak/>
        <w:t xml:space="preserve">The Periodic Review also included </w:t>
      </w:r>
      <w:r w:rsidR="00476B91" w:rsidRPr="00476B91">
        <w:rPr>
          <w:rFonts w:asciiTheme="minorHAnsi" w:hAnsiTheme="minorHAnsi" w:cs="Tahoma"/>
        </w:rPr>
        <w:t xml:space="preserve">background information, along with associated worksheets </w:t>
      </w:r>
      <w:r>
        <w:rPr>
          <w:rFonts w:asciiTheme="minorHAnsi" w:hAnsiTheme="minorHAnsi" w:cs="Tahoma"/>
        </w:rPr>
        <w:t>and</w:t>
      </w:r>
      <w:r w:rsidR="00476B91" w:rsidRPr="00476B91">
        <w:rPr>
          <w:rFonts w:asciiTheme="minorHAnsi" w:hAnsiTheme="minorHAnsi" w:cs="Tahoma"/>
        </w:rPr>
        <w:t xml:space="preserve"> reference documents, to guide a comprehensive review that result</w:t>
      </w:r>
      <w:r>
        <w:rPr>
          <w:rFonts w:asciiTheme="minorHAnsi" w:hAnsiTheme="minorHAnsi" w:cs="Tahoma"/>
        </w:rPr>
        <w:t>ed</w:t>
      </w:r>
      <w:r w:rsidR="00476B91" w:rsidRPr="00476B91">
        <w:rPr>
          <w:rFonts w:asciiTheme="minorHAnsi" w:hAnsiTheme="minorHAnsi" w:cs="Tahoma"/>
        </w:rPr>
        <w:t xml:space="preserve"> in </w:t>
      </w:r>
      <w:r>
        <w:rPr>
          <w:rFonts w:asciiTheme="minorHAnsi" w:hAnsiTheme="minorHAnsi" w:cs="Tahoma"/>
        </w:rPr>
        <w:t>a Standard Authorization Request (SAR) based on the following PRT’s recommendations:</w:t>
      </w:r>
    </w:p>
    <w:p w:rsidR="009E317C" w:rsidRDefault="009E317C" w:rsidP="00476B91">
      <w:pPr>
        <w:pStyle w:val="default0"/>
        <w:rPr>
          <w:rFonts w:asciiTheme="minorHAnsi" w:hAnsiTheme="minorHAnsi" w:cs="Tahoma"/>
        </w:rPr>
      </w:pPr>
    </w:p>
    <w:p w:rsidR="00E24246" w:rsidRPr="00E24246" w:rsidRDefault="00E24246" w:rsidP="00E24246">
      <w:pPr>
        <w:pStyle w:val="ListParagraph"/>
        <w:numPr>
          <w:ilvl w:val="0"/>
          <w:numId w:val="23"/>
        </w:numPr>
        <w:rPr>
          <w:rFonts w:asciiTheme="minorHAnsi" w:hAnsiTheme="minorHAnsi" w:cs="Arial"/>
          <w:sz w:val="24"/>
          <w:szCs w:val="24"/>
        </w:rPr>
      </w:pPr>
      <w:r w:rsidRPr="00E24246">
        <w:rPr>
          <w:rFonts w:asciiTheme="minorHAnsi" w:hAnsiTheme="minorHAnsi" w:cs="Arial"/>
          <w:sz w:val="24"/>
          <w:szCs w:val="24"/>
        </w:rPr>
        <w:t xml:space="preserve">EOP-004-2 – (1) Revise the standard and </w:t>
      </w:r>
      <w:r w:rsidR="00B240FF" w:rsidRPr="00E24246">
        <w:rPr>
          <w:rFonts w:asciiTheme="minorHAnsi" w:hAnsiTheme="minorHAnsi" w:cs="Arial"/>
          <w:sz w:val="24"/>
          <w:szCs w:val="24"/>
        </w:rPr>
        <w:t>attachment</w:t>
      </w:r>
      <w:r w:rsidRPr="00E24246">
        <w:rPr>
          <w:rFonts w:asciiTheme="minorHAnsi" w:hAnsiTheme="minorHAnsi" w:cs="Arial"/>
          <w:sz w:val="24"/>
          <w:szCs w:val="24"/>
        </w:rPr>
        <w:t xml:space="preserve"> and (2) retire Requirement R3;</w:t>
      </w:r>
    </w:p>
    <w:p w:rsidR="00E24246" w:rsidRPr="00E24246" w:rsidRDefault="00E24246" w:rsidP="00E24246">
      <w:pPr>
        <w:pStyle w:val="ListParagraph"/>
        <w:numPr>
          <w:ilvl w:val="0"/>
          <w:numId w:val="23"/>
        </w:numPr>
        <w:rPr>
          <w:rFonts w:asciiTheme="minorHAnsi" w:hAnsiTheme="minorHAnsi" w:cs="Arial"/>
          <w:sz w:val="24"/>
          <w:szCs w:val="24"/>
        </w:rPr>
      </w:pPr>
      <w:r w:rsidRPr="00E24246">
        <w:rPr>
          <w:rFonts w:asciiTheme="minorHAnsi" w:hAnsiTheme="minorHAnsi" w:cs="Arial"/>
          <w:sz w:val="24"/>
          <w:szCs w:val="24"/>
        </w:rPr>
        <w:t>EOP-005-2 – Revise the standard;</w:t>
      </w:r>
    </w:p>
    <w:p w:rsidR="00E24246" w:rsidRPr="00E24246" w:rsidRDefault="00E24246" w:rsidP="00E24246">
      <w:pPr>
        <w:pStyle w:val="ListParagraph"/>
        <w:numPr>
          <w:ilvl w:val="0"/>
          <w:numId w:val="23"/>
        </w:numPr>
        <w:rPr>
          <w:rFonts w:asciiTheme="minorHAnsi" w:hAnsiTheme="minorHAnsi" w:cs="Arial"/>
          <w:sz w:val="24"/>
          <w:szCs w:val="24"/>
        </w:rPr>
      </w:pPr>
      <w:r w:rsidRPr="00E24246">
        <w:rPr>
          <w:rFonts w:asciiTheme="minorHAnsi" w:hAnsiTheme="minorHAnsi" w:cs="Arial"/>
          <w:sz w:val="24"/>
          <w:szCs w:val="24"/>
        </w:rPr>
        <w:t>EOP-006-2 – (1) Revise the standard and (2) retire Requirements Parts R1.2, R1.3, and R1.4; and</w:t>
      </w:r>
    </w:p>
    <w:p w:rsidR="00E24246" w:rsidRPr="00E24246" w:rsidRDefault="00E24246" w:rsidP="00E24246">
      <w:pPr>
        <w:pStyle w:val="ListParagraph"/>
        <w:numPr>
          <w:ilvl w:val="0"/>
          <w:numId w:val="23"/>
        </w:numPr>
        <w:rPr>
          <w:rFonts w:asciiTheme="minorHAnsi" w:hAnsiTheme="minorHAnsi" w:cs="Arial"/>
          <w:sz w:val="24"/>
          <w:szCs w:val="24"/>
        </w:rPr>
      </w:pPr>
      <w:r w:rsidRPr="00E24246">
        <w:rPr>
          <w:rFonts w:asciiTheme="minorHAnsi" w:hAnsiTheme="minorHAnsi" w:cs="Arial"/>
          <w:sz w:val="24"/>
          <w:szCs w:val="24"/>
        </w:rPr>
        <w:t>EOP-008-1 – Revise the standard.</w:t>
      </w:r>
    </w:p>
    <w:p w:rsidR="00E24246" w:rsidRDefault="00E24246" w:rsidP="00476B91">
      <w:pPr>
        <w:pStyle w:val="default0"/>
        <w:rPr>
          <w:rFonts w:asciiTheme="minorHAnsi" w:hAnsiTheme="minorHAnsi" w:cs="Tahoma"/>
        </w:rPr>
      </w:pPr>
    </w:p>
    <w:p w:rsidR="00476B91" w:rsidRPr="00476B91" w:rsidRDefault="00476B91" w:rsidP="00476B91">
      <w:pPr>
        <w:shd w:val="clear" w:color="auto" w:fill="FFFFFF"/>
        <w:ind w:left="1" w:right="2"/>
      </w:pPr>
      <w:bookmarkStart w:id="1" w:name="_GoBack"/>
      <w:bookmarkEnd w:id="1"/>
      <w:r w:rsidRPr="00476B91">
        <w:rPr>
          <w:rFonts w:cs="Tahoma"/>
          <w:b/>
          <w:bCs/>
          <w:color w:val="000000"/>
        </w:rPr>
        <w:t xml:space="preserve">Standards affected: </w:t>
      </w:r>
      <w:r w:rsidRPr="00476B91">
        <w:rPr>
          <w:rFonts w:cs="Tahoma"/>
          <w:color w:val="000000"/>
        </w:rPr>
        <w:t>EOP-004-2, EOP-005-2, EOP-006-2 and EOP-008-1</w:t>
      </w:r>
    </w:p>
    <w:p w:rsidR="00816016" w:rsidRPr="00816016" w:rsidRDefault="00816016" w:rsidP="00816016">
      <w:pPr>
        <w:spacing w:before="120" w:after="120"/>
        <w:rPr>
          <w:rStyle w:val="BoxText"/>
          <w:rFonts w:asciiTheme="minorHAnsi" w:hAnsiTheme="minorHAnsi" w:cs="Arial"/>
          <w:b w:val="0"/>
          <w:sz w:val="24"/>
        </w:rPr>
      </w:pPr>
      <w:r w:rsidRPr="00816016">
        <w:rPr>
          <w:rStyle w:val="BoxText"/>
          <w:rFonts w:asciiTheme="minorHAnsi" w:hAnsiTheme="minorHAnsi" w:cs="Arial"/>
          <w:b w:val="0"/>
          <w:sz w:val="24"/>
        </w:rPr>
        <w:t xml:space="preserve">We are seeking a cross section of the industry to participate on the team, but in particular are seeking individuals who have experience and expertise with </w:t>
      </w:r>
      <w:r w:rsidR="00476B91">
        <w:rPr>
          <w:rStyle w:val="BoxText"/>
          <w:rFonts w:asciiTheme="minorHAnsi" w:hAnsiTheme="minorHAnsi" w:cs="Arial"/>
          <w:b w:val="0"/>
          <w:sz w:val="24"/>
        </w:rPr>
        <w:t>Emergency Operations</w:t>
      </w:r>
      <w:r w:rsidRPr="00816016">
        <w:rPr>
          <w:rStyle w:val="BoxText"/>
          <w:rFonts w:asciiTheme="minorHAnsi" w:hAnsiTheme="minorHAnsi" w:cs="Arial"/>
          <w:b w:val="0"/>
          <w:sz w:val="24"/>
        </w:rPr>
        <w:t xml:space="preserve"> </w:t>
      </w:r>
      <w:r w:rsidR="00B240FF">
        <w:rPr>
          <w:rStyle w:val="BoxText"/>
          <w:rFonts w:asciiTheme="minorHAnsi" w:hAnsiTheme="minorHAnsi" w:cs="Arial"/>
          <w:b w:val="0"/>
          <w:sz w:val="24"/>
        </w:rPr>
        <w:t xml:space="preserve">methodologies for program planning, program training, restoring, reporting, and communicating </w:t>
      </w:r>
      <w:r w:rsidRPr="00816016">
        <w:rPr>
          <w:rStyle w:val="BoxText"/>
          <w:rFonts w:asciiTheme="minorHAnsi" w:hAnsiTheme="minorHAnsi" w:cs="Arial"/>
          <w:b w:val="0"/>
          <w:sz w:val="24"/>
        </w:rPr>
        <w:t xml:space="preserve">across the United States and/or Canada. </w:t>
      </w:r>
    </w:p>
    <w:p w:rsidR="00816016" w:rsidRPr="00816016" w:rsidRDefault="00816016" w:rsidP="00816016">
      <w:pPr>
        <w:spacing w:before="120" w:after="120"/>
        <w:rPr>
          <w:rStyle w:val="BoxText"/>
          <w:rFonts w:asciiTheme="minorHAnsi" w:hAnsiTheme="minorHAnsi" w:cs="Arial"/>
          <w:b w:val="0"/>
          <w:sz w:val="24"/>
        </w:rPr>
      </w:pPr>
      <w:r w:rsidRPr="00816016">
        <w:rPr>
          <w:rStyle w:val="BoxText"/>
          <w:rFonts w:asciiTheme="minorHAnsi" w:hAnsiTheme="minorHAnsi" w:cs="Arial"/>
          <w:b w:val="0"/>
          <w:sz w:val="24"/>
        </w:rPr>
        <w:t>Experience with developing standards inside or outside (e.g., IEEE, NAESB, ANSI, etc.) of the NERC process is beneficial, but is not required, and should be highlighted in the information submitted</w:t>
      </w:r>
      <w:r w:rsidR="00476B91">
        <w:rPr>
          <w:rStyle w:val="BoxText"/>
          <w:rFonts w:asciiTheme="minorHAnsi" w:hAnsiTheme="minorHAnsi" w:cs="Arial"/>
          <w:b w:val="0"/>
          <w:sz w:val="24"/>
        </w:rPr>
        <w:t>,</w:t>
      </w:r>
      <w:r w:rsidRPr="00816016">
        <w:rPr>
          <w:rStyle w:val="BoxText"/>
          <w:rFonts w:asciiTheme="minorHAnsi" w:hAnsiTheme="minorHAnsi" w:cs="Arial"/>
          <w:b w:val="0"/>
          <w:sz w:val="24"/>
        </w:rPr>
        <w:t xml:space="preserve"> if applicable.</w:t>
      </w:r>
    </w:p>
    <w:p w:rsidR="00FD1345" w:rsidRPr="007F29A0" w:rsidRDefault="00816016" w:rsidP="00816016">
      <w:pPr>
        <w:rPr>
          <w:rFonts w:ascii="Verdana" w:hAnsi="Verdana" w:cs="Arial"/>
          <w:sz w:val="18"/>
          <w:szCs w:val="18"/>
        </w:rPr>
      </w:pPr>
      <w:r w:rsidRPr="00816016">
        <w:rPr>
          <w:rStyle w:val="BoxText"/>
          <w:rFonts w:asciiTheme="minorHAnsi" w:hAnsiTheme="minorHAnsi" w:cs="Arial"/>
          <w:b w:val="0"/>
          <w:sz w:val="24"/>
        </w:rPr>
        <w:t>Individuals who have facilitation skills and experience and/or legal or technical writing backgrounds are also strongly desired. Please include this in the description of qualifications as applicable.</w:t>
      </w:r>
    </w:p>
    <w:p w:rsidR="00FD1345" w:rsidRPr="00E23D20" w:rsidRDefault="00FD1345" w:rsidP="00FD1345">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620"/>
        <w:gridCol w:w="90"/>
        <w:gridCol w:w="2250"/>
        <w:gridCol w:w="1980"/>
        <w:gridCol w:w="3961"/>
      </w:tblGrid>
      <w:tr w:rsidR="00FD1345" w:rsidRPr="00E23D20" w:rsidTr="00563006">
        <w:trPr>
          <w:trHeight w:val="413"/>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67"/>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458"/>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Address:</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gridSpan w:val="2"/>
          </w:tcPr>
          <w:p w:rsidR="00FD1345" w:rsidRPr="00193AE7" w:rsidRDefault="00FD1345" w:rsidP="00DB028B">
            <w:pPr>
              <w:pStyle w:val="Heading5"/>
              <w:spacing w:after="60"/>
              <w:rPr>
                <w:rStyle w:val="BoxText"/>
                <w:rFonts w:asciiTheme="minorHAnsi" w:hAnsiTheme="minorHAnsi" w:cs="Arial"/>
                <w:b w:val="0"/>
                <w:sz w:val="24"/>
              </w:rPr>
            </w:pPr>
            <w:r w:rsidRPr="00193AE7">
              <w:rPr>
                <w:rStyle w:val="BoxText"/>
                <w:rFonts w:asciiTheme="minorHAnsi" w:hAnsiTheme="minorHAnsi" w:cs="Arial"/>
                <w:sz w:val="24"/>
              </w:rPr>
              <w:t>Telephone:</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1232"/>
          <w:jc w:val="center"/>
        </w:trPr>
        <w:tc>
          <w:tcPr>
            <w:tcW w:w="10356" w:type="dxa"/>
            <w:gridSpan w:val="6"/>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563006">
        <w:tblPrEx>
          <w:tblLook w:val="01E0" w:firstRow="1" w:lastRow="1" w:firstColumn="1" w:lastColumn="1" w:noHBand="0" w:noVBand="0"/>
        </w:tblPrEx>
        <w:trPr>
          <w:trHeight w:val="485"/>
          <w:jc w:val="center"/>
        </w:trPr>
        <w:tc>
          <w:tcPr>
            <w:tcW w:w="10356" w:type="dxa"/>
            <w:gridSpan w:val="6"/>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5763D">
              <w:rPr>
                <w:rFonts w:cs="Arial"/>
              </w:rPr>
            </w:r>
            <w:r w:rsidR="0005763D">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5763D">
              <w:rPr>
                <w:rFonts w:cs="Arial"/>
              </w:rPr>
            </w:r>
            <w:r w:rsidR="0005763D">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563006">
        <w:tblPrEx>
          <w:tblLook w:val="01E0" w:firstRow="1" w:lastRow="1" w:firstColumn="1" w:lastColumn="1" w:noHBand="0" w:noVBand="0"/>
        </w:tblPrEx>
        <w:trPr>
          <w:trHeight w:val="621"/>
          <w:jc w:val="center"/>
        </w:trPr>
        <w:tc>
          <w:tcPr>
            <w:tcW w:w="10356" w:type="dxa"/>
            <w:gridSpan w:val="6"/>
            <w:tcBorders>
              <w:bottom w:val="single" w:sz="4" w:space="0" w:color="auto"/>
            </w:tcBorders>
          </w:tcPr>
          <w:p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5763D">
              <w:rPr>
                <w:rFonts w:cs="Arial"/>
              </w:rPr>
            </w:r>
            <w:r w:rsidR="0005763D">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5763D">
              <w:rPr>
                <w:rFonts w:cs="Arial"/>
              </w:rPr>
            </w:r>
            <w:r w:rsidR="0005763D">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563006">
        <w:tblPrEx>
          <w:tblLook w:val="01E0" w:firstRow="1" w:lastRow="1" w:firstColumn="1" w:lastColumn="1" w:noHBand="0" w:noVBand="0"/>
        </w:tblPrEx>
        <w:trPr>
          <w:trHeight w:val="621"/>
          <w:jc w:val="center"/>
        </w:trPr>
        <w:tc>
          <w:tcPr>
            <w:tcW w:w="10356" w:type="dxa"/>
            <w:gridSpan w:val="6"/>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563006">
        <w:trPr>
          <w:cantSplit/>
          <w:jc w:val="center"/>
        </w:trPr>
        <w:tc>
          <w:tcPr>
            <w:tcW w:w="2165" w:type="dxa"/>
            <w:gridSpan w:val="3"/>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5763D">
              <w:rPr>
                <w:rStyle w:val="BoxText"/>
                <w:rFonts w:asciiTheme="minorHAnsi" w:hAnsiTheme="minorHAnsi"/>
                <w:b w:val="0"/>
                <w:sz w:val="24"/>
              </w:rPr>
            </w:r>
            <w:r w:rsidR="000576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ERCOT</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5763D">
              <w:rPr>
                <w:rStyle w:val="BoxText"/>
                <w:rFonts w:asciiTheme="minorHAnsi" w:hAnsiTheme="minorHAnsi"/>
                <w:b w:val="0"/>
                <w:sz w:val="24"/>
              </w:rPr>
            </w:r>
            <w:r w:rsidR="000576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5763D">
              <w:rPr>
                <w:rStyle w:val="BoxText"/>
                <w:rFonts w:asciiTheme="minorHAnsi" w:hAnsiTheme="minorHAnsi"/>
                <w:b w:val="0"/>
                <w:sz w:val="24"/>
              </w:rPr>
            </w:r>
            <w:r w:rsidR="000576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5763D">
              <w:rPr>
                <w:rStyle w:val="BoxText"/>
                <w:rFonts w:asciiTheme="minorHAnsi" w:hAnsiTheme="minorHAnsi"/>
                <w:b w:val="0"/>
                <w:sz w:val="24"/>
              </w:rPr>
            </w:r>
            <w:r w:rsidR="000576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5763D">
              <w:rPr>
                <w:rStyle w:val="BoxText"/>
                <w:rFonts w:asciiTheme="minorHAnsi" w:hAnsiTheme="minorHAnsi"/>
                <w:b w:val="0"/>
                <w:sz w:val="24"/>
              </w:rPr>
            </w:r>
            <w:r w:rsidR="000576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RFC </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5763D">
              <w:rPr>
                <w:rStyle w:val="BoxText"/>
                <w:rFonts w:asciiTheme="minorHAnsi" w:hAnsiTheme="minorHAnsi"/>
                <w:b w:val="0"/>
                <w:sz w:val="24"/>
              </w:rPr>
            </w:r>
            <w:r w:rsidR="000576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gridSpan w:val="2"/>
          </w:tcPr>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5763D">
              <w:rPr>
                <w:rStyle w:val="BoxText"/>
                <w:rFonts w:asciiTheme="minorHAnsi" w:hAnsiTheme="minorHAnsi"/>
                <w:b w:val="0"/>
                <w:sz w:val="24"/>
              </w:rPr>
            </w:r>
            <w:r w:rsidR="000576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p>
          <w:p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5763D">
              <w:rPr>
                <w:rStyle w:val="BoxText"/>
                <w:rFonts w:asciiTheme="minorHAnsi" w:hAnsiTheme="minorHAnsi"/>
                <w:b w:val="0"/>
                <w:sz w:val="24"/>
              </w:rPr>
            </w:r>
            <w:r w:rsidR="0005763D">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5763D">
              <w:rPr>
                <w:rFonts w:cs="Arial"/>
              </w:rPr>
            </w:r>
            <w:r w:rsidR="0005763D">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rsidTr="006826D0">
        <w:tblPrEx>
          <w:tblLook w:val="01E0" w:firstRow="1" w:lastRow="1" w:firstColumn="1" w:lastColumn="1" w:noHBand="0" w:noVBand="0"/>
        </w:tblPrEx>
        <w:trPr>
          <w:trHeight w:val="621"/>
          <w:jc w:val="center"/>
        </w:trPr>
        <w:tc>
          <w:tcPr>
            <w:tcW w:w="10356" w:type="dxa"/>
            <w:gridSpan w:val="6"/>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rsidTr="00997A70">
        <w:tblPrEx>
          <w:tblLook w:val="01E0" w:firstRow="1" w:lastRow="1" w:firstColumn="1" w:lastColumn="1" w:noHBand="0" w:noVBand="0"/>
        </w:tblPrEx>
        <w:trPr>
          <w:cantSplit/>
          <w:trHeight w:val="512"/>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5763D">
              <w:rPr>
                <w:rFonts w:ascii="Verdana" w:hAnsi="Verdana" w:cs="Arial"/>
              </w:rPr>
            </w:r>
            <w:r w:rsidR="0005763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997A70">
        <w:tblPrEx>
          <w:tblLook w:val="01E0" w:firstRow="1" w:lastRow="1" w:firstColumn="1" w:lastColumn="1" w:noHBand="0" w:noVBand="0"/>
        </w:tblPrEx>
        <w:trPr>
          <w:cantSplit/>
          <w:trHeight w:val="288"/>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05763D">
              <w:rPr>
                <w:rFonts w:ascii="Verdana" w:hAnsi="Verdana" w:cs="Arial"/>
              </w:rPr>
            </w:r>
            <w:r w:rsidR="0005763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997A70">
        <w:tblPrEx>
          <w:tblLook w:val="01E0" w:firstRow="1" w:lastRow="1" w:firstColumn="1" w:lastColumn="1" w:noHBand="0" w:noVBand="0"/>
        </w:tblPrEx>
        <w:trPr>
          <w:cantSplit/>
          <w:trHeight w:val="305"/>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5763D">
              <w:rPr>
                <w:rFonts w:ascii="Verdana" w:hAnsi="Verdana" w:cs="Arial"/>
              </w:rPr>
            </w:r>
            <w:r w:rsidR="0005763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997A70">
        <w:tblPrEx>
          <w:tblLook w:val="01E0" w:firstRow="1" w:lastRow="1" w:firstColumn="1" w:lastColumn="1" w:noHBand="0" w:noVBand="0"/>
        </w:tblPrEx>
        <w:trPr>
          <w:cantSplit/>
          <w:trHeight w:val="278"/>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5763D">
              <w:rPr>
                <w:rFonts w:ascii="Verdana" w:hAnsi="Verdana" w:cs="Arial"/>
              </w:rPr>
            </w:r>
            <w:r w:rsidR="0005763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997A70">
        <w:tblPrEx>
          <w:tblLook w:val="01E0" w:firstRow="1" w:lastRow="1" w:firstColumn="1" w:lastColumn="1" w:noHBand="0" w:noVBand="0"/>
        </w:tblPrEx>
        <w:trPr>
          <w:cantSplit/>
          <w:trHeight w:val="332"/>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5763D">
              <w:rPr>
                <w:rFonts w:ascii="Verdana" w:hAnsi="Verdana" w:cs="Arial"/>
              </w:rPr>
            </w:r>
            <w:r w:rsidR="0005763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5 — Electric Generators</w:t>
            </w:r>
          </w:p>
        </w:tc>
      </w:tr>
      <w:tr w:rsidR="00563006" w:rsidRPr="00E23D20" w:rsidTr="00997A70">
        <w:tblPrEx>
          <w:tblLook w:val="01E0" w:firstRow="1" w:lastRow="1" w:firstColumn="1" w:lastColumn="1" w:noHBand="0" w:noVBand="0"/>
        </w:tblPrEx>
        <w:trPr>
          <w:cantSplit/>
          <w:trHeight w:val="26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5763D">
              <w:rPr>
                <w:rFonts w:ascii="Verdana" w:hAnsi="Verdana" w:cs="Arial"/>
              </w:rPr>
            </w:r>
            <w:r w:rsidR="0005763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997A70">
        <w:tblPrEx>
          <w:tblLook w:val="01E0" w:firstRow="1" w:lastRow="1" w:firstColumn="1" w:lastColumn="1" w:noHBand="0" w:noVBand="0"/>
        </w:tblPrEx>
        <w:trPr>
          <w:cantSplit/>
          <w:trHeight w:val="305"/>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5763D">
              <w:rPr>
                <w:rFonts w:ascii="Verdana" w:hAnsi="Verdana" w:cs="Arial"/>
              </w:rPr>
            </w:r>
            <w:r w:rsidR="0005763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997A70">
        <w:tblPrEx>
          <w:tblLook w:val="01E0" w:firstRow="1" w:lastRow="1" w:firstColumn="1" w:lastColumn="1" w:noHBand="0" w:noVBand="0"/>
        </w:tblPrEx>
        <w:trPr>
          <w:cantSplit/>
          <w:trHeight w:val="308"/>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5763D">
              <w:rPr>
                <w:rFonts w:ascii="Verdana" w:hAnsi="Verdana" w:cs="Arial"/>
              </w:rPr>
            </w:r>
            <w:r w:rsidR="0005763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997A70">
        <w:tblPrEx>
          <w:tblLook w:val="01E0" w:firstRow="1" w:lastRow="1" w:firstColumn="1" w:lastColumn="1" w:noHBand="0" w:noVBand="0"/>
        </w:tblPrEx>
        <w:trPr>
          <w:cantSplit/>
          <w:trHeight w:val="27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5763D">
              <w:rPr>
                <w:rFonts w:ascii="Verdana" w:hAnsi="Verdana" w:cs="Arial"/>
              </w:rPr>
            </w:r>
            <w:r w:rsidR="0005763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997A70">
        <w:tblPrEx>
          <w:tblLook w:val="01E0" w:firstRow="1" w:lastRow="1" w:firstColumn="1" w:lastColumn="1" w:noHBand="0" w:noVBand="0"/>
        </w:tblPrEx>
        <w:trPr>
          <w:cantSplit/>
          <w:trHeight w:val="27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5763D">
              <w:rPr>
                <w:rFonts w:ascii="Verdana" w:hAnsi="Verdana" w:cs="Arial"/>
              </w:rPr>
            </w:r>
            <w:r w:rsidR="0005763D">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997A70">
        <w:tblPrEx>
          <w:tblLook w:val="01E0" w:firstRow="1" w:lastRow="1" w:firstColumn="1" w:lastColumn="1" w:noHBand="0" w:noVBand="0"/>
        </w:tblPrEx>
        <w:trPr>
          <w:cantSplit/>
          <w:trHeight w:val="270"/>
          <w:jc w:val="center"/>
        </w:trPr>
        <w:tc>
          <w:tcPr>
            <w:tcW w:w="455" w:type="dxa"/>
            <w:vAlign w:val="center"/>
          </w:tcPr>
          <w:p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05763D">
              <w:rPr>
                <w:rStyle w:val="BoxText"/>
                <w:rFonts w:ascii="Verdana" w:hAnsi="Verdana"/>
                <w:b w:val="0"/>
                <w:sz w:val="24"/>
              </w:rPr>
            </w:r>
            <w:r w:rsidR="0005763D">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6826D0">
        <w:trPr>
          <w:cantSplit/>
          <w:trHeight w:val="350"/>
          <w:jc w:val="center"/>
        </w:trPr>
        <w:tc>
          <w:tcPr>
            <w:tcW w:w="10356" w:type="dxa"/>
            <w:gridSpan w:val="6"/>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3"/>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563006">
        <w:trPr>
          <w:cantSplit/>
          <w:trHeight w:val="621"/>
          <w:jc w:val="center"/>
        </w:trPr>
        <w:tc>
          <w:tcPr>
            <w:tcW w:w="4415" w:type="dxa"/>
            <w:gridSpan w:val="4"/>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lastRenderedPageBreak/>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gridSpan w:val="2"/>
            <w:tcBorders>
              <w:bottom w:val="single" w:sz="4" w:space="0" w:color="auto"/>
            </w:tcBorders>
          </w:tcPr>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5763D">
              <w:rPr>
                <w:rStyle w:val="BoxText"/>
                <w:rFonts w:asciiTheme="minorHAnsi" w:hAnsiTheme="minorHAnsi" w:cs="Arial"/>
                <w:b w:val="0"/>
                <w:sz w:val="24"/>
              </w:rPr>
            </w:r>
            <w:r w:rsidR="0005763D">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rsidTr="00563006">
        <w:trPr>
          <w:cantSplit/>
          <w:jc w:val="center"/>
        </w:trPr>
        <w:tc>
          <w:tcPr>
            <w:tcW w:w="10356" w:type="dxa"/>
            <w:gridSpan w:val="6"/>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rsidR="002F2BFE" w:rsidRDefault="002F2BFE" w:rsidP="00102A01">
      <w:pPr>
        <w:pStyle w:val="Heading1"/>
      </w:pPr>
    </w:p>
    <w:sectPr w:rsidR="002F2BFE" w:rsidSect="00D933A3">
      <w:headerReference w:type="default" r:id="rId13"/>
      <w:footerReference w:type="default" r:id="rId14"/>
      <w:headerReference w:type="first" r:id="rId15"/>
      <w:footerReference w:type="first" r:id="rId16"/>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3D" w:rsidRDefault="0005763D">
      <w:r>
        <w:separator/>
      </w:r>
    </w:p>
  </w:endnote>
  <w:endnote w:type="continuationSeparator" w:id="0">
    <w:p w:rsidR="0005763D" w:rsidRDefault="0005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676CFA">
      <w:t>Project 2015-0</w:t>
    </w:r>
    <w:r w:rsidR="00B240FF">
      <w:t>8</w:t>
    </w:r>
    <w:r w:rsidR="00676CFA">
      <w:t xml:space="preserve"> EOP – J</w:t>
    </w:r>
    <w:r w:rsidR="00B240FF">
      <w:t>uly</w:t>
    </w:r>
    <w:r w:rsidR="00676CFA">
      <w:t xml:space="preserve"> 2015</w:t>
    </w:r>
    <w:r>
      <w:tab/>
    </w:r>
    <w:r w:rsidR="001F52FD">
      <w:fldChar w:fldCharType="begin"/>
    </w:r>
    <w:r w:rsidR="001F52FD">
      <w:instrText xml:space="preserve"> PAGE </w:instrText>
    </w:r>
    <w:r w:rsidR="001F52FD">
      <w:fldChar w:fldCharType="separate"/>
    </w:r>
    <w:r w:rsidR="002B29E4">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3D" w:rsidRDefault="0005763D">
      <w:r>
        <w:separator/>
      </w:r>
    </w:p>
  </w:footnote>
  <w:footnote w:type="continuationSeparator" w:id="0">
    <w:p w:rsidR="0005763D" w:rsidRDefault="0005763D">
      <w:r>
        <w:continuationSeparator/>
      </w:r>
    </w:p>
  </w:footnote>
  <w:footnote w:id="1">
    <w:p w:rsidR="00E24246" w:rsidRDefault="00E24246" w:rsidP="00E24246">
      <w:pPr>
        <w:pStyle w:val="FootnoteText"/>
      </w:pPr>
      <w:r>
        <w:rPr>
          <w:rStyle w:val="FootnoteReference"/>
        </w:rPr>
        <w:footnoteRef/>
      </w:r>
      <w:r>
        <w:t xml:space="preserve"> </w:t>
      </w:r>
      <w:r w:rsidRPr="008645AB">
        <w:rPr>
          <w:i/>
        </w:rPr>
        <w:t>System Restoration Reliability Standards</w:t>
      </w:r>
      <w:r>
        <w:t>, 134 FERC ¶61,215 (2011) (Order No. 749).</w:t>
      </w:r>
    </w:p>
    <w:p w:rsidR="00E24246" w:rsidRDefault="00E24246" w:rsidP="00E24246">
      <w:pPr>
        <w:pStyle w:val="FootnoteText"/>
      </w:pPr>
      <w:r>
        <w:rPr>
          <w:rStyle w:val="FootnoteReference"/>
        </w:rPr>
        <w:footnoteRef/>
      </w:r>
      <w:r>
        <w:t xml:space="preserve"> </w:t>
      </w:r>
      <w:r w:rsidRPr="008645AB">
        <w:rPr>
          <w:i/>
        </w:rPr>
        <w:t>Id.</w:t>
      </w:r>
      <w:r>
        <w:t xml:space="preserve"> at P24.</w:t>
      </w:r>
    </w:p>
  </w:footnote>
  <w:footnote w:id="2">
    <w:p w:rsidR="00E24246" w:rsidRDefault="00E24246" w:rsidP="00E24246">
      <w:pPr>
        <w:pStyle w:val="FootnoteText"/>
      </w:pPr>
      <w:r>
        <w:rPr>
          <w:rStyle w:val="FootnoteReference"/>
        </w:rPr>
        <w:footnoteRef/>
      </w:r>
      <w:r>
        <w:t xml:space="preserve"> </w:t>
      </w:r>
      <w:r w:rsidRPr="008645AB">
        <w:rPr>
          <w:i/>
        </w:rPr>
        <w:t>Id.</w:t>
      </w:r>
      <w:r>
        <w:t xml:space="preserve"> at P24.</w:t>
      </w:r>
    </w:p>
  </w:footnote>
  <w:footnote w:id="3">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p w:rsidR="00896153" w:rsidRDefault="00896153">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BCE"/>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22203"/>
    <w:rsid w:val="00283FB4"/>
    <w:rsid w:val="002B29E4"/>
    <w:rsid w:val="002E2423"/>
    <w:rsid w:val="002F2BFE"/>
    <w:rsid w:val="00300ABD"/>
    <w:rsid w:val="003134D1"/>
    <w:rsid w:val="00366A96"/>
    <w:rsid w:val="0038676B"/>
    <w:rsid w:val="0039275D"/>
    <w:rsid w:val="003E1C41"/>
    <w:rsid w:val="0040580D"/>
    <w:rsid w:val="0041064C"/>
    <w:rsid w:val="00456B99"/>
    <w:rsid w:val="004631BF"/>
    <w:rsid w:val="00476B91"/>
    <w:rsid w:val="004800C7"/>
    <w:rsid w:val="004859C6"/>
    <w:rsid w:val="0048765A"/>
    <w:rsid w:val="004A1B6D"/>
    <w:rsid w:val="004B7DE3"/>
    <w:rsid w:val="004E7B5C"/>
    <w:rsid w:val="00510652"/>
    <w:rsid w:val="00520FD1"/>
    <w:rsid w:val="005316C6"/>
    <w:rsid w:val="005316F3"/>
    <w:rsid w:val="00555F79"/>
    <w:rsid w:val="00563006"/>
    <w:rsid w:val="00573832"/>
    <w:rsid w:val="00583A5C"/>
    <w:rsid w:val="005A721A"/>
    <w:rsid w:val="005B7382"/>
    <w:rsid w:val="005D3F72"/>
    <w:rsid w:val="00652754"/>
    <w:rsid w:val="00663305"/>
    <w:rsid w:val="00676CFA"/>
    <w:rsid w:val="006826D0"/>
    <w:rsid w:val="00692F16"/>
    <w:rsid w:val="00694CD1"/>
    <w:rsid w:val="006A71F1"/>
    <w:rsid w:val="006B3EC7"/>
    <w:rsid w:val="006C1F78"/>
    <w:rsid w:val="006C3C30"/>
    <w:rsid w:val="006C6BAC"/>
    <w:rsid w:val="006E67B7"/>
    <w:rsid w:val="006E7855"/>
    <w:rsid w:val="00707018"/>
    <w:rsid w:val="007254EA"/>
    <w:rsid w:val="00733724"/>
    <w:rsid w:val="0074626C"/>
    <w:rsid w:val="00791651"/>
    <w:rsid w:val="00816016"/>
    <w:rsid w:val="00855BA8"/>
    <w:rsid w:val="008866E7"/>
    <w:rsid w:val="00896153"/>
    <w:rsid w:val="008A2272"/>
    <w:rsid w:val="00905DC1"/>
    <w:rsid w:val="00930D3B"/>
    <w:rsid w:val="00997A70"/>
    <w:rsid w:val="009A4ED6"/>
    <w:rsid w:val="009E317C"/>
    <w:rsid w:val="00A15C0A"/>
    <w:rsid w:val="00A35DA7"/>
    <w:rsid w:val="00A6738A"/>
    <w:rsid w:val="00AC0C35"/>
    <w:rsid w:val="00AD1865"/>
    <w:rsid w:val="00B146D4"/>
    <w:rsid w:val="00B240FF"/>
    <w:rsid w:val="00B375B5"/>
    <w:rsid w:val="00B62A1A"/>
    <w:rsid w:val="00BA34E0"/>
    <w:rsid w:val="00BE5580"/>
    <w:rsid w:val="00C31EA1"/>
    <w:rsid w:val="00C52B81"/>
    <w:rsid w:val="00C802A9"/>
    <w:rsid w:val="00C87293"/>
    <w:rsid w:val="00C975FA"/>
    <w:rsid w:val="00CC7BE7"/>
    <w:rsid w:val="00CF6E4A"/>
    <w:rsid w:val="00D06D7D"/>
    <w:rsid w:val="00D228D6"/>
    <w:rsid w:val="00D56EBF"/>
    <w:rsid w:val="00D5715F"/>
    <w:rsid w:val="00D71B57"/>
    <w:rsid w:val="00D8646B"/>
    <w:rsid w:val="00D87778"/>
    <w:rsid w:val="00D933A3"/>
    <w:rsid w:val="00D945B5"/>
    <w:rsid w:val="00D94DDC"/>
    <w:rsid w:val="00D9670F"/>
    <w:rsid w:val="00D96A22"/>
    <w:rsid w:val="00DA634C"/>
    <w:rsid w:val="00DB028B"/>
    <w:rsid w:val="00DB62EC"/>
    <w:rsid w:val="00DB7C23"/>
    <w:rsid w:val="00DD3E6B"/>
    <w:rsid w:val="00E24246"/>
    <w:rsid w:val="00E65B2F"/>
    <w:rsid w:val="00F31926"/>
    <w:rsid w:val="00F359FF"/>
    <w:rsid w:val="00FB5404"/>
    <w:rsid w:val="00FC7B36"/>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ura.anderson@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7C247%7C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F5806D17E06B418FA2B71D42AF67D4" ma:contentTypeVersion="0" ma:contentTypeDescription="Create a new document." ma:contentTypeScope="" ma:versionID="a72d2d4d528eabae9314c525deb613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1EE7BC77409244CB00DC9DA10DC7BB9" ma:contentTypeVersion="40" ma:contentTypeDescription="Create a new document." ma:contentTypeScope="" ma:versionID="f6b2c4b1ad529296f5edeac393fa8d8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C855A-83CF-4B7D-A51D-83897465648E}"/>
</file>

<file path=customXml/itemProps2.xml><?xml version="1.0" encoding="utf-8"?>
<ds:datastoreItem xmlns:ds="http://schemas.openxmlformats.org/officeDocument/2006/customXml" ds:itemID="{5C38DB56-92EB-4796-8EC0-0C069F4780F6}"/>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56800113-F4AE-4B15-B1B9-66E451F4BFA1}"/>
</file>

<file path=customXml/itemProps5.xml><?xml version="1.0" encoding="utf-8"?>
<ds:datastoreItem xmlns:ds="http://schemas.openxmlformats.org/officeDocument/2006/customXml" ds:itemID="{6A8BC864-2F71-4CB7-9CFE-7C629FA6D257}"/>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Project_2015-08_EOP_Nomination_Form_July 2015</dc:title>
  <dc:subject/>
  <dc:creator/>
  <cp:keywords/>
  <cp:lastModifiedBy/>
  <cp:revision>1</cp:revision>
  <dcterms:created xsi:type="dcterms:W3CDTF">2015-07-21T12:49:00Z</dcterms:created>
  <dcterms:modified xsi:type="dcterms:W3CDTF">2015-07-21T14:27:00Z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0x01010081EE7BC77409244CB00DC9DA10DC7BB9</vt:lpwstr>
  </property>
  <property fmtid="{D5CDD505-2E9C-101B-9397-08002B2CF9AE}" pid="3" name="_dlc_DocIdItemGuid">
    <vt:lpwstr>15268b01-b896-48a2-aca1-048c1256c011</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