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535D18" w:rsidRDefault="00A92B1C" w:rsidP="00D933A3">
      <w:pPr>
        <w:pStyle w:val="DocumentTitle"/>
        <w:rPr>
          <w:sz w:val="48"/>
          <w:szCs w:val="48"/>
        </w:rPr>
      </w:pPr>
      <w:r w:rsidRPr="00535D18">
        <w:rPr>
          <w:sz w:val="48"/>
          <w:szCs w:val="48"/>
        </w:rPr>
        <w:t>Unoff</w:t>
      </w:r>
      <w:r w:rsidR="0073546A" w:rsidRPr="00535D18">
        <w:rPr>
          <w:sz w:val="48"/>
          <w:szCs w:val="48"/>
        </w:rPr>
        <w:t>i</w:t>
      </w:r>
      <w:r w:rsidRPr="00535D18">
        <w:rPr>
          <w:sz w:val="48"/>
          <w:szCs w:val="48"/>
        </w:rPr>
        <w:t>cial Comment Form</w:t>
      </w:r>
    </w:p>
    <w:p w:rsidR="00D933A3" w:rsidRPr="00ED47B4" w:rsidRDefault="00A92B1C" w:rsidP="00D933A3">
      <w:pPr>
        <w:pStyle w:val="DocumentSubtitle"/>
        <w:rPr>
          <w:sz w:val="36"/>
          <w:szCs w:val="36"/>
        </w:rPr>
      </w:pPr>
      <w:bookmarkStart w:id="0" w:name="_Toc195946480"/>
      <w:r w:rsidRPr="00ED47B4">
        <w:rPr>
          <w:sz w:val="36"/>
          <w:szCs w:val="36"/>
        </w:rPr>
        <w:t xml:space="preserve">Project </w:t>
      </w:r>
      <w:r w:rsidR="00353AE8" w:rsidRPr="00ED47B4">
        <w:rPr>
          <w:sz w:val="36"/>
          <w:szCs w:val="36"/>
        </w:rPr>
        <w:t>20</w:t>
      </w:r>
      <w:r w:rsidR="001A10E2" w:rsidRPr="00ED47B4">
        <w:rPr>
          <w:sz w:val="36"/>
          <w:szCs w:val="36"/>
        </w:rPr>
        <w:t>16</w:t>
      </w:r>
      <w:r w:rsidR="00353AE8" w:rsidRPr="00ED47B4">
        <w:rPr>
          <w:sz w:val="36"/>
          <w:szCs w:val="36"/>
        </w:rPr>
        <w:t>-</w:t>
      </w:r>
      <w:r w:rsidR="00D54516" w:rsidRPr="00ED47B4">
        <w:rPr>
          <w:sz w:val="36"/>
          <w:szCs w:val="36"/>
        </w:rPr>
        <w:t>0</w:t>
      </w:r>
      <w:r w:rsidR="001A10E2" w:rsidRPr="00ED47B4">
        <w:rPr>
          <w:sz w:val="36"/>
          <w:szCs w:val="36"/>
        </w:rPr>
        <w:t>1</w:t>
      </w:r>
      <w:r w:rsidR="00353AE8" w:rsidRPr="00ED47B4">
        <w:rPr>
          <w:sz w:val="36"/>
          <w:szCs w:val="36"/>
        </w:rPr>
        <w:t xml:space="preserve"> </w:t>
      </w:r>
      <w:r w:rsidR="001A10E2" w:rsidRPr="00ED47B4">
        <w:rPr>
          <w:sz w:val="36"/>
          <w:szCs w:val="36"/>
        </w:rPr>
        <w:t>Modifications to TOP and IRO Standards</w:t>
      </w:r>
      <w:r w:rsidR="00ED47B4">
        <w:rPr>
          <w:sz w:val="36"/>
          <w:szCs w:val="36"/>
        </w:rPr>
        <w:br/>
        <w:t>Standards Authorization Request</w:t>
      </w:r>
      <w:r w:rsidR="0048092B" w:rsidRPr="00ED47B4">
        <w:rPr>
          <w:sz w:val="36"/>
          <w:szCs w:val="36"/>
        </w:rPr>
        <w:t xml:space="preserve"> </w:t>
      </w:r>
    </w:p>
    <w:p w:rsidR="002F2BFE" w:rsidRDefault="002F2BFE" w:rsidP="00102A01">
      <w:pPr>
        <w:pStyle w:val="Heading1"/>
      </w:pPr>
    </w:p>
    <w:p w:rsidR="0073546A" w:rsidRPr="000F0F7D" w:rsidRDefault="0073546A" w:rsidP="0073546A">
      <w:bookmarkStart w:id="1" w:name="_Toc195946481"/>
      <w:bookmarkEnd w:id="0"/>
      <w:r w:rsidRPr="00744655">
        <w:rPr>
          <w:b/>
        </w:rPr>
        <w:t>DO NOT</w:t>
      </w:r>
      <w:r w:rsidRPr="000F0F7D">
        <w:t xml:space="preserve"> use this form for submitting comments. </w:t>
      </w:r>
      <w:r w:rsidR="00FF03C9" w:rsidRPr="000F0F7D">
        <w:t>U</w:t>
      </w:r>
      <w:r w:rsidRPr="000F0F7D">
        <w:t xml:space="preserve">se the </w:t>
      </w:r>
      <w:hyperlink r:id="rId12" w:history="1">
        <w:r w:rsidRPr="002D501F">
          <w:rPr>
            <w:rStyle w:val="Hyperlink"/>
          </w:rPr>
          <w:t>electronic form</w:t>
        </w:r>
      </w:hyperlink>
      <w:r w:rsidRPr="000F0F7D">
        <w:t xml:space="preserve"> to submit comments on the </w:t>
      </w:r>
      <w:r w:rsidR="003353BB">
        <w:t>Standards Authorization Request</w:t>
      </w:r>
      <w:r w:rsidR="00B23BBA" w:rsidRPr="008B0E5C">
        <w:t xml:space="preserve"> (</w:t>
      </w:r>
      <w:r w:rsidR="003353BB">
        <w:t>SAR</w:t>
      </w:r>
      <w:r w:rsidR="00B23BBA" w:rsidRPr="008B0E5C">
        <w:t xml:space="preserve">) developed by </w:t>
      </w:r>
      <w:r w:rsidR="001A10E2">
        <w:t>NERC Staff</w:t>
      </w:r>
      <w:r w:rsidR="009852F9" w:rsidRPr="008B0E5C">
        <w:t>.</w:t>
      </w:r>
      <w:r w:rsidRPr="008B0E5C">
        <w:t xml:space="preserve"> The electronic comment form must be completed </w:t>
      </w:r>
      <w:r w:rsidR="00CB4B90">
        <w:t xml:space="preserve">and submitted </w:t>
      </w:r>
      <w:r w:rsidR="005160A5" w:rsidRPr="008B0E5C">
        <w:t xml:space="preserve">by </w:t>
      </w:r>
      <w:r w:rsidR="005160A5" w:rsidRPr="00744655">
        <w:rPr>
          <w:b/>
        </w:rPr>
        <w:t>8:00 p.m. E</w:t>
      </w:r>
      <w:r w:rsidR="000F0F7D" w:rsidRPr="00744655">
        <w:rPr>
          <w:b/>
        </w:rPr>
        <w:t>astern,</w:t>
      </w:r>
      <w:r w:rsidR="002D501F">
        <w:rPr>
          <w:b/>
        </w:rPr>
        <w:t xml:space="preserve"> </w:t>
      </w:r>
      <w:r w:rsidR="003353BB">
        <w:rPr>
          <w:b/>
        </w:rPr>
        <w:t>Monday</w:t>
      </w:r>
      <w:r w:rsidR="002D501F">
        <w:rPr>
          <w:b/>
        </w:rPr>
        <w:t>,</w:t>
      </w:r>
      <w:r w:rsidR="005160A5" w:rsidRPr="00744655">
        <w:rPr>
          <w:b/>
        </w:rPr>
        <w:t xml:space="preserve"> </w:t>
      </w:r>
      <w:r w:rsidR="001A10E2">
        <w:rPr>
          <w:b/>
        </w:rPr>
        <w:t>February</w:t>
      </w:r>
      <w:r w:rsidR="000D68E0" w:rsidRPr="00744655">
        <w:rPr>
          <w:b/>
        </w:rPr>
        <w:t xml:space="preserve"> </w:t>
      </w:r>
      <w:r w:rsidR="001A10E2">
        <w:rPr>
          <w:b/>
        </w:rPr>
        <w:t>22</w:t>
      </w:r>
      <w:r w:rsidR="005160A5" w:rsidRPr="00744655">
        <w:rPr>
          <w:b/>
        </w:rPr>
        <w:t xml:space="preserve">, </w:t>
      </w:r>
      <w:r w:rsidR="00E3049D" w:rsidRPr="00744655">
        <w:rPr>
          <w:b/>
        </w:rPr>
        <w:t>201</w:t>
      </w:r>
      <w:r w:rsidR="001A10E2">
        <w:rPr>
          <w:b/>
        </w:rPr>
        <w:t>6</w:t>
      </w:r>
      <w:r w:rsidRPr="000F0F7D">
        <w:t xml:space="preserve">. </w:t>
      </w:r>
    </w:p>
    <w:p w:rsidR="0073546A" w:rsidRPr="000B7836" w:rsidRDefault="0073546A" w:rsidP="0073546A"/>
    <w:bookmarkEnd w:id="1"/>
    <w:p w:rsidR="00443E50" w:rsidRDefault="00443E50" w:rsidP="00744655">
      <w:r>
        <w:t xml:space="preserve">Documents and information about this project are available on the </w:t>
      </w:r>
      <w:hyperlink r:id="rId13" w:history="1">
        <w:r w:rsidRPr="00ED47B4">
          <w:rPr>
            <w:rStyle w:val="Hyperlink"/>
          </w:rPr>
          <w:t>project page</w:t>
        </w:r>
      </w:hyperlink>
      <w:r>
        <w:t xml:space="preserve">.  If you have any questions, contact </w:t>
      </w:r>
      <w:r w:rsidR="00CB4B90">
        <w:t xml:space="preserve">Senior </w:t>
      </w:r>
      <w:r>
        <w:t>Standards Developer,</w:t>
      </w:r>
      <w:r w:rsidRPr="00744655">
        <w:rPr>
          <w:color w:val="0000FF"/>
        </w:rPr>
        <w:t xml:space="preserve"> </w:t>
      </w:r>
      <w:hyperlink r:id="rId14" w:history="1">
        <w:r w:rsidRPr="00744655">
          <w:rPr>
            <w:rStyle w:val="Hyperlink"/>
          </w:rPr>
          <w:t>Mark Olson</w:t>
        </w:r>
      </w:hyperlink>
      <w:r>
        <w:t xml:space="preserve"> (via email), or at (404) 446-9760.</w:t>
      </w:r>
    </w:p>
    <w:p w:rsidR="00443E50" w:rsidRDefault="00443E50" w:rsidP="00102A01">
      <w:pPr>
        <w:pStyle w:val="Heading2"/>
      </w:pPr>
    </w:p>
    <w:p w:rsidR="0039275D" w:rsidRPr="00102A01" w:rsidRDefault="0073546A" w:rsidP="00102A01">
      <w:pPr>
        <w:pStyle w:val="Heading2"/>
      </w:pPr>
      <w:r>
        <w:t>Background Information</w:t>
      </w:r>
    </w:p>
    <w:p w:rsidR="00976346" w:rsidRDefault="001A10E2" w:rsidP="00976346">
      <w:pPr>
        <w:ind w:right="-90"/>
      </w:pPr>
      <w:r w:rsidRPr="001A10E2">
        <w:t>On November 19, 2015, the Federal Energy Regulatory Commission (Commission) issued Order No. 817 approving nine TOP and IRO standards from Project 2014-03 and retiring or superseding 18 currently-enforceable standards. The proposed standards were developed in Project 2014-03 to address Commission concerns and reliability issues identified in the 2011 Southwest Outage Report, the Independent Experts Review Panel project, and stakeholder technical conferences. In approving the new TOP and IRO standards, the Commission issued three directives to modify the TOP and IRO standards to address additional reliability issues.</w:t>
      </w:r>
    </w:p>
    <w:p w:rsidR="00E574FE" w:rsidRDefault="001A10E2" w:rsidP="00976346">
      <w:pPr>
        <w:spacing w:before="120"/>
        <w:rPr>
          <w:bCs/>
        </w:rPr>
      </w:pPr>
      <w:r>
        <w:rPr>
          <w:bCs/>
        </w:rPr>
        <w:t xml:space="preserve">As described in the SAR, the </w:t>
      </w:r>
      <w:r w:rsidRPr="001A10E2">
        <w:rPr>
          <w:bCs/>
        </w:rPr>
        <w:t>Standard</w:t>
      </w:r>
      <w:bookmarkStart w:id="2" w:name="_GoBack"/>
      <w:bookmarkEnd w:id="2"/>
      <w:r w:rsidRPr="001A10E2">
        <w:rPr>
          <w:bCs/>
        </w:rPr>
        <w:t xml:space="preserve"> Drafting Team (SDT) </w:t>
      </w:r>
      <w:r>
        <w:rPr>
          <w:bCs/>
        </w:rPr>
        <w:t xml:space="preserve">for this project </w:t>
      </w:r>
      <w:r w:rsidRPr="001A10E2">
        <w:rPr>
          <w:bCs/>
        </w:rPr>
        <w:t xml:space="preserve">will develop modifications to </w:t>
      </w:r>
      <w:r w:rsidRPr="001A10E2">
        <w:rPr>
          <w:b/>
          <w:bCs/>
        </w:rPr>
        <w:t>TOP-001-3 - Transmission Operations</w:t>
      </w:r>
      <w:r w:rsidRPr="001A10E2">
        <w:rPr>
          <w:bCs/>
        </w:rPr>
        <w:t xml:space="preserve"> and </w:t>
      </w:r>
      <w:r w:rsidRPr="001A10E2">
        <w:rPr>
          <w:b/>
          <w:bCs/>
        </w:rPr>
        <w:t>IRO-002-4 - Reliability Coordination: Monitoring and Analysis</w:t>
      </w:r>
      <w:r w:rsidRPr="001A10E2">
        <w:rPr>
          <w:bCs/>
        </w:rPr>
        <w:t xml:space="preserve"> to address Order No. 817 directives, or develop an equally efficient and effective alternative.</w:t>
      </w:r>
    </w:p>
    <w:p w:rsidR="001A10E2" w:rsidRPr="001A10E2" w:rsidRDefault="001A10E2" w:rsidP="001A10E2">
      <w:pPr>
        <w:spacing w:before="120"/>
        <w:rPr>
          <w:rFonts w:ascii="Calibri" w:hAnsi="Calibri"/>
          <w:lang w:bidi="en-US"/>
        </w:rPr>
      </w:pPr>
      <w:r w:rsidRPr="001A10E2">
        <w:rPr>
          <w:rFonts w:ascii="Calibri" w:hAnsi="Calibri"/>
          <w:lang w:bidi="en-US"/>
        </w:rPr>
        <w:t>The modifications to TOP and IRO standards developed in this project will address the following reliability concerns identified in Order No. 817:</w:t>
      </w:r>
    </w:p>
    <w:p w:rsidR="001A10E2" w:rsidRPr="001A10E2" w:rsidRDefault="001A10E2" w:rsidP="001A10E2">
      <w:pPr>
        <w:numPr>
          <w:ilvl w:val="0"/>
          <w:numId w:val="29"/>
        </w:numPr>
        <w:spacing w:before="120"/>
        <w:rPr>
          <w:rFonts w:ascii="Calibri" w:hAnsi="Calibri"/>
          <w:lang w:bidi="en-US"/>
        </w:rPr>
      </w:pPr>
      <w:r w:rsidRPr="001A10E2">
        <w:rPr>
          <w:rFonts w:ascii="Calibri" w:hAnsi="Calibri"/>
          <w:b/>
          <w:lang w:bidi="en-US"/>
        </w:rPr>
        <w:t>Monitoring non-Bulk Electric System facilities.</w:t>
      </w:r>
      <w:r w:rsidRPr="001A10E2">
        <w:rPr>
          <w:rFonts w:ascii="Calibri" w:hAnsi="Calibri"/>
          <w:lang w:bidi="en-US"/>
        </w:rPr>
        <w:t xml:space="preserve"> The Commission noted that "in some instances the absence of real-time monitoring of non-BES facilities by the transmission operator within and outside its TOP area as necessary for determining SOL exceedances in proposed TOP-001-3, Requirement R10 creates a reliability gap." (P.35) </w:t>
      </w:r>
    </w:p>
    <w:p w:rsidR="001A10E2" w:rsidRPr="001A10E2" w:rsidRDefault="001A10E2" w:rsidP="001A10E2">
      <w:pPr>
        <w:numPr>
          <w:ilvl w:val="0"/>
          <w:numId w:val="29"/>
        </w:numPr>
        <w:spacing w:before="120"/>
        <w:rPr>
          <w:rFonts w:ascii="Calibri" w:hAnsi="Calibri"/>
          <w:lang w:bidi="en-US"/>
        </w:rPr>
      </w:pPr>
      <w:r w:rsidRPr="001A10E2">
        <w:rPr>
          <w:rFonts w:ascii="Calibri" w:hAnsi="Calibri"/>
          <w:b/>
          <w:lang w:bidi="en-US"/>
        </w:rPr>
        <w:t>Redundancy and Diverse Routing of Data Exchange Capabilities.</w:t>
      </w:r>
      <w:r w:rsidRPr="001A10E2">
        <w:rPr>
          <w:rFonts w:ascii="Calibri" w:hAnsi="Calibri"/>
          <w:lang w:bidi="en-US"/>
        </w:rPr>
        <w:t xml:space="preserve"> The Commission determined that, with respect to data exchange capabilities, the TOP and IRO standards requirements for Reliability Coordinators (RCs), Transmission Operators (TOPs), and Balancing Authorities (BAs) "do not clearly address redundancy and diverse routing so that registered entities will unambiguously recognize that they have an obligation to address redundancy and diverse routing as part of their TOP and IRO compliance obligations." (P. 47)</w:t>
      </w:r>
      <w:r w:rsidRPr="001A10E2">
        <w:rPr>
          <w:rFonts w:ascii="Calibri" w:hAnsi="Calibri"/>
        </w:rPr>
        <w:t xml:space="preserve"> </w:t>
      </w:r>
    </w:p>
    <w:p w:rsidR="001A10E2" w:rsidRPr="001A10E2" w:rsidRDefault="001A10E2" w:rsidP="001A10E2">
      <w:pPr>
        <w:numPr>
          <w:ilvl w:val="0"/>
          <w:numId w:val="29"/>
        </w:numPr>
        <w:spacing w:before="120"/>
        <w:rPr>
          <w:rFonts w:ascii="Calibri" w:hAnsi="Calibri"/>
        </w:rPr>
      </w:pPr>
      <w:r w:rsidRPr="001A10E2">
        <w:rPr>
          <w:rFonts w:ascii="Calibri" w:hAnsi="Calibri"/>
          <w:b/>
          <w:lang w:bidi="en-US"/>
        </w:rPr>
        <w:t xml:space="preserve">Testing of the Alternate or Less Frequently Used Data Exchange Capability. </w:t>
      </w:r>
      <w:r w:rsidRPr="001A10E2">
        <w:rPr>
          <w:rFonts w:ascii="Calibri" w:hAnsi="Calibri"/>
          <w:lang w:bidi="en-US"/>
        </w:rPr>
        <w:t>The Commission determined that existing requirements do not establish a clear obligation for RCs, TOPs, and BAs to test alternative data exchange capabilities (P. 51).</w:t>
      </w:r>
    </w:p>
    <w:p w:rsidR="001A10E2" w:rsidRDefault="001A10E2" w:rsidP="001A10E2">
      <w:pPr>
        <w:spacing w:before="120"/>
        <w:rPr>
          <w:rFonts w:ascii="Calibri" w:hAnsi="Calibri"/>
        </w:rPr>
      </w:pPr>
      <w:r w:rsidRPr="001A10E2">
        <w:rPr>
          <w:rFonts w:ascii="Calibri" w:hAnsi="Calibri"/>
        </w:rPr>
        <w:lastRenderedPageBreak/>
        <w:t>Per Order No. 817, revised Reliability Standards addressing these issues must be filed for approval by July 2017.</w:t>
      </w:r>
    </w:p>
    <w:p w:rsidR="00725EC8" w:rsidRDefault="00725EC8" w:rsidP="00E574FE"/>
    <w:p w:rsidR="0039275D" w:rsidRDefault="0073546A" w:rsidP="00102A01">
      <w:pPr>
        <w:pStyle w:val="Heading2"/>
      </w:pPr>
      <w:r>
        <w:t>Questions</w:t>
      </w:r>
    </w:p>
    <w:p w:rsidR="006E5719" w:rsidRPr="00575783" w:rsidRDefault="006E5719" w:rsidP="00575783"/>
    <w:p w:rsidR="0073546A" w:rsidRDefault="00845C95" w:rsidP="0073546A">
      <w:pPr>
        <w:keepNext/>
      </w:pPr>
      <w:r>
        <w:t xml:space="preserve">1. </w:t>
      </w:r>
      <w:r w:rsidR="00976346">
        <w:t xml:space="preserve">Do you agree with the proposed scope </w:t>
      </w:r>
      <w:r w:rsidR="001808C9">
        <w:t>for Project 20</w:t>
      </w:r>
      <w:r w:rsidR="001A10E2">
        <w:t>16-01</w:t>
      </w:r>
      <w:r w:rsidR="001808C9">
        <w:t xml:space="preserve"> </w:t>
      </w:r>
      <w:r w:rsidR="00976346">
        <w:t xml:space="preserve">as described in the SAR? </w:t>
      </w:r>
      <w:r w:rsidR="00CA2F68" w:rsidRPr="00CA2F68">
        <w:t xml:space="preserve">If you do not agree, or if you agree but have comments or suggestions for the </w:t>
      </w:r>
      <w:r w:rsidR="00976346">
        <w:t xml:space="preserve">project scope </w:t>
      </w:r>
      <w:r w:rsidR="00CA2F68" w:rsidRPr="00CA2F68">
        <w:t>please provide your recommendation and explanation.</w:t>
      </w:r>
    </w:p>
    <w:p w:rsidR="00706085" w:rsidRPr="000B7836" w:rsidRDefault="00706085" w:rsidP="0073546A">
      <w:pPr>
        <w:keepNext/>
      </w:pP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220D26">
        <w:fldChar w:fldCharType="separate"/>
      </w:r>
      <w:r w:rsidRPr="000B7836">
        <w:fldChar w:fldCharType="end"/>
      </w:r>
      <w:r w:rsidR="0073546A" w:rsidRPr="000B7836">
        <w:t xml:space="preserve"> Yes </w:t>
      </w: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220D26">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896B64" w:rsidRPr="000B7836">
        <w:fldChar w:fldCharType="begin">
          <w:ffData>
            <w:name w:val="Text12"/>
            <w:enabled/>
            <w:calcOnExit w:val="0"/>
            <w:textInput/>
          </w:ffData>
        </w:fldChar>
      </w:r>
      <w:r w:rsidRPr="000B7836">
        <w:instrText xml:space="preserve"> FORMTEXT </w:instrText>
      </w:r>
      <w:r w:rsidR="00896B64" w:rsidRPr="000B7836">
        <w:fldChar w:fldCharType="separate"/>
      </w:r>
      <w:r w:rsidRPr="000B7836">
        <w:t> </w:t>
      </w:r>
      <w:r w:rsidRPr="000B7836">
        <w:t> </w:t>
      </w:r>
      <w:r w:rsidRPr="000B7836">
        <w:t> </w:t>
      </w:r>
      <w:r w:rsidRPr="000B7836">
        <w:t> </w:t>
      </w:r>
      <w:r w:rsidRPr="000B7836">
        <w:t> </w:t>
      </w:r>
      <w:r w:rsidR="00896B64" w:rsidRPr="000B7836">
        <w:fldChar w:fldCharType="end"/>
      </w:r>
    </w:p>
    <w:p w:rsidR="0073546A" w:rsidRDefault="0073546A" w:rsidP="0073546A"/>
    <w:p w:rsidR="002B7851" w:rsidRDefault="00976346" w:rsidP="002B7851">
      <w:pPr>
        <w:keepNext/>
      </w:pPr>
      <w:r>
        <w:t>2</w:t>
      </w:r>
      <w:r w:rsidR="00845C95">
        <w:t xml:space="preserve">. </w:t>
      </w:r>
      <w:r w:rsidR="00263F16" w:rsidRPr="00263F16">
        <w:t xml:space="preserve">Provide any additional comments </w:t>
      </w:r>
      <w:r w:rsidR="001808C9">
        <w:t>for</w:t>
      </w:r>
      <w:r>
        <w:t xml:space="preserve"> the SDT</w:t>
      </w:r>
      <w:r w:rsidR="00CB4B90">
        <w:t xml:space="preserve"> </w:t>
      </w:r>
      <w:r w:rsidR="001808C9">
        <w:t>to</w:t>
      </w:r>
      <w:r>
        <w:t xml:space="preserve"> </w:t>
      </w:r>
      <w:r w:rsidR="00263F16" w:rsidRPr="00263F16">
        <w:t>consider</w:t>
      </w:r>
      <w:r w:rsidR="001808C9">
        <w:t>,</w:t>
      </w:r>
      <w:r w:rsidR="00263F16" w:rsidRPr="00263F16">
        <w:t xml:space="preserve"> if desired.</w:t>
      </w:r>
      <w:r w:rsidR="002B7851">
        <w:t xml:space="preserve"> </w:t>
      </w:r>
      <w:r w:rsidR="00CB4B90">
        <w:br/>
      </w:r>
    </w:p>
    <w:p w:rsidR="002B7851" w:rsidRDefault="002B7851" w:rsidP="002B7851">
      <w:pPr>
        <w:keepNext/>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D56EBF" w:rsidRDefault="00D56EBF" w:rsidP="002B7851">
      <w:pPr>
        <w:keepNext/>
      </w:pPr>
    </w:p>
    <w:sectPr w:rsidR="00D56EBF" w:rsidSect="00744655">
      <w:headerReference w:type="even" r:id="rId15"/>
      <w:headerReference w:type="default" r:id="rId16"/>
      <w:footerReference w:type="default" r:id="rId17"/>
      <w:headerReference w:type="first" r:id="rId18"/>
      <w:footerReference w:type="first" r:id="rId19"/>
      <w:pgSz w:w="12240" w:h="15840" w:code="1"/>
      <w:pgMar w:top="198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81" w:rsidRDefault="00551181">
      <w:r>
        <w:separator/>
      </w:r>
    </w:p>
  </w:endnote>
  <w:endnote w:type="continuationSeparator" w:id="0">
    <w:p w:rsidR="00551181" w:rsidRDefault="0055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855BA8" w:rsidRDefault="00CA2F68" w:rsidP="00575783">
    <w:pPr>
      <w:pStyle w:val="Footer"/>
      <w:tabs>
        <w:tab w:val="clear" w:pos="10354"/>
        <w:tab w:val="right" w:pos="10350"/>
      </w:tabs>
      <w:ind w:left="0" w:right="18"/>
    </w:pPr>
    <w:r>
      <w:t>Unofficial Comment Form</w:t>
    </w:r>
    <w:r w:rsidR="00CB4B90">
      <w:t xml:space="preserve"> | Standards Authorization Request</w:t>
    </w:r>
    <w:r>
      <w:br/>
      <w:t>Project 20</w:t>
    </w:r>
    <w:r w:rsidR="001A10E2">
      <w:t>16</w:t>
    </w:r>
    <w:r>
      <w:t>-0</w:t>
    </w:r>
    <w:r w:rsidR="001A10E2">
      <w:t>1</w:t>
    </w:r>
    <w:r>
      <w:t xml:space="preserve"> </w:t>
    </w:r>
    <w:r w:rsidR="001A10E2">
      <w:t>Modifications to TOP and IRO Standards</w:t>
    </w:r>
    <w:r>
      <w:t xml:space="preserve"> | </w:t>
    </w:r>
    <w:r w:rsidR="001A10E2">
      <w:t>January</w:t>
    </w:r>
    <w:r w:rsidR="00ED47B4">
      <w:t xml:space="preserve"> – February </w:t>
    </w:r>
    <w:r w:rsidR="001A10E2">
      <w:t>2016</w:t>
    </w:r>
    <w:r>
      <w:tab/>
    </w:r>
    <w:r>
      <w:fldChar w:fldCharType="begin"/>
    </w:r>
    <w:r>
      <w:instrText xml:space="preserve"> PAGE </w:instrText>
    </w:r>
    <w:r>
      <w:fldChar w:fldCharType="separate"/>
    </w:r>
    <w:r w:rsidR="00220D2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69" name="Picture 6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81" w:rsidRDefault="00551181">
      <w:r>
        <w:separator/>
      </w:r>
    </w:p>
  </w:footnote>
  <w:footnote w:type="continuationSeparator" w:id="0">
    <w:p w:rsidR="00551181" w:rsidRDefault="00551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rsidP="00353AE8">
    <w:pPr>
      <w:tabs>
        <w:tab w:val="left" w:pos="840"/>
      </w:tabs>
      <w:rPr>
        <w:b/>
        <w:color w:val="FF0000"/>
        <w:sz w:val="18"/>
        <w:szCs w:val="18"/>
      </w:rPr>
    </w:pPr>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67" name="Picture 6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pPr>
      <w:rPr>
        <w:b/>
        <w:color w:val="FF0000"/>
        <w:sz w:val="20"/>
        <w:szCs w:val="20"/>
      </w:rPr>
    </w:pPr>
  </w:p>
  <w:p w:rsidR="00CA2F68" w:rsidRDefault="00CA2F68">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46CC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FEF9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F075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AA6E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FA24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7AEC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42DF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D2F3E"/>
    <w:multiLevelType w:val="hybridMultilevel"/>
    <w:tmpl w:val="F3C8082A"/>
    <w:lvl w:ilvl="0" w:tplc="B4D0003E">
      <w:start w:val="1"/>
      <w:numFmt w:val="decimal"/>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2161C6"/>
    <w:multiLevelType w:val="hybridMultilevel"/>
    <w:tmpl w:val="6F327390"/>
    <w:lvl w:ilvl="0" w:tplc="D3BA19F6">
      <w:numFmt w:val="bullet"/>
      <w:lvlText w:val=""/>
      <w:lvlJc w:val="left"/>
      <w:pPr>
        <w:ind w:left="720" w:hanging="360"/>
      </w:pPr>
      <w:rPr>
        <w:rFonts w:ascii="Symbol" w:eastAsia="Times New Roman" w:hAnsi="Symbol"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6766E"/>
    <w:multiLevelType w:val="hybridMultilevel"/>
    <w:tmpl w:val="4990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4549380A"/>
    <w:multiLevelType w:val="hybridMultilevel"/>
    <w:tmpl w:val="3F18F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E27EAD"/>
    <w:multiLevelType w:val="hybridMultilevel"/>
    <w:tmpl w:val="01B8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27"/>
  </w:num>
  <w:num w:numId="4">
    <w:abstractNumId w:val="18"/>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3"/>
  </w:num>
  <w:num w:numId="18">
    <w:abstractNumId w:val="17"/>
  </w:num>
  <w:num w:numId="19">
    <w:abstractNumId w:val="11"/>
  </w:num>
  <w:num w:numId="20">
    <w:abstractNumId w:val="23"/>
  </w:num>
  <w:num w:numId="21">
    <w:abstractNumId w:val="14"/>
  </w:num>
  <w:num w:numId="22">
    <w:abstractNumId w:val="10"/>
  </w:num>
  <w:num w:numId="23">
    <w:abstractNumId w:val="16"/>
  </w:num>
  <w:num w:numId="24">
    <w:abstractNumId w:val="22"/>
  </w:num>
  <w:num w:numId="25">
    <w:abstractNumId w:val="26"/>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3579"/>
    <w:rsid w:val="000067C8"/>
    <w:rsid w:val="00011D42"/>
    <w:rsid w:val="000334DF"/>
    <w:rsid w:val="00081161"/>
    <w:rsid w:val="000976BE"/>
    <w:rsid w:val="000A70BC"/>
    <w:rsid w:val="000B36CB"/>
    <w:rsid w:val="000B7A04"/>
    <w:rsid w:val="000D68E0"/>
    <w:rsid w:val="000D7162"/>
    <w:rsid w:val="000E3AB0"/>
    <w:rsid w:val="000F0F7D"/>
    <w:rsid w:val="00102A01"/>
    <w:rsid w:val="00104317"/>
    <w:rsid w:val="001346AA"/>
    <w:rsid w:val="00136931"/>
    <w:rsid w:val="001574EA"/>
    <w:rsid w:val="00162674"/>
    <w:rsid w:val="00175315"/>
    <w:rsid w:val="001808C9"/>
    <w:rsid w:val="001830E7"/>
    <w:rsid w:val="00186945"/>
    <w:rsid w:val="001A0934"/>
    <w:rsid w:val="001A10E2"/>
    <w:rsid w:val="001A4005"/>
    <w:rsid w:val="001A6FC8"/>
    <w:rsid w:val="001C0A5A"/>
    <w:rsid w:val="001D47FD"/>
    <w:rsid w:val="001F111D"/>
    <w:rsid w:val="0021466C"/>
    <w:rsid w:val="00220D26"/>
    <w:rsid w:val="0026120C"/>
    <w:rsid w:val="00263F16"/>
    <w:rsid w:val="002770F3"/>
    <w:rsid w:val="00283FB4"/>
    <w:rsid w:val="002909B2"/>
    <w:rsid w:val="002B7851"/>
    <w:rsid w:val="002D501F"/>
    <w:rsid w:val="002E494D"/>
    <w:rsid w:val="002F2BFE"/>
    <w:rsid w:val="00310B57"/>
    <w:rsid w:val="003134D1"/>
    <w:rsid w:val="00322FCB"/>
    <w:rsid w:val="00326DC7"/>
    <w:rsid w:val="003353BB"/>
    <w:rsid w:val="00340579"/>
    <w:rsid w:val="003511AC"/>
    <w:rsid w:val="00353AE8"/>
    <w:rsid w:val="00366A96"/>
    <w:rsid w:val="00367BFC"/>
    <w:rsid w:val="0038676B"/>
    <w:rsid w:val="003878C3"/>
    <w:rsid w:val="0039275D"/>
    <w:rsid w:val="003A2FC1"/>
    <w:rsid w:val="003E1C41"/>
    <w:rsid w:val="00443E50"/>
    <w:rsid w:val="00451421"/>
    <w:rsid w:val="00456B99"/>
    <w:rsid w:val="004631BF"/>
    <w:rsid w:val="004800C7"/>
    <w:rsid w:val="0048092B"/>
    <w:rsid w:val="004859C6"/>
    <w:rsid w:val="00490B5B"/>
    <w:rsid w:val="004B7DE3"/>
    <w:rsid w:val="004E054C"/>
    <w:rsid w:val="004E7B5C"/>
    <w:rsid w:val="00510652"/>
    <w:rsid w:val="005160A5"/>
    <w:rsid w:val="00522F78"/>
    <w:rsid w:val="005316C6"/>
    <w:rsid w:val="005316F3"/>
    <w:rsid w:val="00535D18"/>
    <w:rsid w:val="0054144F"/>
    <w:rsid w:val="00551181"/>
    <w:rsid w:val="00555F79"/>
    <w:rsid w:val="00571E8E"/>
    <w:rsid w:val="00573832"/>
    <w:rsid w:val="00575783"/>
    <w:rsid w:val="00575E02"/>
    <w:rsid w:val="00582D45"/>
    <w:rsid w:val="00590443"/>
    <w:rsid w:val="005A0AAE"/>
    <w:rsid w:val="005A721A"/>
    <w:rsid w:val="005B7382"/>
    <w:rsid w:val="005D0729"/>
    <w:rsid w:val="005D3EAA"/>
    <w:rsid w:val="005D3F72"/>
    <w:rsid w:val="005D72CC"/>
    <w:rsid w:val="005E16B0"/>
    <w:rsid w:val="006024DA"/>
    <w:rsid w:val="00650DE7"/>
    <w:rsid w:val="00652754"/>
    <w:rsid w:val="00676409"/>
    <w:rsid w:val="006832E1"/>
    <w:rsid w:val="00686410"/>
    <w:rsid w:val="00692F16"/>
    <w:rsid w:val="00694CD1"/>
    <w:rsid w:val="006B3EC7"/>
    <w:rsid w:val="006C1F78"/>
    <w:rsid w:val="006E5719"/>
    <w:rsid w:val="006E67B7"/>
    <w:rsid w:val="00706085"/>
    <w:rsid w:val="007254EA"/>
    <w:rsid w:val="00725EC8"/>
    <w:rsid w:val="00733724"/>
    <w:rsid w:val="0073546A"/>
    <w:rsid w:val="00744655"/>
    <w:rsid w:val="0074626C"/>
    <w:rsid w:val="007613A7"/>
    <w:rsid w:val="00772A02"/>
    <w:rsid w:val="0077567F"/>
    <w:rsid w:val="007824F7"/>
    <w:rsid w:val="00790E23"/>
    <w:rsid w:val="00791651"/>
    <w:rsid w:val="007E441D"/>
    <w:rsid w:val="007F2C70"/>
    <w:rsid w:val="00802411"/>
    <w:rsid w:val="00812464"/>
    <w:rsid w:val="00840FA4"/>
    <w:rsid w:val="00845C95"/>
    <w:rsid w:val="00847178"/>
    <w:rsid w:val="00855BA8"/>
    <w:rsid w:val="008602DD"/>
    <w:rsid w:val="00883FF7"/>
    <w:rsid w:val="008866E7"/>
    <w:rsid w:val="00886F47"/>
    <w:rsid w:val="00896B64"/>
    <w:rsid w:val="008B0E5C"/>
    <w:rsid w:val="008B1569"/>
    <w:rsid w:val="008C0AC7"/>
    <w:rsid w:val="00905DC1"/>
    <w:rsid w:val="00963DA0"/>
    <w:rsid w:val="00976346"/>
    <w:rsid w:val="009835D8"/>
    <w:rsid w:val="009852F9"/>
    <w:rsid w:val="00997884"/>
    <w:rsid w:val="009A25FF"/>
    <w:rsid w:val="009E05F0"/>
    <w:rsid w:val="009E7A1B"/>
    <w:rsid w:val="00A020B3"/>
    <w:rsid w:val="00A35DA7"/>
    <w:rsid w:val="00A37CA9"/>
    <w:rsid w:val="00A6738A"/>
    <w:rsid w:val="00A727AC"/>
    <w:rsid w:val="00A92B1C"/>
    <w:rsid w:val="00AB19F9"/>
    <w:rsid w:val="00AB7577"/>
    <w:rsid w:val="00AC0C35"/>
    <w:rsid w:val="00AC1DB5"/>
    <w:rsid w:val="00AC20EB"/>
    <w:rsid w:val="00AC5391"/>
    <w:rsid w:val="00AD1865"/>
    <w:rsid w:val="00AD7072"/>
    <w:rsid w:val="00AE0BCA"/>
    <w:rsid w:val="00AF29F0"/>
    <w:rsid w:val="00B146D4"/>
    <w:rsid w:val="00B20178"/>
    <w:rsid w:val="00B22579"/>
    <w:rsid w:val="00B23BBA"/>
    <w:rsid w:val="00B335D8"/>
    <w:rsid w:val="00B3429A"/>
    <w:rsid w:val="00B375B5"/>
    <w:rsid w:val="00B82C52"/>
    <w:rsid w:val="00B84E32"/>
    <w:rsid w:val="00BA34E0"/>
    <w:rsid w:val="00BE5580"/>
    <w:rsid w:val="00C01726"/>
    <w:rsid w:val="00C16911"/>
    <w:rsid w:val="00C31EA1"/>
    <w:rsid w:val="00C76DA8"/>
    <w:rsid w:val="00C802A9"/>
    <w:rsid w:val="00C82CC2"/>
    <w:rsid w:val="00C84D89"/>
    <w:rsid w:val="00CA040F"/>
    <w:rsid w:val="00CA2F68"/>
    <w:rsid w:val="00CB4B90"/>
    <w:rsid w:val="00CC7BE7"/>
    <w:rsid w:val="00CF5979"/>
    <w:rsid w:val="00CF6E4A"/>
    <w:rsid w:val="00D228D6"/>
    <w:rsid w:val="00D30AE0"/>
    <w:rsid w:val="00D34F2E"/>
    <w:rsid w:val="00D54516"/>
    <w:rsid w:val="00D56EBF"/>
    <w:rsid w:val="00D5715F"/>
    <w:rsid w:val="00D71B57"/>
    <w:rsid w:val="00D8646B"/>
    <w:rsid w:val="00D933A3"/>
    <w:rsid w:val="00D9670F"/>
    <w:rsid w:val="00D96A22"/>
    <w:rsid w:val="00DA634C"/>
    <w:rsid w:val="00DB62EC"/>
    <w:rsid w:val="00DB7C23"/>
    <w:rsid w:val="00DD690F"/>
    <w:rsid w:val="00DF27EE"/>
    <w:rsid w:val="00DF5058"/>
    <w:rsid w:val="00E2738F"/>
    <w:rsid w:val="00E3049D"/>
    <w:rsid w:val="00E574FE"/>
    <w:rsid w:val="00E80AD7"/>
    <w:rsid w:val="00E86394"/>
    <w:rsid w:val="00EA4310"/>
    <w:rsid w:val="00ED1F10"/>
    <w:rsid w:val="00ED47B4"/>
    <w:rsid w:val="00EE65AE"/>
    <w:rsid w:val="00F02203"/>
    <w:rsid w:val="00F05AC7"/>
    <w:rsid w:val="00F13993"/>
    <w:rsid w:val="00F15AA4"/>
    <w:rsid w:val="00F31926"/>
    <w:rsid w:val="00F32E93"/>
    <w:rsid w:val="00F33189"/>
    <w:rsid w:val="00F42019"/>
    <w:rsid w:val="00F7750B"/>
    <w:rsid w:val="00FB5404"/>
    <w:rsid w:val="00FC2F5C"/>
    <w:rsid w:val="00FC7B36"/>
    <w:rsid w:val="00FE316D"/>
    <w:rsid w:val="00FF03C9"/>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ED47B4"/>
    <w:rPr>
      <w:color w:val="0000FF"/>
      <w:u w:val="single"/>
    </w:rPr>
  </w:style>
  <w:style w:type="paragraph" w:styleId="ListParagraph">
    <w:name w:val="List Paragraph"/>
    <w:basedOn w:val="Normal"/>
    <w:uiPriority w:val="34"/>
    <w:qFormat/>
    <w:rsid w:val="00AB7577"/>
    <w:pPr>
      <w:ind w:left="720"/>
      <w:contextualSpacing/>
    </w:pPr>
  </w:style>
  <w:style w:type="character" w:styleId="FollowedHyperlink">
    <w:name w:val="FollowedHyperlink"/>
    <w:basedOn w:val="DefaultParagraphFont"/>
    <w:uiPriority w:val="99"/>
    <w:semiHidden/>
    <w:unhideWhenUsed/>
    <w:rsid w:val="00C16911"/>
    <w:rPr>
      <w:color w:val="000000" w:themeColor="followedHyperlink"/>
      <w:u w:val="single"/>
    </w:rPr>
  </w:style>
  <w:style w:type="character" w:customStyle="1" w:styleId="BodyCopy">
    <w:name w:val="Body Copy"/>
    <w:basedOn w:val="DefaultParagraphFont"/>
    <w:uiPriority w:val="99"/>
    <w:rsid w:val="00E574FE"/>
    <w:rPr>
      <w:rFonts w:asciiTheme="minorHAnsi" w:hAnsiTheme="minorHAnsi"/>
    </w:rPr>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rsid w:val="00E57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6-01-Modifications-to-TOP-and-IRO-Standard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mark.ol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CD3B2BCA713E478D9B3377F6A042EF" ma:contentTypeVersion="0" ma:contentTypeDescription="Create a new document." ma:contentTypeScope="" ma:versionID="3bb2172e28717e946083bb952d0aabba">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FF19EC489DF484B956D5976E424051E" ma:contentTypeVersion="40" ma:contentTypeDescription="Create a new document." ma:contentTypeScope="" ma:versionID="e1dc07cb466f4f68fb5f7a4e813297bb">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6D46E-1E12-473F-8A86-5AF0BF720450}"/>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73FE0A5A-9423-4A36-8BC7-EF3FB20754EC}"/>
</file>

<file path=customXml/itemProps5.xml><?xml version="1.0" encoding="utf-8"?>
<ds:datastoreItem xmlns:ds="http://schemas.openxmlformats.org/officeDocument/2006/customXml" ds:itemID="{FA5DA58F-3B85-4462-A930-5E54FAFC8D32}"/>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3026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2016-01-15T01:24:00Z</dcterms:created>
  <dcterms:modified xsi:type="dcterms:W3CDTF">2016-01-22T12:41:00Z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0x010100DFF19EC489DF484B956D5976E424051E</vt:lpwstr>
  </property>
  <property fmtid="{D5CDD505-2E9C-101B-9397-08002B2CF9AE}" pid="3" name="Document Category">
    <vt:lpwstr>Template</vt:lpwstr>
  </property>
  <property fmtid="{D5CDD505-2E9C-101B-9397-08002B2CF9AE}" pid="4" name="_dlc_DocIdItemGuid">
    <vt:lpwstr>a43f7fca-e3b1-4cb7-b068-c8da5fe558bc</vt:lpwstr>
  </property>
  <property fmtid="{D5CDD505-2E9C-101B-9397-08002B2CF9AE}" pid="5" name="TemplateUrl">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