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3F03C379" w14:textId="77777777" w:rsidR="003A2E79" w:rsidRDefault="003A2E79" w:rsidP="0073546A">
      <w:pPr>
        <w:rPr>
          <w:rFonts w:ascii="Tahoma" w:hAnsi="Tahoma"/>
          <w:color w:val="204C81"/>
          <w:sz w:val="32"/>
          <w:szCs w:val="32"/>
        </w:rPr>
      </w:pPr>
      <w:bookmarkStart w:id="0" w:name="_Toc195946481"/>
      <w:r w:rsidRPr="003A2E79">
        <w:rPr>
          <w:rFonts w:ascii="Tahoma" w:hAnsi="Tahoma"/>
          <w:color w:val="204C81"/>
          <w:sz w:val="32"/>
          <w:szCs w:val="32"/>
        </w:rPr>
        <w:t xml:space="preserve">Project 2018-04 Modifications to PRC-024-2 </w:t>
      </w:r>
    </w:p>
    <w:p w14:paraId="4B159F3D" w14:textId="77777777" w:rsidR="003A2E79" w:rsidRDefault="003A2E79" w:rsidP="0073546A">
      <w:pPr>
        <w:rPr>
          <w:rFonts w:ascii="Tahoma" w:hAnsi="Tahoma"/>
          <w:color w:val="204C81"/>
          <w:sz w:val="32"/>
          <w:szCs w:val="32"/>
        </w:rPr>
      </w:pPr>
    </w:p>
    <w:p w14:paraId="3620FC62" w14:textId="65EAEDBC" w:rsidR="0073546A" w:rsidRPr="00D24289" w:rsidRDefault="00747D75" w:rsidP="0073546A">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000B4B7F" w:rsidRPr="0018520A">
        <w:t xml:space="preserve">Use the </w:t>
      </w:r>
      <w:hyperlink r:id="rId12" w:history="1">
        <w:r w:rsidR="000B4B7F" w:rsidRPr="0018520A">
          <w:rPr>
            <w:rStyle w:val="Hyperlink"/>
          </w:rPr>
          <w:t xml:space="preserve">Standards Balloting and </w:t>
        </w:r>
        <w:r w:rsidR="000B4B7F" w:rsidRPr="0018520A">
          <w:rPr>
            <w:rStyle w:val="Hyperlink"/>
          </w:rPr>
          <w:lastRenderedPageBreak/>
          <w:t>Commenting System (SBS)</w:t>
        </w:r>
      </w:hyperlink>
      <w:r w:rsidR="000B4B7F" w:rsidRPr="0018520A">
        <w:t xml:space="preserve"> to submit comments</w:t>
      </w:r>
      <w:r w:rsidR="000B4B7F">
        <w:t xml:space="preserve"> on</w:t>
      </w:r>
      <w:r w:rsidRPr="00786AD7">
        <w:t xml:space="preserve"> </w:t>
      </w:r>
      <w:r w:rsidR="003A2E79">
        <w:rPr>
          <w:b/>
        </w:rPr>
        <w:t>PRC-024-3 – Generator Voltage and Frequency Protection</w:t>
      </w:r>
      <w:r w:rsidR="00313BFE">
        <w:t>.</w:t>
      </w:r>
      <w:r w:rsidR="0073546A" w:rsidRPr="00D24289">
        <w:t xml:space="preserve"> </w:t>
      </w:r>
      <w:r w:rsidR="000B4B7F">
        <w:t>Comments</w:t>
      </w:r>
      <w:r>
        <w:t xml:space="preserve"> must be submitted </w:t>
      </w:r>
      <w:r w:rsidRPr="00EE5416">
        <w:t>by</w:t>
      </w:r>
      <w:r w:rsidRPr="00733DF8">
        <w:rPr>
          <w:b/>
        </w:rPr>
        <w:t xml:space="preserve"> 8 p.</w:t>
      </w:r>
      <w:r>
        <w:rPr>
          <w:b/>
        </w:rPr>
        <w:t xml:space="preserve">m. Eastern, </w:t>
      </w:r>
      <w:r w:rsidR="003312CC">
        <w:rPr>
          <w:b/>
        </w:rPr>
        <w:t xml:space="preserve">Friday, </w:t>
      </w:r>
      <w:r w:rsidR="003A2E79">
        <w:rPr>
          <w:b/>
        </w:rPr>
        <w:t>May 31, 2019</w:t>
      </w:r>
      <w:r>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80FED26" w14:textId="7C12AA03" w:rsidR="0039275D" w:rsidRPr="00D24289" w:rsidRDefault="00C6538F" w:rsidP="0073546A">
      <w:r>
        <w:lastRenderedPageBreak/>
        <w:t xml:space="preserve">Additional </w:t>
      </w:r>
      <w:r w:rsidR="00747D75">
        <w:t xml:space="preserve">information </w:t>
      </w:r>
      <w:r>
        <w:t>is</w:t>
      </w:r>
      <w:r w:rsidR="00747D75">
        <w:t xml:space="preserve"> available on the </w:t>
      </w:r>
      <w:hyperlink r:id="rId13" w:history="1">
        <w:r w:rsidR="00AD744A" w:rsidRPr="003A2E79">
          <w:rPr>
            <w:rStyle w:val="Hyperlink"/>
          </w:rPr>
          <w:t>project page</w:t>
        </w:r>
      </w:hyperlink>
      <w:r w:rsidR="00747D75">
        <w:t xml:space="preserve">. </w:t>
      </w:r>
      <w:r w:rsidR="003E0DC1">
        <w:rPr>
          <w:lang w:eastAsia="zh-CN"/>
        </w:rPr>
        <w:t>If you have questions, contact</w:t>
      </w:r>
      <w:r w:rsidR="003E0DC1" w:rsidRPr="00130C72">
        <w:t xml:space="preserve"> </w:t>
      </w:r>
      <w:r w:rsidR="003E0DC1">
        <w:t>Standards Developer</w:t>
      </w:r>
      <w:r w:rsidR="003E0DC1" w:rsidRPr="00F46DC4">
        <w:t xml:space="preserve">, </w:t>
      </w:r>
      <w:hyperlink r:id="rId14" w:history="1">
        <w:r w:rsidR="003E0DC1" w:rsidRPr="00130C72">
          <w:rPr>
            <w:rStyle w:val="Hyperlink"/>
          </w:rPr>
          <w:t>Mat Bunch</w:t>
        </w:r>
      </w:hyperlink>
      <w:r w:rsidR="003E0DC1">
        <w:t xml:space="preserve"> (via email), or at (404) 446-9785</w:t>
      </w:r>
      <w:r w:rsidR="003E0DC1">
        <w:rPr>
          <w:lang w:eastAsia="zh-CN"/>
        </w:rPr>
        <w:t>.</w:t>
      </w:r>
      <w:r w:rsidR="003E0DC1">
        <w:tab/>
      </w:r>
      <w:r w:rsidR="00ED5673" w:rsidRPr="00D24289">
        <w:tab/>
      </w:r>
    </w:p>
    <w:p w14:paraId="26099FB3" w14:textId="77777777" w:rsidR="002F2BFE" w:rsidRPr="00D24289" w:rsidRDefault="002F2BFE" w:rsidP="00D933A3"/>
    <w:bookmarkEnd w:id="0"/>
    <w:p w14:paraId="5A406826" w14:textId="77777777" w:rsidR="0039275D" w:rsidRPr="00231967" w:rsidRDefault="0073546A" w:rsidP="00102A01">
      <w:pPr>
        <w:pStyle w:val="Heading2"/>
        <w:rPr>
          <w:rFonts w:cs="Tahoma"/>
          <w:sz w:val="28"/>
          <w:szCs w:val="28"/>
        </w:rPr>
      </w:pPr>
      <w:r w:rsidRPr="00231967">
        <w:rPr>
          <w:rFonts w:cs="Tahoma"/>
          <w:sz w:val="28"/>
          <w:szCs w:val="28"/>
        </w:rPr>
        <w:t>Background Information</w:t>
      </w:r>
    </w:p>
    <w:p w14:paraId="2E2C4E43" w14:textId="7A3DB787" w:rsidR="008C3C9A" w:rsidRPr="008C3C9A" w:rsidRDefault="008C3C9A" w:rsidP="008C3C9A">
      <w:pPr>
        <w:rPr>
          <w:rFonts w:cs="Tahoma"/>
          <w:b/>
          <w:bCs/>
        </w:rPr>
      </w:pPr>
      <w:r w:rsidRPr="008C3C9A">
        <w:rPr>
          <w:rFonts w:cs="Tahoma"/>
        </w:rPr>
        <w:t>On November 27, 2018, the NERC Operating Committee (OC) and Planning Commit</w:t>
      </w:r>
      <w:r w:rsidRPr="008C3C9A">
        <w:rPr>
          <w:rFonts w:cs="Tahoma"/>
        </w:rPr>
        <w:lastRenderedPageBreak/>
        <w:t>tee (PC) submitted a Standard Authorization Request (SAR) prepared by the Inverter-Based Resource Performance Task Force (IRPTF), which reports to the OC and PC</w:t>
      </w:r>
      <w:r w:rsidR="00B12D25">
        <w:rPr>
          <w:rFonts w:cs="Tahoma"/>
        </w:rPr>
        <w:t xml:space="preserve">. </w:t>
      </w:r>
    </w:p>
    <w:p w14:paraId="74C32A84" w14:textId="77777777" w:rsidR="008C3C9A" w:rsidRPr="008C3C9A" w:rsidRDefault="008C3C9A" w:rsidP="008C3C9A">
      <w:pPr>
        <w:rPr>
          <w:rFonts w:cs="Tahoma"/>
        </w:rPr>
      </w:pPr>
    </w:p>
    <w:p w14:paraId="641FBFBC" w14:textId="1EDE8843" w:rsidR="00B12D25" w:rsidRPr="008C3C9A" w:rsidRDefault="00231967" w:rsidP="008C3C9A">
      <w:pPr>
        <w:rPr>
          <w:rFonts w:cs="Tahoma"/>
        </w:rPr>
      </w:pPr>
      <w:r>
        <w:rPr>
          <w:rFonts w:cs="Tahoma"/>
        </w:rPr>
        <w:t>B</w:t>
      </w:r>
      <w:r w:rsidR="008C3C9A" w:rsidRPr="008C3C9A">
        <w:rPr>
          <w:rFonts w:cs="Tahoma"/>
        </w:rPr>
        <w:t>ased off the analyses</w:t>
      </w:r>
      <w:r>
        <w:rPr>
          <w:rFonts w:cs="Tahoma"/>
        </w:rPr>
        <w:t xml:space="preserve"> of the </w:t>
      </w:r>
      <w:hyperlink r:id="rId15" w:history="1">
        <w:r w:rsidRPr="008C3C9A">
          <w:rPr>
            <w:rStyle w:val="Hyperlink"/>
            <w:rFonts w:cs="Tahoma"/>
          </w:rPr>
          <w:t>Blue Cut Fire</w:t>
        </w:r>
      </w:hyperlink>
      <w:r w:rsidRPr="008C3C9A">
        <w:rPr>
          <w:rFonts w:cs="Tahoma"/>
        </w:rPr>
        <w:t> and </w:t>
      </w:r>
      <w:hyperlink r:id="rId16" w:anchor="search=blue%20cut%20fire" w:history="1">
        <w:r w:rsidRPr="008C3C9A">
          <w:rPr>
            <w:rStyle w:val="Hyperlink"/>
            <w:rFonts w:cs="Tahoma"/>
          </w:rPr>
          <w:t>Canyon 2 Fire</w:t>
        </w:r>
      </w:hyperlink>
      <w:r w:rsidRPr="008C3C9A">
        <w:rPr>
          <w:rFonts w:cs="Tahoma"/>
        </w:rPr>
        <w:t> distur</w:t>
      </w:r>
      <w:r>
        <w:rPr>
          <w:rFonts w:cs="Tahoma"/>
        </w:rPr>
        <w:t xml:space="preserve">bances in </w:t>
      </w:r>
      <w:r>
        <w:rPr>
          <w:rFonts w:cs="Tahoma"/>
        </w:rPr>
        <w:lastRenderedPageBreak/>
        <w:t>southern California</w:t>
      </w:r>
      <w:r w:rsidR="008C3C9A" w:rsidRPr="008C3C9A">
        <w:rPr>
          <w:rFonts w:cs="Tahoma"/>
        </w:rPr>
        <w:t xml:space="preserve"> </w:t>
      </w:r>
      <w:r>
        <w:rPr>
          <w:rFonts w:cs="Tahoma"/>
        </w:rPr>
        <w:t>along with the</w:t>
      </w:r>
      <w:r w:rsidR="008C3C9A" w:rsidRPr="008C3C9A">
        <w:rPr>
          <w:rFonts w:cs="Tahoma"/>
        </w:rPr>
        <w:t xml:space="preserve"> development of the </w:t>
      </w:r>
      <w:hyperlink r:id="rId17" w:history="1">
        <w:r w:rsidR="008C3C9A" w:rsidRPr="008C3C9A">
          <w:rPr>
            <w:rStyle w:val="Hyperlink"/>
            <w:rFonts w:cs="Tahoma"/>
          </w:rPr>
          <w:t>PRC-024-2 Gaps Whitepaper</w:t>
        </w:r>
      </w:hyperlink>
      <w:r w:rsidR="008C3C9A" w:rsidRPr="008C3C9A">
        <w:rPr>
          <w:rFonts w:cs="Tahoma"/>
        </w:rPr>
        <w:t xml:space="preserve">, the IRPTF identified potential modifications to PRC-024-2 to ensure that inverter-based generator owners, operators, developers, and equipment manufacturers understand the intent of the standard in order for their plants </w:t>
      </w:r>
      <w:r w:rsidR="00CA33AF">
        <w:rPr>
          <w:rFonts w:cs="Tahoma"/>
        </w:rPr>
        <w:t xml:space="preserve">to </w:t>
      </w:r>
      <w:r w:rsidR="008C3C9A" w:rsidRPr="008C3C9A">
        <w:rPr>
          <w:rFonts w:cs="Tahoma"/>
        </w:rPr>
        <w:t xml:space="preserve">respond to grid disturbances in a </w:t>
      </w:r>
      <w:r w:rsidR="008C3C9A" w:rsidRPr="008C3C9A">
        <w:rPr>
          <w:rFonts w:cs="Tahoma"/>
        </w:rPr>
        <w:lastRenderedPageBreak/>
        <w:t>manner that contributes to the reliable operation of the BPS.</w:t>
      </w:r>
      <w:r w:rsidR="00B12D25">
        <w:rPr>
          <w:rFonts w:cs="Tahoma"/>
        </w:rPr>
        <w:t xml:space="preserve"> In order to address the issues in the </w:t>
      </w:r>
      <w:hyperlink r:id="rId18" w:history="1">
        <w:r w:rsidR="00B12D25" w:rsidRPr="00B12D25">
          <w:rPr>
            <w:rStyle w:val="Hyperlink"/>
            <w:rFonts w:cs="Tahoma"/>
          </w:rPr>
          <w:t>SAR</w:t>
        </w:r>
      </w:hyperlink>
      <w:r w:rsidR="00B12D25">
        <w:rPr>
          <w:rFonts w:cs="Tahoma"/>
        </w:rPr>
        <w:t xml:space="preserve">, the standard drafting team developed the proposed modifications in PRC-024-3. </w:t>
      </w:r>
    </w:p>
    <w:p w14:paraId="7F4C645E" w14:textId="77777777" w:rsidR="008C3C9A" w:rsidRDefault="008C3C9A" w:rsidP="008C3C9A">
      <w:pPr>
        <w:pStyle w:val="DocumentSubtitle"/>
        <w:rPr>
          <w:szCs w:val="32"/>
        </w:rPr>
      </w:pPr>
    </w:p>
    <w:p w14:paraId="613FE3BD" w14:textId="6B10B362" w:rsidR="00D007BE" w:rsidRPr="00231967" w:rsidRDefault="00D007BE" w:rsidP="00231967">
      <w:pPr>
        <w:rPr>
          <w:rFonts w:ascii="Tahoma" w:hAnsi="Tahoma" w:cs="Tahoma"/>
          <w:b/>
          <w:color w:val="000000" w:themeColor="accent5"/>
          <w:sz w:val="28"/>
          <w:szCs w:val="28"/>
        </w:rPr>
      </w:pPr>
      <w:r w:rsidRPr="00231967">
        <w:rPr>
          <w:rFonts w:ascii="Tahoma" w:hAnsi="Tahoma" w:cs="Tahoma"/>
          <w:b/>
          <w:color w:val="000000" w:themeColor="accent5"/>
          <w:sz w:val="28"/>
          <w:szCs w:val="28"/>
        </w:rPr>
        <w:t>PRC-024-3 – Summary of Key Changes</w:t>
      </w:r>
    </w:p>
    <w:p w14:paraId="5AAD415D" w14:textId="77777777" w:rsidR="008C3C9A" w:rsidRPr="003501A8" w:rsidRDefault="008C3C9A" w:rsidP="008C3C9A">
      <w:pPr>
        <w:rPr>
          <w:rFonts w:ascii="Tahoma" w:hAnsi="Tahoma"/>
          <w:b/>
          <w:sz w:val="22"/>
          <w:szCs w:val="40"/>
        </w:rPr>
      </w:pPr>
      <w:r w:rsidRPr="003501A8">
        <w:rPr>
          <w:rFonts w:ascii="Tahoma" w:hAnsi="Tahoma"/>
          <w:b/>
          <w:sz w:val="22"/>
          <w:szCs w:val="40"/>
        </w:rPr>
        <w:t>Momentary Cessation</w:t>
      </w:r>
    </w:p>
    <w:p w14:paraId="43B16114" w14:textId="77777777" w:rsidR="008C3C9A" w:rsidRPr="003501A8" w:rsidRDefault="008C3C9A" w:rsidP="008C3C9A">
      <w:pPr>
        <w:numPr>
          <w:ilvl w:val="0"/>
          <w:numId w:val="34"/>
        </w:numPr>
        <w:spacing w:before="120"/>
        <w:rPr>
          <w:rFonts w:ascii="Calibri" w:hAnsi="Calibri"/>
        </w:rPr>
      </w:pPr>
      <w:r w:rsidRPr="003501A8">
        <w:rPr>
          <w:rFonts w:ascii="Calibri" w:hAnsi="Calibri"/>
        </w:rPr>
        <w:lastRenderedPageBreak/>
        <w:t>Requirements R1 and R2 modified to specify a generating resource may neither trip NOR enter momentary cessation inside the No Trip Zone</w:t>
      </w:r>
    </w:p>
    <w:p w14:paraId="06E6235F" w14:textId="77777777" w:rsidR="008C3C9A" w:rsidRPr="003501A8" w:rsidRDefault="008C3C9A" w:rsidP="008C3C9A">
      <w:pPr>
        <w:tabs>
          <w:tab w:val="left" w:pos="2547"/>
        </w:tabs>
        <w:rPr>
          <w:rFonts w:ascii="Tahoma" w:hAnsi="Tahoma"/>
          <w:b/>
          <w:sz w:val="22"/>
          <w:szCs w:val="40"/>
        </w:rPr>
      </w:pPr>
      <w:r w:rsidRPr="003501A8">
        <w:rPr>
          <w:rFonts w:ascii="Tahoma" w:hAnsi="Tahoma"/>
          <w:b/>
          <w:sz w:val="22"/>
          <w:szCs w:val="40"/>
        </w:rPr>
        <w:tab/>
      </w:r>
    </w:p>
    <w:p w14:paraId="45E7A497" w14:textId="77777777" w:rsidR="008C3C9A" w:rsidRPr="003501A8" w:rsidRDefault="008C3C9A" w:rsidP="008C3C9A">
      <w:pPr>
        <w:rPr>
          <w:rFonts w:ascii="Tahoma" w:hAnsi="Tahoma"/>
          <w:b/>
          <w:sz w:val="22"/>
          <w:szCs w:val="40"/>
        </w:rPr>
      </w:pPr>
      <w:r w:rsidRPr="003501A8">
        <w:rPr>
          <w:rFonts w:ascii="Tahoma" w:hAnsi="Tahoma"/>
          <w:b/>
          <w:sz w:val="22"/>
          <w:szCs w:val="40"/>
        </w:rPr>
        <w:t>No Trip Zone</w:t>
      </w:r>
    </w:p>
    <w:p w14:paraId="62A20DB8" w14:textId="77777777" w:rsidR="008C3C9A" w:rsidRPr="003501A8" w:rsidRDefault="008C3C9A" w:rsidP="008C3C9A">
      <w:pPr>
        <w:numPr>
          <w:ilvl w:val="0"/>
          <w:numId w:val="34"/>
        </w:numPr>
        <w:spacing w:before="120"/>
        <w:rPr>
          <w:rFonts w:ascii="Calibri" w:hAnsi="Calibri"/>
        </w:rPr>
      </w:pPr>
      <w:r w:rsidRPr="003501A8">
        <w:rPr>
          <w:rFonts w:ascii="Calibri" w:hAnsi="Calibri"/>
        </w:rPr>
        <w:t xml:space="preserve">To clarify confusion regarding tripping or entering momentary cessation </w:t>
      </w:r>
      <w:r w:rsidRPr="003501A8">
        <w:rPr>
          <w:rFonts w:ascii="Calibri" w:hAnsi="Calibri"/>
          <w:i/>
        </w:rPr>
        <w:t>outside</w:t>
      </w:r>
      <w:r w:rsidRPr="003501A8">
        <w:rPr>
          <w:rFonts w:ascii="Calibri" w:hAnsi="Calibri"/>
        </w:rPr>
        <w:t xml:space="preserve"> the No Trip Zone, the area outside </w:t>
      </w:r>
      <w:r w:rsidRPr="003501A8">
        <w:rPr>
          <w:rFonts w:ascii="Calibri" w:hAnsi="Calibri"/>
        </w:rPr>
        <w:lastRenderedPageBreak/>
        <w:t>the boundary</w:t>
      </w:r>
      <w:bookmarkStart w:id="1" w:name="_GoBack"/>
      <w:bookmarkEnd w:id="1"/>
      <w:r w:rsidRPr="003501A8">
        <w:rPr>
          <w:rFonts w:ascii="Calibri" w:hAnsi="Calibri"/>
        </w:rPr>
        <w:t xml:space="preserve"> is now labeled as a “May Trip Zone”</w:t>
      </w:r>
    </w:p>
    <w:p w14:paraId="7DF53604" w14:textId="77777777" w:rsidR="008C3C9A" w:rsidRPr="003501A8" w:rsidRDefault="008C3C9A" w:rsidP="008C3C9A">
      <w:pPr>
        <w:rPr>
          <w:rFonts w:ascii="Tahoma" w:hAnsi="Tahoma"/>
          <w:b/>
          <w:sz w:val="22"/>
          <w:szCs w:val="40"/>
        </w:rPr>
      </w:pPr>
    </w:p>
    <w:p w14:paraId="4326200E" w14:textId="224AC8C2" w:rsidR="008C3C9A" w:rsidRPr="003501A8" w:rsidRDefault="00E833DC" w:rsidP="008C3C9A">
      <w:pPr>
        <w:rPr>
          <w:rFonts w:ascii="Tahoma" w:hAnsi="Tahoma"/>
          <w:b/>
          <w:sz w:val="22"/>
          <w:szCs w:val="40"/>
        </w:rPr>
      </w:pPr>
      <w:r>
        <w:rPr>
          <w:rFonts w:ascii="Tahoma" w:hAnsi="Tahoma"/>
          <w:b/>
          <w:sz w:val="22"/>
          <w:szCs w:val="40"/>
        </w:rPr>
        <w:t>Applicability Section</w:t>
      </w:r>
    </w:p>
    <w:p w14:paraId="28A88271" w14:textId="1E5DAE67" w:rsidR="008C3C9A" w:rsidRPr="003501A8" w:rsidRDefault="008C3C9A" w:rsidP="008C3C9A">
      <w:pPr>
        <w:numPr>
          <w:ilvl w:val="0"/>
          <w:numId w:val="34"/>
        </w:numPr>
        <w:spacing w:before="120"/>
        <w:rPr>
          <w:rFonts w:ascii="Calibri" w:hAnsi="Calibri"/>
        </w:rPr>
      </w:pPr>
      <w:r w:rsidRPr="003501A8">
        <w:rPr>
          <w:rFonts w:ascii="Calibri" w:hAnsi="Calibri"/>
        </w:rPr>
        <w:t xml:space="preserve">Facilities Section added that explicitly lists </w:t>
      </w:r>
      <w:r w:rsidR="00E833DC">
        <w:rPr>
          <w:rFonts w:ascii="Calibri" w:hAnsi="Calibri"/>
        </w:rPr>
        <w:t>protective functions for specific equipment</w:t>
      </w:r>
    </w:p>
    <w:p w14:paraId="63A0FC38" w14:textId="77777777" w:rsidR="008C3C9A" w:rsidRPr="003501A8" w:rsidRDefault="008C3C9A" w:rsidP="008C3C9A">
      <w:pPr>
        <w:numPr>
          <w:ilvl w:val="1"/>
          <w:numId w:val="34"/>
        </w:numPr>
        <w:spacing w:before="120"/>
        <w:ind w:left="1080"/>
        <w:rPr>
          <w:rFonts w:ascii="Calibri" w:hAnsi="Calibri"/>
        </w:rPr>
      </w:pPr>
      <w:r w:rsidRPr="003501A8">
        <w:rPr>
          <w:rFonts w:ascii="Calibri" w:hAnsi="Calibri"/>
        </w:rPr>
        <w:t xml:space="preserve">Plant Auxiliary Equipment </w:t>
      </w:r>
      <w:r>
        <w:rPr>
          <w:rFonts w:ascii="Calibri" w:hAnsi="Calibri"/>
        </w:rPr>
        <w:t>is</w:t>
      </w:r>
      <w:r w:rsidRPr="003501A8">
        <w:rPr>
          <w:rFonts w:ascii="Calibri" w:hAnsi="Calibri"/>
        </w:rPr>
        <w:t xml:space="preserve"> not included as an applicable facility</w:t>
      </w:r>
    </w:p>
    <w:p w14:paraId="31F8E203" w14:textId="77777777" w:rsidR="008C3C9A" w:rsidRPr="003501A8" w:rsidRDefault="008C3C9A" w:rsidP="008C3C9A">
      <w:pPr>
        <w:numPr>
          <w:ilvl w:val="1"/>
          <w:numId w:val="34"/>
        </w:numPr>
        <w:spacing w:before="120"/>
        <w:ind w:left="1080"/>
        <w:rPr>
          <w:rFonts w:ascii="Calibri" w:hAnsi="Calibri"/>
        </w:rPr>
      </w:pPr>
      <w:r w:rsidRPr="003501A8">
        <w:rPr>
          <w:rFonts w:ascii="Calibri" w:hAnsi="Calibri"/>
        </w:rPr>
        <w:lastRenderedPageBreak/>
        <w:t>Specifies that voltage and frequency protection should be applied to both generator step-up (GSU) and collector transformers</w:t>
      </w:r>
    </w:p>
    <w:p w14:paraId="3403559F" w14:textId="77777777" w:rsidR="008C3C9A" w:rsidRDefault="008C3C9A" w:rsidP="008C3C9A">
      <w:pPr>
        <w:numPr>
          <w:ilvl w:val="1"/>
          <w:numId w:val="34"/>
        </w:numPr>
        <w:spacing w:before="120"/>
        <w:ind w:left="1080"/>
        <w:rPr>
          <w:rFonts w:ascii="Calibri" w:hAnsi="Calibri"/>
        </w:rPr>
      </w:pPr>
      <w:r w:rsidRPr="003501A8">
        <w:rPr>
          <w:rFonts w:ascii="Calibri" w:hAnsi="Calibri"/>
        </w:rPr>
        <w:t xml:space="preserve">Addresses a potential reliability gap identified by the </w:t>
      </w:r>
      <w:r>
        <w:rPr>
          <w:rFonts w:ascii="Calibri" w:hAnsi="Calibri"/>
        </w:rPr>
        <w:t>standard drafting team</w:t>
      </w:r>
      <w:r w:rsidRPr="003501A8">
        <w:rPr>
          <w:rFonts w:ascii="Calibri" w:hAnsi="Calibri"/>
        </w:rPr>
        <w:t xml:space="preserve"> </w:t>
      </w:r>
    </w:p>
    <w:p w14:paraId="7EF88801" w14:textId="77777777" w:rsidR="008C3C9A" w:rsidRPr="003501A8" w:rsidRDefault="008C3C9A" w:rsidP="008C3C9A">
      <w:pPr>
        <w:numPr>
          <w:ilvl w:val="2"/>
          <w:numId w:val="34"/>
        </w:numPr>
        <w:spacing w:before="120"/>
        <w:ind w:left="1440"/>
        <w:rPr>
          <w:rFonts w:ascii="Calibri" w:hAnsi="Calibri"/>
        </w:rPr>
      </w:pPr>
      <w:r>
        <w:rPr>
          <w:rFonts w:ascii="Calibri" w:hAnsi="Calibri"/>
        </w:rPr>
        <w:t>S</w:t>
      </w:r>
      <w:r w:rsidRPr="003501A8">
        <w:rPr>
          <w:rFonts w:ascii="Calibri" w:hAnsi="Calibri"/>
        </w:rPr>
        <w:t>ome Transmission Owners (TOs) own GSU or collector transformers</w:t>
      </w:r>
      <w:r>
        <w:rPr>
          <w:rFonts w:ascii="Calibri" w:hAnsi="Calibri"/>
        </w:rPr>
        <w:t>,</w:t>
      </w:r>
      <w:r w:rsidRPr="003501A8">
        <w:rPr>
          <w:rFonts w:ascii="Calibri" w:hAnsi="Calibri"/>
        </w:rPr>
        <w:t xml:space="preserve"> </w:t>
      </w:r>
      <w:r>
        <w:rPr>
          <w:rFonts w:ascii="Calibri" w:hAnsi="Calibri"/>
        </w:rPr>
        <w:lastRenderedPageBreak/>
        <w:t>yet</w:t>
      </w:r>
      <w:r w:rsidRPr="003501A8">
        <w:rPr>
          <w:rFonts w:ascii="Calibri" w:hAnsi="Calibri"/>
        </w:rPr>
        <w:t xml:space="preserve"> not </w:t>
      </w:r>
      <w:r>
        <w:rPr>
          <w:rFonts w:ascii="Calibri" w:hAnsi="Calibri"/>
        </w:rPr>
        <w:t xml:space="preserve">currently </w:t>
      </w:r>
      <w:r w:rsidRPr="003501A8">
        <w:rPr>
          <w:rFonts w:ascii="Calibri" w:hAnsi="Calibri"/>
        </w:rPr>
        <w:t>in the scope PRC-024</w:t>
      </w:r>
    </w:p>
    <w:p w14:paraId="1F868700" w14:textId="77777777" w:rsidR="008C3C9A" w:rsidRPr="003501A8" w:rsidRDefault="008C3C9A" w:rsidP="008C3C9A">
      <w:pPr>
        <w:rPr>
          <w:rFonts w:ascii="Tahoma" w:hAnsi="Tahoma"/>
          <w:b/>
          <w:sz w:val="22"/>
          <w:szCs w:val="40"/>
        </w:rPr>
      </w:pPr>
    </w:p>
    <w:p w14:paraId="06F5CF90" w14:textId="28C82851" w:rsidR="008C3C9A" w:rsidRPr="003501A8" w:rsidRDefault="008C3C9A" w:rsidP="008C3C9A">
      <w:pPr>
        <w:rPr>
          <w:rFonts w:ascii="Tahoma" w:hAnsi="Tahoma"/>
          <w:b/>
          <w:sz w:val="22"/>
          <w:szCs w:val="40"/>
        </w:rPr>
      </w:pPr>
      <w:r w:rsidRPr="003501A8">
        <w:rPr>
          <w:rFonts w:ascii="Tahoma" w:hAnsi="Tahoma"/>
          <w:b/>
          <w:sz w:val="22"/>
          <w:szCs w:val="40"/>
        </w:rPr>
        <w:t xml:space="preserve">Inclusion of Some TOs as </w:t>
      </w:r>
      <w:r w:rsidR="00E833DC">
        <w:rPr>
          <w:rFonts w:ascii="Tahoma" w:hAnsi="Tahoma"/>
          <w:b/>
          <w:sz w:val="22"/>
          <w:szCs w:val="40"/>
        </w:rPr>
        <w:t>Functional</w:t>
      </w:r>
      <w:r w:rsidRPr="003501A8">
        <w:rPr>
          <w:rFonts w:ascii="Tahoma" w:hAnsi="Tahoma"/>
          <w:b/>
          <w:sz w:val="22"/>
          <w:szCs w:val="40"/>
        </w:rPr>
        <w:t xml:space="preserve"> Entities</w:t>
      </w:r>
      <w:r w:rsidR="006C13E0">
        <w:rPr>
          <w:rStyle w:val="FootnoteReference"/>
          <w:rFonts w:ascii="Tahoma" w:hAnsi="Tahoma"/>
          <w:b/>
          <w:sz w:val="22"/>
          <w:szCs w:val="40"/>
        </w:rPr>
        <w:footnoteReference w:id="1"/>
      </w:r>
      <w:r w:rsidRPr="003501A8">
        <w:rPr>
          <w:rFonts w:ascii="Tahoma" w:hAnsi="Tahoma"/>
          <w:b/>
          <w:sz w:val="22"/>
          <w:szCs w:val="40"/>
        </w:rPr>
        <w:t xml:space="preserve"> </w:t>
      </w:r>
    </w:p>
    <w:p w14:paraId="1F288282" w14:textId="77777777" w:rsidR="008C3C9A" w:rsidRPr="003501A8" w:rsidRDefault="008C3C9A" w:rsidP="008C3C9A">
      <w:pPr>
        <w:numPr>
          <w:ilvl w:val="0"/>
          <w:numId w:val="34"/>
        </w:numPr>
        <w:spacing w:before="120"/>
        <w:rPr>
          <w:rFonts w:ascii="Calibri" w:hAnsi="Calibri"/>
        </w:rPr>
      </w:pPr>
      <w:r w:rsidRPr="003501A8">
        <w:rPr>
          <w:rFonts w:ascii="Calibri" w:hAnsi="Calibri"/>
          <w:i/>
        </w:rPr>
        <w:lastRenderedPageBreak/>
        <w:t>Not all TOs are applicable</w:t>
      </w:r>
    </w:p>
    <w:p w14:paraId="70237BBB" w14:textId="77777777" w:rsidR="008C3C9A" w:rsidRPr="003501A8" w:rsidRDefault="008C3C9A" w:rsidP="008C3C9A">
      <w:pPr>
        <w:numPr>
          <w:ilvl w:val="0"/>
          <w:numId w:val="34"/>
        </w:numPr>
        <w:spacing w:before="120"/>
        <w:rPr>
          <w:rFonts w:ascii="Calibri" w:hAnsi="Calibri"/>
        </w:rPr>
      </w:pPr>
      <w:r w:rsidRPr="003501A8">
        <w:rPr>
          <w:rFonts w:ascii="Calibri" w:hAnsi="Calibri"/>
        </w:rPr>
        <w:lastRenderedPageBreak/>
        <w:t>Only those specific TOs that own a GSU or collector transformer and apply protection listed in the facilities section are now in scope of PRC-024</w:t>
      </w:r>
    </w:p>
    <w:p w14:paraId="1C4EB237" w14:textId="77777777" w:rsidR="008C3C9A" w:rsidRPr="003501A8" w:rsidRDefault="008C3C9A" w:rsidP="008C3C9A">
      <w:pPr>
        <w:tabs>
          <w:tab w:val="left" w:pos="3120"/>
        </w:tabs>
        <w:rPr>
          <w:rFonts w:ascii="Tahoma" w:hAnsi="Tahoma"/>
          <w:b/>
          <w:sz w:val="22"/>
          <w:szCs w:val="40"/>
        </w:rPr>
      </w:pPr>
      <w:r>
        <w:rPr>
          <w:rFonts w:ascii="Tahoma" w:hAnsi="Tahoma"/>
          <w:b/>
          <w:sz w:val="22"/>
          <w:szCs w:val="40"/>
        </w:rPr>
        <w:tab/>
      </w:r>
    </w:p>
    <w:p w14:paraId="1217B66F" w14:textId="77777777" w:rsidR="008C3C9A" w:rsidRPr="003501A8" w:rsidRDefault="008C3C9A" w:rsidP="008C3C9A">
      <w:pPr>
        <w:rPr>
          <w:rFonts w:ascii="Tahoma" w:hAnsi="Tahoma"/>
          <w:b/>
          <w:sz w:val="22"/>
          <w:szCs w:val="40"/>
        </w:rPr>
      </w:pPr>
      <w:r w:rsidRPr="003501A8">
        <w:rPr>
          <w:rFonts w:ascii="Tahoma" w:hAnsi="Tahoma"/>
          <w:b/>
          <w:sz w:val="22"/>
          <w:szCs w:val="40"/>
        </w:rPr>
        <w:t>Point of Interconnection (POI)</w:t>
      </w:r>
    </w:p>
    <w:p w14:paraId="32BE7A9F" w14:textId="77777777" w:rsidR="008C3C9A" w:rsidRPr="003501A8" w:rsidRDefault="008C3C9A" w:rsidP="008C3C9A">
      <w:pPr>
        <w:numPr>
          <w:ilvl w:val="0"/>
          <w:numId w:val="34"/>
        </w:numPr>
        <w:spacing w:before="120"/>
        <w:rPr>
          <w:rFonts w:ascii="Calibri" w:hAnsi="Calibri"/>
        </w:rPr>
      </w:pPr>
      <w:r w:rsidRPr="003501A8">
        <w:rPr>
          <w:rFonts w:ascii="Calibri" w:hAnsi="Calibri"/>
        </w:rPr>
        <w:lastRenderedPageBreak/>
        <w:t>To address ambiguity concerns, removed the term altogether and replaced with precise language for this standard:</w:t>
      </w:r>
    </w:p>
    <w:p w14:paraId="5072E560" w14:textId="77777777" w:rsidR="008C3C9A" w:rsidRPr="003501A8" w:rsidRDefault="008C3C9A" w:rsidP="008C3C9A">
      <w:pPr>
        <w:numPr>
          <w:ilvl w:val="1"/>
          <w:numId w:val="34"/>
        </w:numPr>
        <w:spacing w:before="120"/>
        <w:ind w:left="1080"/>
        <w:rPr>
          <w:rFonts w:ascii="Calibri" w:hAnsi="Calibri"/>
        </w:rPr>
      </w:pPr>
      <w:r w:rsidRPr="003501A8">
        <w:rPr>
          <w:rFonts w:ascii="Calibri" w:hAnsi="Calibri"/>
        </w:rPr>
        <w:t>“at the high side of the GSU or collector transformer”</w:t>
      </w:r>
    </w:p>
    <w:p w14:paraId="62D675E1" w14:textId="77777777" w:rsidR="008C3C9A" w:rsidRPr="003501A8" w:rsidRDefault="008C3C9A" w:rsidP="008C3C9A">
      <w:pPr>
        <w:rPr>
          <w:rFonts w:ascii="Tahoma" w:hAnsi="Tahoma"/>
          <w:b/>
          <w:sz w:val="22"/>
          <w:szCs w:val="40"/>
        </w:rPr>
      </w:pPr>
    </w:p>
    <w:p w14:paraId="5875290E" w14:textId="77777777" w:rsidR="008C3C9A" w:rsidRPr="003501A8" w:rsidRDefault="008C3C9A" w:rsidP="008C3C9A">
      <w:pPr>
        <w:rPr>
          <w:rFonts w:ascii="Tahoma" w:hAnsi="Tahoma"/>
          <w:b/>
          <w:sz w:val="22"/>
          <w:szCs w:val="40"/>
        </w:rPr>
      </w:pPr>
      <w:r w:rsidRPr="003501A8">
        <w:rPr>
          <w:rFonts w:ascii="Tahoma" w:hAnsi="Tahoma"/>
          <w:b/>
          <w:sz w:val="22"/>
          <w:szCs w:val="40"/>
        </w:rPr>
        <w:t>Figures and Tables</w:t>
      </w:r>
    </w:p>
    <w:p w14:paraId="21B4E2A4" w14:textId="77777777" w:rsidR="008C3C9A" w:rsidRPr="003501A8" w:rsidRDefault="008C3C9A" w:rsidP="008C3C9A">
      <w:pPr>
        <w:numPr>
          <w:ilvl w:val="0"/>
          <w:numId w:val="34"/>
        </w:numPr>
        <w:spacing w:before="120"/>
        <w:rPr>
          <w:rFonts w:ascii="Calibri" w:hAnsi="Calibri"/>
        </w:rPr>
      </w:pPr>
      <w:r w:rsidRPr="003501A8">
        <w:rPr>
          <w:rFonts w:ascii="Calibri" w:hAnsi="Calibri"/>
        </w:rPr>
        <w:lastRenderedPageBreak/>
        <w:t>Clarified areas of confusion as specified by the S</w:t>
      </w:r>
      <w:r>
        <w:rPr>
          <w:rFonts w:ascii="Calibri" w:hAnsi="Calibri"/>
        </w:rPr>
        <w:t xml:space="preserve">tandard </w:t>
      </w:r>
      <w:r w:rsidRPr="003501A8">
        <w:rPr>
          <w:rFonts w:ascii="Calibri" w:hAnsi="Calibri"/>
        </w:rPr>
        <w:t>A</w:t>
      </w:r>
      <w:r>
        <w:rPr>
          <w:rFonts w:ascii="Calibri" w:hAnsi="Calibri"/>
        </w:rPr>
        <w:t xml:space="preserve">uthorization </w:t>
      </w:r>
      <w:r w:rsidRPr="003501A8">
        <w:rPr>
          <w:rFonts w:ascii="Calibri" w:hAnsi="Calibri"/>
        </w:rPr>
        <w:t>R</w:t>
      </w:r>
      <w:r>
        <w:rPr>
          <w:rFonts w:ascii="Calibri" w:hAnsi="Calibri"/>
        </w:rPr>
        <w:t>equest</w:t>
      </w:r>
    </w:p>
    <w:p w14:paraId="33677E47" w14:textId="77777777" w:rsidR="008C3C9A" w:rsidRPr="00874977" w:rsidRDefault="008C3C9A" w:rsidP="008C3C9A">
      <w:pPr>
        <w:numPr>
          <w:ilvl w:val="0"/>
          <w:numId w:val="34"/>
        </w:numPr>
        <w:spacing w:before="120"/>
        <w:rPr>
          <w:rFonts w:ascii="Calibri" w:hAnsi="Calibri"/>
        </w:rPr>
      </w:pPr>
      <w:r w:rsidRPr="003501A8">
        <w:rPr>
          <w:rFonts w:ascii="Calibri" w:hAnsi="Calibri"/>
        </w:rPr>
        <w:t>General “clean up” work throughout</w:t>
      </w:r>
    </w:p>
    <w:p w14:paraId="24643553" w14:textId="77777777" w:rsidR="008C3C9A" w:rsidRPr="003501A8" w:rsidRDefault="008C3C9A" w:rsidP="008C3C9A">
      <w:pPr>
        <w:spacing w:before="100" w:beforeAutospacing="1"/>
        <w:rPr>
          <w:rFonts w:ascii="Tahoma" w:hAnsi="Tahoma"/>
          <w:b/>
          <w:sz w:val="22"/>
          <w:szCs w:val="40"/>
        </w:rPr>
      </w:pPr>
      <w:r>
        <w:rPr>
          <w:rFonts w:ascii="Tahoma" w:hAnsi="Tahoma"/>
          <w:b/>
          <w:sz w:val="22"/>
          <w:szCs w:val="40"/>
        </w:rPr>
        <w:t>Variance – Quebec Interconnection</w:t>
      </w:r>
    </w:p>
    <w:p w14:paraId="6250BCA6" w14:textId="6CFFDB6F" w:rsidR="00101373" w:rsidRPr="00D007BE" w:rsidRDefault="008C3C9A" w:rsidP="00D007BE">
      <w:pPr>
        <w:numPr>
          <w:ilvl w:val="0"/>
          <w:numId w:val="34"/>
        </w:numPr>
        <w:spacing w:before="120"/>
        <w:rPr>
          <w:rFonts w:ascii="Tahoma" w:hAnsi="Tahoma" w:cs="Tahoma"/>
          <w:b/>
          <w:bCs/>
          <w:sz w:val="22"/>
          <w:szCs w:val="20"/>
        </w:rPr>
      </w:pPr>
      <w:r w:rsidRPr="00D007BE">
        <w:rPr>
          <w:rFonts w:ascii="Calibri" w:hAnsi="Calibri"/>
        </w:rPr>
        <w:t>Variance to Requirement R2 with more stringent under/over voltage boundaries</w:t>
      </w:r>
    </w:p>
    <w:p w14:paraId="2230BE9E" w14:textId="0FEF950C" w:rsidR="004403FF" w:rsidRDefault="004403FF">
      <w:pPr>
        <w:rPr>
          <w:rFonts w:ascii="Tahoma" w:hAnsi="Tahoma" w:cs="Tahoma"/>
          <w:b/>
          <w:bCs/>
          <w:sz w:val="22"/>
          <w:szCs w:val="20"/>
        </w:rPr>
      </w:pPr>
    </w:p>
    <w:p w14:paraId="26CEC867" w14:textId="77777777" w:rsidR="003312CC" w:rsidRDefault="003312CC">
      <w:pPr>
        <w:rPr>
          <w:rFonts w:ascii="Tahoma" w:hAnsi="Tahoma" w:cs="Tahoma"/>
          <w:b/>
          <w:bCs/>
          <w:sz w:val="28"/>
          <w:szCs w:val="28"/>
        </w:rPr>
      </w:pPr>
      <w:r>
        <w:rPr>
          <w:rFonts w:cs="Tahoma"/>
          <w:sz w:val="28"/>
          <w:szCs w:val="28"/>
        </w:rPr>
        <w:br w:type="page"/>
      </w:r>
    </w:p>
    <w:p w14:paraId="6F3C8259" w14:textId="0C43F9B2" w:rsidR="0039275D" w:rsidRPr="00231967" w:rsidRDefault="0073546A" w:rsidP="00102A01">
      <w:pPr>
        <w:pStyle w:val="Heading2"/>
        <w:rPr>
          <w:rFonts w:cs="Tahoma"/>
          <w:sz w:val="28"/>
          <w:szCs w:val="28"/>
        </w:rPr>
      </w:pPr>
      <w:r w:rsidRPr="00231967">
        <w:rPr>
          <w:rFonts w:cs="Tahoma"/>
          <w:sz w:val="28"/>
          <w:szCs w:val="28"/>
        </w:rPr>
        <w:lastRenderedPageBreak/>
        <w:t>Question</w:t>
      </w:r>
      <w:r w:rsidR="00747D75" w:rsidRPr="00231967">
        <w:rPr>
          <w:rFonts w:cs="Tahoma"/>
          <w:sz w:val="28"/>
          <w:szCs w:val="28"/>
        </w:rPr>
        <w:t>s</w:t>
      </w:r>
    </w:p>
    <w:p w14:paraId="5A89B059" w14:textId="51154BE4" w:rsidR="00E73B96" w:rsidRPr="0013070E" w:rsidRDefault="0013070E" w:rsidP="0013070E">
      <w:pPr>
        <w:pStyle w:val="ListParagraph"/>
        <w:keepNext/>
        <w:numPr>
          <w:ilvl w:val="0"/>
          <w:numId w:val="33"/>
        </w:numPr>
        <w:spacing w:before="120"/>
        <w:rPr>
          <w:rFonts w:asciiTheme="minorHAnsi" w:hAnsiTheme="minorHAnsi"/>
        </w:rPr>
      </w:pPr>
      <w:r w:rsidRPr="0013070E">
        <w:rPr>
          <w:rFonts w:asciiTheme="minorHAnsi" w:hAnsiTheme="minorHAnsi"/>
        </w:rPr>
        <w:t xml:space="preserve">The </w:t>
      </w:r>
      <w:r w:rsidR="003312CC">
        <w:rPr>
          <w:rFonts w:asciiTheme="minorHAnsi" w:hAnsiTheme="minorHAnsi"/>
        </w:rPr>
        <w:t>standards drafting team (</w:t>
      </w:r>
      <w:r w:rsidRPr="0013070E">
        <w:rPr>
          <w:rFonts w:asciiTheme="minorHAnsi" w:hAnsiTheme="minorHAnsi"/>
        </w:rPr>
        <w:t>SDT</w:t>
      </w:r>
      <w:r w:rsidR="003312CC">
        <w:rPr>
          <w:rFonts w:asciiTheme="minorHAnsi" w:hAnsiTheme="minorHAnsi"/>
        </w:rPr>
        <w:t>)</w:t>
      </w:r>
      <w:r w:rsidRPr="0013070E">
        <w:rPr>
          <w:rFonts w:asciiTheme="minorHAnsi" w:hAnsiTheme="minorHAnsi"/>
        </w:rPr>
        <w:t xml:space="preserve"> </w:t>
      </w:r>
      <w:r w:rsidR="003E0DC1">
        <w:rPr>
          <w:rFonts w:asciiTheme="minorHAnsi" w:hAnsiTheme="minorHAnsi"/>
        </w:rPr>
        <w:t>replaced</w:t>
      </w:r>
      <w:r w:rsidRPr="0013070E">
        <w:rPr>
          <w:rFonts w:asciiTheme="minorHAnsi" w:hAnsiTheme="minorHAnsi"/>
        </w:rPr>
        <w:t xml:space="preserve"> “protective relays” to “protection” throughout the standard to include relays, settings in applicable control systems, as well as other types of voltage and frequency protection devices. Do you agree with these modifications? If you do not agree, or if you </w:t>
      </w:r>
      <w:r w:rsidRPr="0013070E">
        <w:rPr>
          <w:rFonts w:asciiTheme="minorHAnsi" w:hAnsiTheme="minorHAnsi"/>
        </w:rPr>
        <w:lastRenderedPageBreak/>
        <w:t>agree but have comments or suggestions, provide your recommendation, explanation, and proposed modification.</w:t>
      </w:r>
      <w:r w:rsidR="00E73B96" w:rsidRPr="0013070E">
        <w:rPr>
          <w:rFonts w:asciiTheme="minorHAnsi" w:hAnsiTheme="minorHAnsi"/>
        </w:rPr>
        <w:t xml:space="preserve">  </w:t>
      </w:r>
    </w:p>
    <w:p w14:paraId="5A549C9F" w14:textId="77777777" w:rsidR="00101671" w:rsidRPr="0013070E" w:rsidRDefault="00101671" w:rsidP="00FE7421">
      <w:pPr>
        <w:keepNext/>
        <w:ind w:firstLine="720"/>
      </w:pPr>
    </w:p>
    <w:p w14:paraId="2026CE76" w14:textId="77777777" w:rsidR="0073546A" w:rsidRPr="0013070E" w:rsidRDefault="00091EB1" w:rsidP="00FE7421">
      <w:pPr>
        <w:keepNext/>
        <w:ind w:firstLine="720"/>
      </w:pPr>
      <w:r w:rsidRPr="0013070E">
        <w:fldChar w:fldCharType="begin">
          <w:ffData>
            <w:name w:val="Check4"/>
            <w:enabled/>
            <w:calcOnExit w:val="0"/>
            <w:checkBox>
              <w:sizeAuto/>
              <w:default w:val="0"/>
            </w:checkBox>
          </w:ffData>
        </w:fldChar>
      </w:r>
      <w:r w:rsidR="0073546A" w:rsidRPr="0013070E">
        <w:instrText xml:space="preserve"> FORMCHECKBOX </w:instrText>
      </w:r>
      <w:r w:rsidR="00735A82">
        <w:fldChar w:fldCharType="separate"/>
      </w:r>
      <w:r w:rsidRPr="0013070E">
        <w:fldChar w:fldCharType="end"/>
      </w:r>
      <w:r w:rsidR="0073546A" w:rsidRPr="0013070E">
        <w:t xml:space="preserve"> Yes </w:t>
      </w:r>
    </w:p>
    <w:p w14:paraId="0BCB5592" w14:textId="77777777" w:rsidR="0073546A" w:rsidRPr="0013070E" w:rsidRDefault="00091EB1" w:rsidP="00FE7421">
      <w:pPr>
        <w:keepNext/>
        <w:ind w:firstLine="720"/>
      </w:pPr>
      <w:r w:rsidRPr="0013070E">
        <w:fldChar w:fldCharType="begin">
          <w:ffData>
            <w:name w:val="Check4"/>
            <w:enabled/>
            <w:calcOnExit w:val="0"/>
            <w:checkBox>
              <w:sizeAuto/>
              <w:default w:val="0"/>
            </w:checkBox>
          </w:ffData>
        </w:fldChar>
      </w:r>
      <w:r w:rsidR="0073546A" w:rsidRPr="0013070E">
        <w:instrText xml:space="preserve"> FORMCHECKBOX </w:instrText>
      </w:r>
      <w:r w:rsidR="00735A82">
        <w:fldChar w:fldCharType="separate"/>
      </w:r>
      <w:r w:rsidRPr="0013070E">
        <w:fldChar w:fldCharType="end"/>
      </w:r>
      <w:r w:rsidR="0073546A" w:rsidRPr="0013070E">
        <w:t xml:space="preserve"> No </w:t>
      </w:r>
    </w:p>
    <w:p w14:paraId="129E6735" w14:textId="77777777" w:rsidR="00D9120D" w:rsidRPr="0013070E" w:rsidRDefault="00D9120D" w:rsidP="0073546A">
      <w:pPr>
        <w:keepNext/>
      </w:pPr>
    </w:p>
    <w:p w14:paraId="61EA1353" w14:textId="77777777" w:rsidR="0073546A" w:rsidRPr="0013070E" w:rsidRDefault="0073546A" w:rsidP="00FE7421">
      <w:pPr>
        <w:ind w:firstLine="720"/>
      </w:pPr>
      <w:r w:rsidRPr="0013070E">
        <w:t xml:space="preserve">Comments: </w:t>
      </w:r>
      <w:r w:rsidR="00091EB1" w:rsidRPr="0013070E">
        <w:fldChar w:fldCharType="begin">
          <w:ffData>
            <w:name w:val="Text12"/>
            <w:enabled/>
            <w:calcOnExit w:val="0"/>
            <w:textInput/>
          </w:ffData>
        </w:fldChar>
      </w:r>
      <w:r w:rsidRPr="0013070E">
        <w:instrText xml:space="preserve"> FORMTEXT </w:instrText>
      </w:r>
      <w:r w:rsidR="00091EB1" w:rsidRPr="0013070E">
        <w:fldChar w:fldCharType="separate"/>
      </w:r>
      <w:r w:rsidRPr="0013070E">
        <w:t> </w:t>
      </w:r>
      <w:r w:rsidRPr="0013070E">
        <w:t> </w:t>
      </w:r>
      <w:r w:rsidRPr="0013070E">
        <w:t> </w:t>
      </w:r>
      <w:r w:rsidRPr="0013070E">
        <w:t> </w:t>
      </w:r>
      <w:r w:rsidRPr="0013070E">
        <w:t> </w:t>
      </w:r>
      <w:r w:rsidR="00091EB1" w:rsidRPr="0013070E">
        <w:fldChar w:fldCharType="end"/>
      </w:r>
    </w:p>
    <w:p w14:paraId="2B86763C" w14:textId="60BC8783" w:rsidR="0013070E" w:rsidRPr="0013070E" w:rsidRDefault="0013070E" w:rsidP="0013070E">
      <w:pPr>
        <w:pStyle w:val="ListParagraph"/>
        <w:keepNext/>
        <w:numPr>
          <w:ilvl w:val="0"/>
          <w:numId w:val="33"/>
        </w:numPr>
        <w:spacing w:before="120"/>
        <w:rPr>
          <w:rFonts w:asciiTheme="minorHAnsi" w:hAnsiTheme="minorHAnsi"/>
        </w:rPr>
      </w:pPr>
      <w:r w:rsidRPr="0013070E">
        <w:rPr>
          <w:rFonts w:asciiTheme="minorHAnsi" w:hAnsiTheme="minorHAnsi"/>
        </w:rPr>
        <w:lastRenderedPageBreak/>
        <w:t xml:space="preserve"> To address confusion regarding “at the point of interconnection,” the team replaced it with the phrase, “at the high side of the generator step-up or collector transformer.” Do you agree with this </w:t>
      </w:r>
      <w:r>
        <w:rPr>
          <w:rFonts w:asciiTheme="minorHAnsi" w:hAnsiTheme="minorHAnsi"/>
        </w:rPr>
        <w:lastRenderedPageBreak/>
        <w:t>clarifying change? If not, please provide an alternative suggestion.</w:t>
      </w:r>
    </w:p>
    <w:p w14:paraId="6072B57C" w14:textId="77777777" w:rsidR="0013070E" w:rsidRPr="0013070E" w:rsidRDefault="0013070E" w:rsidP="0013070E">
      <w:pPr>
        <w:keepNext/>
        <w:ind w:firstLine="720"/>
      </w:pPr>
    </w:p>
    <w:p w14:paraId="2BA94026" w14:textId="77777777" w:rsidR="0013070E" w:rsidRPr="0013070E" w:rsidRDefault="0013070E" w:rsidP="0013070E">
      <w:pPr>
        <w:keepNext/>
        <w:ind w:firstLine="720"/>
      </w:pPr>
      <w:r w:rsidRPr="0013070E">
        <w:fldChar w:fldCharType="begin">
          <w:ffData>
            <w:name w:val="Check4"/>
            <w:enabled/>
            <w:calcOnExit w:val="0"/>
            <w:checkBox>
              <w:sizeAuto/>
              <w:default w:val="0"/>
            </w:checkBox>
          </w:ffData>
        </w:fldChar>
      </w:r>
      <w:r w:rsidRPr="0013070E">
        <w:instrText xml:space="preserve"> FORMCHECKBOX </w:instrText>
      </w:r>
      <w:r w:rsidR="00735A82">
        <w:fldChar w:fldCharType="separate"/>
      </w:r>
      <w:r w:rsidRPr="0013070E">
        <w:fldChar w:fldCharType="end"/>
      </w:r>
      <w:r w:rsidRPr="0013070E">
        <w:t xml:space="preserve"> Yes </w:t>
      </w:r>
    </w:p>
    <w:p w14:paraId="170EAD13" w14:textId="77777777" w:rsidR="0013070E" w:rsidRPr="0013070E" w:rsidRDefault="0013070E" w:rsidP="0013070E">
      <w:pPr>
        <w:keepNext/>
        <w:ind w:firstLine="720"/>
      </w:pPr>
      <w:r w:rsidRPr="0013070E">
        <w:fldChar w:fldCharType="begin">
          <w:ffData>
            <w:name w:val="Check4"/>
            <w:enabled/>
            <w:calcOnExit w:val="0"/>
            <w:checkBox>
              <w:sizeAuto/>
              <w:default w:val="0"/>
            </w:checkBox>
          </w:ffData>
        </w:fldChar>
      </w:r>
      <w:r w:rsidRPr="0013070E">
        <w:instrText xml:space="preserve"> FORMCHECKBOX </w:instrText>
      </w:r>
      <w:r w:rsidR="00735A82">
        <w:fldChar w:fldCharType="separate"/>
      </w:r>
      <w:r w:rsidRPr="0013070E">
        <w:fldChar w:fldCharType="end"/>
      </w:r>
      <w:r w:rsidRPr="0013070E">
        <w:t xml:space="preserve"> No </w:t>
      </w:r>
    </w:p>
    <w:p w14:paraId="29127F61" w14:textId="77777777" w:rsidR="0013070E" w:rsidRPr="0013070E" w:rsidRDefault="0013070E" w:rsidP="0013070E">
      <w:pPr>
        <w:keepNext/>
      </w:pPr>
    </w:p>
    <w:p w14:paraId="45AD7F09" w14:textId="77777777" w:rsidR="0013070E" w:rsidRPr="0013070E" w:rsidRDefault="0013070E" w:rsidP="0013070E">
      <w:pPr>
        <w:ind w:firstLine="720"/>
      </w:pPr>
      <w:r w:rsidRPr="0013070E">
        <w:t xml:space="preserve">Comments: </w:t>
      </w:r>
      <w:r w:rsidRPr="0013070E">
        <w:fldChar w:fldCharType="begin">
          <w:ffData>
            <w:name w:val="Text12"/>
            <w:enabled/>
            <w:calcOnExit w:val="0"/>
            <w:textInput/>
          </w:ffData>
        </w:fldChar>
      </w:r>
      <w:r w:rsidRPr="0013070E">
        <w:instrText xml:space="preserve"> FORMTEXT </w:instrText>
      </w:r>
      <w:r w:rsidRPr="0013070E">
        <w:fldChar w:fldCharType="separate"/>
      </w:r>
      <w:r w:rsidRPr="0013070E">
        <w:t> </w:t>
      </w:r>
      <w:r w:rsidRPr="0013070E">
        <w:t> </w:t>
      </w:r>
      <w:r w:rsidRPr="0013070E">
        <w:t> </w:t>
      </w:r>
      <w:r w:rsidRPr="0013070E">
        <w:t> </w:t>
      </w:r>
      <w:r w:rsidRPr="0013070E">
        <w:t> </w:t>
      </w:r>
      <w:r w:rsidRPr="0013070E">
        <w:fldChar w:fldCharType="end"/>
      </w:r>
    </w:p>
    <w:p w14:paraId="1620B4DC" w14:textId="3DCC47D6" w:rsidR="0013070E" w:rsidRPr="0013070E" w:rsidRDefault="0013070E" w:rsidP="0013070E">
      <w:pPr>
        <w:pStyle w:val="ListParagraph"/>
        <w:keepNext/>
        <w:numPr>
          <w:ilvl w:val="0"/>
          <w:numId w:val="33"/>
        </w:numPr>
        <w:spacing w:before="120"/>
        <w:contextualSpacing w:val="0"/>
        <w:rPr>
          <w:rFonts w:asciiTheme="minorHAnsi" w:hAnsiTheme="minorHAnsi"/>
        </w:rPr>
      </w:pPr>
      <w:r w:rsidRPr="0013070E">
        <w:rPr>
          <w:rFonts w:asciiTheme="minorHAnsi" w:hAnsiTheme="minorHAnsi"/>
        </w:rPr>
        <w:lastRenderedPageBreak/>
        <w:t xml:space="preserve">The SDT modified Requirements R1 and R2 to not allow momentary cessation, in addition to tripping, in the “no trip zone.” Do you agree that momentary cessation should not be allowed in </w:t>
      </w:r>
      <w:r w:rsidRPr="0013070E">
        <w:rPr>
          <w:rFonts w:asciiTheme="minorHAnsi" w:hAnsiTheme="minorHAnsi"/>
        </w:rPr>
        <w:lastRenderedPageBreak/>
        <w:t xml:space="preserve">the no trip zone? </w:t>
      </w:r>
      <w:r w:rsidR="006C13E0">
        <w:rPr>
          <w:rFonts w:asciiTheme="minorHAnsi" w:hAnsiTheme="minorHAnsi"/>
        </w:rPr>
        <w:t>If not, please provide your rationale.</w:t>
      </w:r>
    </w:p>
    <w:p w14:paraId="7FC706ED" w14:textId="77777777" w:rsidR="0013070E" w:rsidRPr="0013070E" w:rsidRDefault="0013070E" w:rsidP="0013070E">
      <w:pPr>
        <w:keepNext/>
        <w:ind w:firstLine="720"/>
      </w:pPr>
    </w:p>
    <w:p w14:paraId="1161BC58" w14:textId="77777777" w:rsidR="0013070E" w:rsidRPr="0013070E" w:rsidRDefault="0013070E" w:rsidP="0013070E">
      <w:pPr>
        <w:keepNext/>
        <w:ind w:firstLine="720"/>
      </w:pPr>
      <w:r w:rsidRPr="0013070E">
        <w:fldChar w:fldCharType="begin">
          <w:ffData>
            <w:name w:val="Check4"/>
            <w:enabled/>
            <w:calcOnExit w:val="0"/>
            <w:checkBox>
              <w:sizeAuto/>
              <w:default w:val="0"/>
            </w:checkBox>
          </w:ffData>
        </w:fldChar>
      </w:r>
      <w:r w:rsidRPr="0013070E">
        <w:instrText xml:space="preserve"> FORMCHECKBOX </w:instrText>
      </w:r>
      <w:r w:rsidR="00735A82">
        <w:fldChar w:fldCharType="separate"/>
      </w:r>
      <w:r w:rsidRPr="0013070E">
        <w:fldChar w:fldCharType="end"/>
      </w:r>
      <w:r w:rsidRPr="0013070E">
        <w:t xml:space="preserve"> Yes </w:t>
      </w:r>
    </w:p>
    <w:p w14:paraId="6D833463" w14:textId="77777777" w:rsidR="0013070E" w:rsidRPr="0013070E" w:rsidRDefault="0013070E" w:rsidP="0013070E">
      <w:pPr>
        <w:keepNext/>
        <w:ind w:firstLine="720"/>
      </w:pPr>
      <w:r w:rsidRPr="0013070E">
        <w:fldChar w:fldCharType="begin">
          <w:ffData>
            <w:name w:val="Check4"/>
            <w:enabled/>
            <w:calcOnExit w:val="0"/>
            <w:checkBox>
              <w:sizeAuto/>
              <w:default w:val="0"/>
            </w:checkBox>
          </w:ffData>
        </w:fldChar>
      </w:r>
      <w:r w:rsidRPr="0013070E">
        <w:instrText xml:space="preserve"> FORMCHECKBOX </w:instrText>
      </w:r>
      <w:r w:rsidR="00735A82">
        <w:fldChar w:fldCharType="separate"/>
      </w:r>
      <w:r w:rsidRPr="0013070E">
        <w:fldChar w:fldCharType="end"/>
      </w:r>
      <w:r w:rsidRPr="0013070E">
        <w:t xml:space="preserve"> No </w:t>
      </w:r>
    </w:p>
    <w:p w14:paraId="5D7DB18D" w14:textId="77777777" w:rsidR="0013070E" w:rsidRPr="0013070E" w:rsidRDefault="0013070E" w:rsidP="0013070E">
      <w:pPr>
        <w:keepNext/>
      </w:pPr>
    </w:p>
    <w:p w14:paraId="3A11442B" w14:textId="77777777" w:rsidR="0013070E" w:rsidRPr="0013070E" w:rsidRDefault="0013070E" w:rsidP="0013070E">
      <w:pPr>
        <w:ind w:firstLine="720"/>
      </w:pPr>
      <w:r w:rsidRPr="0013070E">
        <w:t xml:space="preserve">Comments: </w:t>
      </w:r>
      <w:r w:rsidRPr="0013070E">
        <w:fldChar w:fldCharType="begin">
          <w:ffData>
            <w:name w:val="Text12"/>
            <w:enabled/>
            <w:calcOnExit w:val="0"/>
            <w:textInput/>
          </w:ffData>
        </w:fldChar>
      </w:r>
      <w:r w:rsidRPr="0013070E">
        <w:instrText xml:space="preserve"> FORMTEXT </w:instrText>
      </w:r>
      <w:r w:rsidRPr="0013070E">
        <w:fldChar w:fldCharType="separate"/>
      </w:r>
      <w:r w:rsidRPr="0013070E">
        <w:t> </w:t>
      </w:r>
      <w:r w:rsidRPr="0013070E">
        <w:t> </w:t>
      </w:r>
      <w:r w:rsidRPr="0013070E">
        <w:t> </w:t>
      </w:r>
      <w:r w:rsidRPr="0013070E">
        <w:t> </w:t>
      </w:r>
      <w:r w:rsidRPr="0013070E">
        <w:t> </w:t>
      </w:r>
      <w:r w:rsidRPr="0013070E">
        <w:fldChar w:fldCharType="end"/>
      </w:r>
    </w:p>
    <w:p w14:paraId="5D3C6F1F" w14:textId="72CF50B1" w:rsidR="0013070E" w:rsidRPr="0013070E" w:rsidRDefault="0013070E" w:rsidP="0013070E">
      <w:pPr>
        <w:pStyle w:val="ListParagraph"/>
        <w:keepNext/>
        <w:numPr>
          <w:ilvl w:val="0"/>
          <w:numId w:val="33"/>
        </w:numPr>
        <w:spacing w:before="120"/>
        <w:contextualSpacing w:val="0"/>
        <w:rPr>
          <w:rFonts w:asciiTheme="minorHAnsi" w:hAnsiTheme="minorHAnsi"/>
        </w:rPr>
      </w:pPr>
      <w:r w:rsidRPr="0013070E">
        <w:rPr>
          <w:rFonts w:asciiTheme="minorHAnsi" w:hAnsiTheme="minorHAnsi"/>
        </w:rPr>
        <w:lastRenderedPageBreak/>
        <w:t xml:space="preserve">Do you agree that “momentary cessation” – like “tripping” – is well understood by industry? </w:t>
      </w:r>
      <w:r w:rsidR="006C13E0">
        <w:rPr>
          <w:rFonts w:asciiTheme="minorHAnsi" w:hAnsiTheme="minorHAnsi"/>
        </w:rPr>
        <w:t>If not, please provide your rationale.</w:t>
      </w:r>
    </w:p>
    <w:p w14:paraId="727FD95E" w14:textId="77777777" w:rsidR="0013070E" w:rsidRPr="0013070E" w:rsidRDefault="0013070E" w:rsidP="0013070E">
      <w:pPr>
        <w:keepNext/>
        <w:ind w:firstLine="720"/>
      </w:pPr>
    </w:p>
    <w:p w14:paraId="2DC2D493" w14:textId="77777777" w:rsidR="0013070E" w:rsidRPr="0013070E" w:rsidRDefault="0013070E" w:rsidP="0013070E">
      <w:pPr>
        <w:keepNext/>
        <w:ind w:firstLine="720"/>
      </w:pPr>
      <w:r w:rsidRPr="0013070E">
        <w:fldChar w:fldCharType="begin">
          <w:ffData>
            <w:name w:val="Check4"/>
            <w:enabled/>
            <w:calcOnExit w:val="0"/>
            <w:checkBox>
              <w:sizeAuto/>
              <w:default w:val="0"/>
            </w:checkBox>
          </w:ffData>
        </w:fldChar>
      </w:r>
      <w:r w:rsidRPr="0013070E">
        <w:instrText xml:space="preserve"> FORMCHECKBOX </w:instrText>
      </w:r>
      <w:r w:rsidR="00735A82">
        <w:fldChar w:fldCharType="separate"/>
      </w:r>
      <w:r w:rsidRPr="0013070E">
        <w:fldChar w:fldCharType="end"/>
      </w:r>
      <w:r w:rsidRPr="0013070E">
        <w:t xml:space="preserve"> Yes </w:t>
      </w:r>
    </w:p>
    <w:p w14:paraId="2661D4C2" w14:textId="77777777" w:rsidR="0013070E" w:rsidRPr="0013070E" w:rsidRDefault="0013070E" w:rsidP="0013070E">
      <w:pPr>
        <w:keepNext/>
        <w:ind w:firstLine="720"/>
      </w:pPr>
      <w:r w:rsidRPr="0013070E">
        <w:fldChar w:fldCharType="begin">
          <w:ffData>
            <w:name w:val="Check4"/>
            <w:enabled/>
            <w:calcOnExit w:val="0"/>
            <w:checkBox>
              <w:sizeAuto/>
              <w:default w:val="0"/>
            </w:checkBox>
          </w:ffData>
        </w:fldChar>
      </w:r>
      <w:r w:rsidRPr="0013070E">
        <w:instrText xml:space="preserve"> FORMCHECKBOX </w:instrText>
      </w:r>
      <w:r w:rsidR="00735A82">
        <w:fldChar w:fldCharType="separate"/>
      </w:r>
      <w:r w:rsidRPr="0013070E">
        <w:fldChar w:fldCharType="end"/>
      </w:r>
      <w:r w:rsidRPr="0013070E">
        <w:t xml:space="preserve"> No </w:t>
      </w:r>
    </w:p>
    <w:p w14:paraId="122BE9A6" w14:textId="77777777" w:rsidR="0013070E" w:rsidRPr="0013070E" w:rsidRDefault="0013070E" w:rsidP="0013070E">
      <w:pPr>
        <w:keepNext/>
      </w:pPr>
    </w:p>
    <w:p w14:paraId="39AF509C" w14:textId="77777777" w:rsidR="0013070E" w:rsidRPr="0013070E" w:rsidRDefault="0013070E" w:rsidP="0013070E">
      <w:pPr>
        <w:ind w:firstLine="720"/>
      </w:pPr>
      <w:r w:rsidRPr="0013070E">
        <w:t xml:space="preserve">Comments: </w:t>
      </w:r>
      <w:r w:rsidRPr="0013070E">
        <w:fldChar w:fldCharType="begin">
          <w:ffData>
            <w:name w:val="Text12"/>
            <w:enabled/>
            <w:calcOnExit w:val="0"/>
            <w:textInput/>
          </w:ffData>
        </w:fldChar>
      </w:r>
      <w:r w:rsidRPr="0013070E">
        <w:instrText xml:space="preserve"> FORMTEXT </w:instrText>
      </w:r>
      <w:r w:rsidRPr="0013070E">
        <w:fldChar w:fldCharType="separate"/>
      </w:r>
      <w:r w:rsidRPr="0013070E">
        <w:t> </w:t>
      </w:r>
      <w:r w:rsidRPr="0013070E">
        <w:t> </w:t>
      </w:r>
      <w:r w:rsidRPr="0013070E">
        <w:t> </w:t>
      </w:r>
      <w:r w:rsidRPr="0013070E">
        <w:t> </w:t>
      </w:r>
      <w:r w:rsidRPr="0013070E">
        <w:t> </w:t>
      </w:r>
      <w:r w:rsidRPr="0013070E">
        <w:fldChar w:fldCharType="end"/>
      </w:r>
    </w:p>
    <w:p w14:paraId="3E035323" w14:textId="1C1D3054" w:rsidR="0013070E" w:rsidRPr="0013070E" w:rsidRDefault="0013070E" w:rsidP="0013070E">
      <w:pPr>
        <w:pStyle w:val="ListParagraph"/>
        <w:keepNext/>
        <w:numPr>
          <w:ilvl w:val="0"/>
          <w:numId w:val="33"/>
        </w:numPr>
        <w:spacing w:before="120"/>
        <w:contextualSpacing w:val="0"/>
        <w:rPr>
          <w:rFonts w:asciiTheme="minorHAnsi" w:hAnsiTheme="minorHAnsi"/>
        </w:rPr>
      </w:pPr>
      <w:r w:rsidRPr="0013070E">
        <w:rPr>
          <w:rFonts w:asciiTheme="minorHAnsi" w:hAnsiTheme="minorHAnsi"/>
        </w:rPr>
        <w:lastRenderedPageBreak/>
        <w:t xml:space="preserve">The SDT was apprised that, in some instances, the TO </w:t>
      </w:r>
      <w:proofErr w:type="spellStart"/>
      <w:r w:rsidRPr="0013070E">
        <w:rPr>
          <w:rFonts w:asciiTheme="minorHAnsi" w:hAnsiTheme="minorHAnsi"/>
        </w:rPr>
        <w:t>may</w:t>
      </w:r>
      <w:proofErr w:type="spellEnd"/>
      <w:r w:rsidRPr="0013070E">
        <w:rPr>
          <w:rFonts w:asciiTheme="minorHAnsi" w:hAnsiTheme="minorHAnsi"/>
        </w:rPr>
        <w:t xml:space="preserve"> own the GSU or collector transformers. As such, TOs were added to the applicable entity for cases where they may own a GSU or collector transformers with frequency and voltage protection enabled. Do you agree with the addition of TOs who own a GSU or collector transformer to the </w:t>
      </w:r>
      <w:r w:rsidRPr="0013070E">
        <w:rPr>
          <w:rFonts w:asciiTheme="minorHAnsi" w:hAnsiTheme="minorHAnsi"/>
        </w:rPr>
        <w:lastRenderedPageBreak/>
        <w:t>applicable entities?</w:t>
      </w:r>
      <w:r w:rsidR="006C13E0">
        <w:rPr>
          <w:rFonts w:asciiTheme="minorHAnsi" w:hAnsiTheme="minorHAnsi"/>
        </w:rPr>
        <w:t xml:space="preserve"> If not, please provide your rationale.</w:t>
      </w:r>
    </w:p>
    <w:p w14:paraId="209937FD" w14:textId="77777777" w:rsidR="0013070E" w:rsidRPr="0013070E" w:rsidRDefault="0013070E" w:rsidP="0013070E">
      <w:pPr>
        <w:keepNext/>
        <w:ind w:firstLine="720"/>
      </w:pPr>
    </w:p>
    <w:p w14:paraId="3105A952" w14:textId="77777777" w:rsidR="0013070E" w:rsidRPr="0013070E" w:rsidRDefault="0013070E" w:rsidP="0013070E">
      <w:pPr>
        <w:keepNext/>
        <w:ind w:firstLine="720"/>
      </w:pPr>
      <w:r w:rsidRPr="0013070E">
        <w:fldChar w:fldCharType="begin">
          <w:ffData>
            <w:name w:val="Check4"/>
            <w:enabled/>
            <w:calcOnExit w:val="0"/>
            <w:checkBox>
              <w:sizeAuto/>
              <w:default w:val="0"/>
            </w:checkBox>
          </w:ffData>
        </w:fldChar>
      </w:r>
      <w:r w:rsidRPr="0013070E">
        <w:instrText xml:space="preserve"> FORMCHECKBOX </w:instrText>
      </w:r>
      <w:r w:rsidR="00735A82">
        <w:fldChar w:fldCharType="separate"/>
      </w:r>
      <w:r w:rsidRPr="0013070E">
        <w:fldChar w:fldCharType="end"/>
      </w:r>
      <w:r w:rsidRPr="0013070E">
        <w:t xml:space="preserve"> Yes </w:t>
      </w:r>
    </w:p>
    <w:p w14:paraId="413D8269" w14:textId="77777777" w:rsidR="0013070E" w:rsidRPr="0013070E" w:rsidRDefault="0013070E" w:rsidP="0013070E">
      <w:pPr>
        <w:keepNext/>
        <w:ind w:firstLine="720"/>
      </w:pPr>
      <w:r w:rsidRPr="0013070E">
        <w:fldChar w:fldCharType="begin">
          <w:ffData>
            <w:name w:val="Check4"/>
            <w:enabled/>
            <w:calcOnExit w:val="0"/>
            <w:checkBox>
              <w:sizeAuto/>
              <w:default w:val="0"/>
            </w:checkBox>
          </w:ffData>
        </w:fldChar>
      </w:r>
      <w:r w:rsidRPr="0013070E">
        <w:instrText xml:space="preserve"> FORMCHECKBOX </w:instrText>
      </w:r>
      <w:r w:rsidR="00735A82">
        <w:fldChar w:fldCharType="separate"/>
      </w:r>
      <w:r w:rsidRPr="0013070E">
        <w:fldChar w:fldCharType="end"/>
      </w:r>
      <w:r w:rsidRPr="0013070E">
        <w:t xml:space="preserve"> No </w:t>
      </w:r>
    </w:p>
    <w:p w14:paraId="6FC0C4E4" w14:textId="77777777" w:rsidR="0013070E" w:rsidRPr="0013070E" w:rsidRDefault="0013070E" w:rsidP="0013070E">
      <w:pPr>
        <w:keepNext/>
      </w:pPr>
    </w:p>
    <w:p w14:paraId="514E5B5C" w14:textId="77777777" w:rsidR="0013070E" w:rsidRPr="0013070E" w:rsidRDefault="0013070E" w:rsidP="0013070E">
      <w:pPr>
        <w:ind w:firstLine="720"/>
      </w:pPr>
      <w:r w:rsidRPr="0013070E">
        <w:t xml:space="preserve">Comments: </w:t>
      </w:r>
      <w:r w:rsidRPr="0013070E">
        <w:fldChar w:fldCharType="begin">
          <w:ffData>
            <w:name w:val="Text12"/>
            <w:enabled/>
            <w:calcOnExit w:val="0"/>
            <w:textInput/>
          </w:ffData>
        </w:fldChar>
      </w:r>
      <w:r w:rsidRPr="0013070E">
        <w:instrText xml:space="preserve"> FORMTEXT </w:instrText>
      </w:r>
      <w:r w:rsidRPr="0013070E">
        <w:fldChar w:fldCharType="separate"/>
      </w:r>
      <w:r w:rsidRPr="0013070E">
        <w:t> </w:t>
      </w:r>
      <w:r w:rsidRPr="0013070E">
        <w:t> </w:t>
      </w:r>
      <w:r w:rsidRPr="0013070E">
        <w:t> </w:t>
      </w:r>
      <w:r w:rsidRPr="0013070E">
        <w:t> </w:t>
      </w:r>
      <w:r w:rsidRPr="0013070E">
        <w:t> </w:t>
      </w:r>
      <w:r w:rsidRPr="0013070E">
        <w:fldChar w:fldCharType="end"/>
      </w:r>
    </w:p>
    <w:p w14:paraId="7C098D40" w14:textId="26D3BC2B" w:rsidR="0013070E" w:rsidRPr="0013070E" w:rsidRDefault="0013070E" w:rsidP="0013070E">
      <w:pPr>
        <w:pStyle w:val="ListParagraph"/>
        <w:keepNext/>
        <w:numPr>
          <w:ilvl w:val="0"/>
          <w:numId w:val="33"/>
        </w:numPr>
        <w:spacing w:before="120"/>
        <w:contextualSpacing w:val="0"/>
        <w:rPr>
          <w:rFonts w:asciiTheme="minorHAnsi" w:hAnsiTheme="minorHAnsi"/>
        </w:rPr>
      </w:pPr>
      <w:r w:rsidRPr="0013070E">
        <w:rPr>
          <w:rFonts w:asciiTheme="minorHAnsi" w:hAnsiTheme="minorHAnsi"/>
        </w:rPr>
        <w:lastRenderedPageBreak/>
        <w:t>Another intent of the facilities section was to clarify that voltage and frequency protection applied to plant auxiliary equipment is not applicable to the standard. Do you agree it is clear that</w:t>
      </w:r>
      <w:r w:rsidR="009D7E8E">
        <w:rPr>
          <w:rFonts w:asciiTheme="minorHAnsi" w:hAnsiTheme="minorHAnsi"/>
        </w:rPr>
        <w:t xml:space="preserve"> </w:t>
      </w:r>
      <w:r w:rsidRPr="0013070E">
        <w:rPr>
          <w:rFonts w:asciiTheme="minorHAnsi" w:hAnsiTheme="minorHAnsi"/>
        </w:rPr>
        <w:t xml:space="preserve">plant aux equipment is out of scope of </w:t>
      </w:r>
      <w:r w:rsidRPr="0013070E">
        <w:rPr>
          <w:rFonts w:asciiTheme="minorHAnsi" w:hAnsiTheme="minorHAnsi"/>
        </w:rPr>
        <w:lastRenderedPageBreak/>
        <w:t xml:space="preserve">PRC-024? </w:t>
      </w:r>
      <w:r w:rsidR="004403FF">
        <w:rPr>
          <w:rFonts w:asciiTheme="minorHAnsi" w:hAnsiTheme="minorHAnsi"/>
        </w:rPr>
        <w:t xml:space="preserve">If not, please provide your rationale and a proposal. </w:t>
      </w:r>
    </w:p>
    <w:p w14:paraId="157CD09B" w14:textId="77777777" w:rsidR="0013070E" w:rsidRPr="0013070E" w:rsidRDefault="0013070E" w:rsidP="0013070E">
      <w:pPr>
        <w:keepNext/>
        <w:ind w:firstLine="720"/>
      </w:pPr>
    </w:p>
    <w:p w14:paraId="705B83A0" w14:textId="77777777" w:rsidR="0013070E" w:rsidRPr="00D24289" w:rsidRDefault="0013070E" w:rsidP="0013070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735A82">
        <w:fldChar w:fldCharType="separate"/>
      </w:r>
      <w:r w:rsidRPr="00D24289">
        <w:fldChar w:fldCharType="end"/>
      </w:r>
      <w:r w:rsidRPr="00D24289">
        <w:t xml:space="preserve"> Yes </w:t>
      </w:r>
    </w:p>
    <w:p w14:paraId="01D58F9C" w14:textId="77777777" w:rsidR="0013070E" w:rsidRPr="00D24289" w:rsidRDefault="0013070E" w:rsidP="0013070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735A82">
        <w:fldChar w:fldCharType="separate"/>
      </w:r>
      <w:r w:rsidRPr="00D24289">
        <w:fldChar w:fldCharType="end"/>
      </w:r>
      <w:r w:rsidRPr="00D24289">
        <w:t xml:space="preserve"> No </w:t>
      </w:r>
    </w:p>
    <w:p w14:paraId="78F2F829" w14:textId="77777777" w:rsidR="0013070E" w:rsidRPr="00D24289" w:rsidRDefault="0013070E" w:rsidP="0013070E">
      <w:pPr>
        <w:keepNext/>
      </w:pPr>
    </w:p>
    <w:p w14:paraId="1C272859" w14:textId="77777777" w:rsidR="0013070E" w:rsidRPr="00D24289" w:rsidRDefault="0013070E" w:rsidP="0013070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CAABEF5" w14:textId="500A8769" w:rsidR="0013070E" w:rsidRPr="006C13E0" w:rsidRDefault="006C13E0" w:rsidP="006C13E0">
      <w:pPr>
        <w:pStyle w:val="ListParagraph"/>
        <w:keepNext/>
        <w:numPr>
          <w:ilvl w:val="0"/>
          <w:numId w:val="33"/>
        </w:numPr>
        <w:spacing w:before="120"/>
        <w:contextualSpacing w:val="0"/>
        <w:rPr>
          <w:rFonts w:asciiTheme="minorHAnsi" w:hAnsiTheme="minorHAnsi"/>
        </w:rPr>
      </w:pPr>
      <w:r w:rsidRPr="006C13E0">
        <w:rPr>
          <w:rFonts w:asciiTheme="minorHAnsi" w:hAnsiTheme="minorHAnsi"/>
        </w:rPr>
        <w:lastRenderedPageBreak/>
        <w:t xml:space="preserve">The SDT made several clarifying changes to the figures and tables (outlined in the SAR) to improve readability and eliminate confusion addressed in the SAR, including: (i) labeling the area outside the “No Trip Zone” as the “May Trip Zone;” (ii) removal of “ride-through” language; (iii) addition of “Minimum Time;” (iv) replacement of  </w:t>
      </w:r>
      <w:r w:rsidRPr="006C13E0">
        <w:rPr>
          <w:rFonts w:asciiTheme="minorHAnsi" w:hAnsiTheme="minorHAnsi"/>
        </w:rPr>
        <w:lastRenderedPageBreak/>
        <w:t>“instantaneous” with “0.10” seconds; and (v) clarifying modifications to the Voltage Boundary Clarifications. Do you agree with these modifications?</w:t>
      </w:r>
      <w:r w:rsidR="00D007BE">
        <w:rPr>
          <w:rFonts w:asciiTheme="minorHAnsi" w:hAnsiTheme="minorHAnsi"/>
        </w:rPr>
        <w:t xml:space="preserve"> If not, </w:t>
      </w:r>
      <w:r w:rsidR="00D007BE">
        <w:rPr>
          <w:rFonts w:asciiTheme="minorHAnsi" w:hAnsiTheme="minorHAnsi"/>
        </w:rPr>
        <w:lastRenderedPageBreak/>
        <w:t xml:space="preserve">please recommend alternative solution(s). </w:t>
      </w:r>
    </w:p>
    <w:p w14:paraId="2D6C933F" w14:textId="77777777" w:rsidR="0013070E" w:rsidRDefault="0013070E" w:rsidP="0013070E">
      <w:pPr>
        <w:keepNext/>
        <w:ind w:firstLine="720"/>
      </w:pPr>
    </w:p>
    <w:p w14:paraId="3959B459" w14:textId="77777777" w:rsidR="0013070E" w:rsidRPr="00D24289" w:rsidRDefault="0013070E" w:rsidP="0013070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735A82">
        <w:fldChar w:fldCharType="separate"/>
      </w:r>
      <w:r w:rsidRPr="00D24289">
        <w:fldChar w:fldCharType="end"/>
      </w:r>
      <w:r w:rsidRPr="00D24289">
        <w:t xml:space="preserve"> Yes </w:t>
      </w:r>
    </w:p>
    <w:p w14:paraId="416899B7" w14:textId="77777777" w:rsidR="0013070E" w:rsidRPr="00D24289" w:rsidRDefault="0013070E" w:rsidP="0013070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735A82">
        <w:fldChar w:fldCharType="separate"/>
      </w:r>
      <w:r w:rsidRPr="00D24289">
        <w:fldChar w:fldCharType="end"/>
      </w:r>
      <w:r w:rsidRPr="00D24289">
        <w:t xml:space="preserve"> No </w:t>
      </w:r>
    </w:p>
    <w:p w14:paraId="64DDE416" w14:textId="77777777" w:rsidR="0013070E" w:rsidRPr="00D24289" w:rsidRDefault="0013070E" w:rsidP="0013070E">
      <w:pPr>
        <w:keepNext/>
      </w:pPr>
    </w:p>
    <w:p w14:paraId="2F83FB55" w14:textId="77777777" w:rsidR="0013070E" w:rsidRPr="00D24289" w:rsidRDefault="0013070E" w:rsidP="0013070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0513BED" w14:textId="527CD308" w:rsidR="0013070E" w:rsidRPr="003A2E79" w:rsidRDefault="003A2E79" w:rsidP="0013070E">
      <w:pPr>
        <w:pStyle w:val="ListParagraph"/>
        <w:keepNext/>
        <w:numPr>
          <w:ilvl w:val="0"/>
          <w:numId w:val="33"/>
        </w:numPr>
        <w:spacing w:before="120"/>
        <w:contextualSpacing w:val="0"/>
        <w:rPr>
          <w:rFonts w:asciiTheme="minorHAnsi" w:hAnsiTheme="minorHAnsi"/>
        </w:rPr>
      </w:pPr>
      <w:r w:rsidRPr="003A2E79">
        <w:rPr>
          <w:rFonts w:asciiTheme="minorHAnsi" w:hAnsiTheme="minorHAnsi"/>
        </w:rPr>
        <w:t xml:space="preserve">The SDT added </w:t>
      </w:r>
      <w:r w:rsidR="003E0DC1" w:rsidRPr="003A2E79">
        <w:rPr>
          <w:rFonts w:asciiTheme="minorHAnsi" w:hAnsiTheme="minorHAnsi"/>
        </w:rPr>
        <w:t xml:space="preserve">Quebec </w:t>
      </w:r>
      <w:r w:rsidRPr="003A2E79">
        <w:rPr>
          <w:rFonts w:asciiTheme="minorHAnsi" w:hAnsiTheme="minorHAnsi"/>
        </w:rPr>
        <w:t xml:space="preserve">Interconnection-wide Variance to Requirement R2 </w:t>
      </w:r>
      <w:r w:rsidRPr="003A2E79">
        <w:rPr>
          <w:rFonts w:asciiTheme="minorHAnsi" w:hAnsiTheme="minorHAnsi"/>
        </w:rPr>
        <w:lastRenderedPageBreak/>
        <w:t xml:space="preserve">with more stringent voltage boundaries for the No Trip Zone. </w:t>
      </w:r>
      <w:r w:rsidR="003E0DC1">
        <w:rPr>
          <w:rFonts w:asciiTheme="minorHAnsi" w:hAnsiTheme="minorHAnsi"/>
        </w:rPr>
        <w:t xml:space="preserve">Do you agree with this proposed Quebec Variance? </w:t>
      </w:r>
      <w:r w:rsidR="00D007BE">
        <w:rPr>
          <w:rFonts w:asciiTheme="minorHAnsi" w:hAnsiTheme="minorHAnsi"/>
        </w:rPr>
        <w:t>If not, please provide your rationale.</w:t>
      </w:r>
    </w:p>
    <w:p w14:paraId="0774C8E5" w14:textId="77777777" w:rsidR="0013070E" w:rsidRDefault="0013070E" w:rsidP="0013070E">
      <w:pPr>
        <w:keepNext/>
        <w:ind w:firstLine="720"/>
      </w:pPr>
    </w:p>
    <w:p w14:paraId="264BABD8" w14:textId="77777777" w:rsidR="0013070E" w:rsidRPr="00D24289" w:rsidRDefault="0013070E" w:rsidP="0013070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735A82">
        <w:fldChar w:fldCharType="separate"/>
      </w:r>
      <w:r w:rsidRPr="00D24289">
        <w:fldChar w:fldCharType="end"/>
      </w:r>
      <w:r w:rsidRPr="00D24289">
        <w:t xml:space="preserve"> Yes </w:t>
      </w:r>
    </w:p>
    <w:p w14:paraId="400C4F37" w14:textId="77777777" w:rsidR="0013070E" w:rsidRPr="00D24289" w:rsidRDefault="0013070E" w:rsidP="0013070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735A82">
        <w:fldChar w:fldCharType="separate"/>
      </w:r>
      <w:r w:rsidRPr="00D24289">
        <w:fldChar w:fldCharType="end"/>
      </w:r>
      <w:r w:rsidRPr="00D24289">
        <w:t xml:space="preserve"> No </w:t>
      </w:r>
    </w:p>
    <w:p w14:paraId="3347D157" w14:textId="77777777" w:rsidR="0013070E" w:rsidRPr="00D24289" w:rsidRDefault="0013070E" w:rsidP="0013070E">
      <w:pPr>
        <w:keepNext/>
      </w:pPr>
    </w:p>
    <w:p w14:paraId="6536C0B5" w14:textId="77777777" w:rsidR="0013070E" w:rsidRPr="00D24289" w:rsidRDefault="0013070E" w:rsidP="0013070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A8C8034" w14:textId="5E41B325" w:rsidR="00BA0F48" w:rsidRPr="007D3682" w:rsidRDefault="00C146AD" w:rsidP="00BA0F48">
      <w:pPr>
        <w:pStyle w:val="ListParagraph"/>
        <w:keepNext/>
        <w:numPr>
          <w:ilvl w:val="0"/>
          <w:numId w:val="33"/>
        </w:numPr>
        <w:spacing w:before="120"/>
        <w:rPr>
          <w:rFonts w:asciiTheme="minorHAnsi" w:hAnsiTheme="minorHAnsi"/>
        </w:rPr>
      </w:pPr>
      <w:r>
        <w:rPr>
          <w:rFonts w:asciiTheme="minorHAnsi" w:hAnsiTheme="minorHAnsi"/>
        </w:rPr>
        <w:lastRenderedPageBreak/>
        <w:t>Do you agree with the proposed I</w:t>
      </w:r>
      <w:r w:rsidR="00BA0F48" w:rsidRPr="00640AA8">
        <w:rPr>
          <w:rFonts w:asciiTheme="minorHAnsi" w:hAnsiTheme="minorHAnsi"/>
        </w:rPr>
        <w:t>mplementation</w:t>
      </w:r>
      <w:r>
        <w:rPr>
          <w:rFonts w:asciiTheme="minorHAnsi" w:hAnsiTheme="minorHAnsi"/>
        </w:rPr>
        <w:t xml:space="preserve"> P</w:t>
      </w:r>
      <w:r w:rsidR="00BA0F48" w:rsidRPr="00640AA8">
        <w:rPr>
          <w:rFonts w:asciiTheme="minorHAnsi" w:hAnsiTheme="minorHAnsi"/>
        </w:rPr>
        <w:t>lan?</w:t>
      </w:r>
      <w:r w:rsidR="00D007BE">
        <w:rPr>
          <w:rFonts w:asciiTheme="minorHAnsi" w:hAnsiTheme="minorHAnsi"/>
        </w:rPr>
        <w:t xml:space="preserve"> If not, please provide your rationale.</w:t>
      </w:r>
    </w:p>
    <w:p w14:paraId="0B1F1C7E" w14:textId="77777777" w:rsidR="00BA0F48" w:rsidRDefault="00BA0F48"/>
    <w:p w14:paraId="5741B9C8" w14:textId="77777777" w:rsidR="0013070E" w:rsidRPr="00D24289" w:rsidRDefault="0013070E" w:rsidP="0013070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735A82">
        <w:fldChar w:fldCharType="separate"/>
      </w:r>
      <w:r w:rsidRPr="00D24289">
        <w:fldChar w:fldCharType="end"/>
      </w:r>
      <w:r w:rsidRPr="00D24289">
        <w:t xml:space="preserve"> Yes </w:t>
      </w:r>
    </w:p>
    <w:p w14:paraId="0F810058" w14:textId="77777777" w:rsidR="0013070E" w:rsidRPr="00D24289" w:rsidRDefault="0013070E" w:rsidP="0013070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735A82">
        <w:fldChar w:fldCharType="separate"/>
      </w:r>
      <w:r w:rsidRPr="00D24289">
        <w:fldChar w:fldCharType="end"/>
      </w:r>
      <w:r w:rsidRPr="00D24289">
        <w:t xml:space="preserve"> No </w:t>
      </w:r>
    </w:p>
    <w:p w14:paraId="62F6E11F" w14:textId="77777777" w:rsidR="0013070E" w:rsidRPr="00D24289" w:rsidRDefault="0013070E" w:rsidP="0013070E">
      <w:pPr>
        <w:keepNext/>
      </w:pPr>
    </w:p>
    <w:p w14:paraId="34274219" w14:textId="77777777" w:rsidR="0013070E" w:rsidRPr="00D24289" w:rsidRDefault="0013070E" w:rsidP="0013070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F69068B" w14:textId="4880342A" w:rsidR="0013070E" w:rsidRPr="00C146AD" w:rsidRDefault="00C146AD" w:rsidP="0013070E">
      <w:pPr>
        <w:pStyle w:val="ListParagraph"/>
        <w:keepNext/>
        <w:numPr>
          <w:ilvl w:val="0"/>
          <w:numId w:val="33"/>
        </w:numPr>
        <w:spacing w:before="120"/>
        <w:rPr>
          <w:rFonts w:asciiTheme="minorHAnsi" w:hAnsiTheme="minorHAnsi"/>
        </w:rPr>
      </w:pPr>
      <w:r>
        <w:rPr>
          <w:rFonts w:asciiTheme="minorHAnsi" w:hAnsiTheme="minorHAnsi"/>
        </w:rPr>
        <w:lastRenderedPageBreak/>
        <w:t xml:space="preserve">Do you agree that the </w:t>
      </w:r>
      <w:r w:rsidR="0029373F">
        <w:rPr>
          <w:rFonts w:asciiTheme="minorHAnsi" w:hAnsiTheme="minorHAnsi"/>
        </w:rPr>
        <w:t xml:space="preserve">proposed </w:t>
      </w:r>
      <w:r w:rsidRPr="00C146AD">
        <w:rPr>
          <w:rFonts w:asciiTheme="minorHAnsi" w:hAnsiTheme="minorHAnsi"/>
        </w:rPr>
        <w:t xml:space="preserve">modifications </w:t>
      </w:r>
      <w:r w:rsidR="0029373F">
        <w:rPr>
          <w:rFonts w:asciiTheme="minorHAnsi" w:hAnsiTheme="minorHAnsi"/>
        </w:rPr>
        <w:t xml:space="preserve">provide a </w:t>
      </w:r>
      <w:r w:rsidRPr="00C146AD">
        <w:rPr>
          <w:rFonts w:asciiTheme="minorHAnsi" w:hAnsiTheme="minorHAnsi"/>
        </w:rPr>
        <w:t>cost-</w:t>
      </w:r>
      <w:r w:rsidR="0029373F">
        <w:rPr>
          <w:rFonts w:asciiTheme="minorHAnsi" w:hAnsiTheme="minorHAnsi"/>
        </w:rPr>
        <w:t xml:space="preserve">effective means of addressing issues in the SAR? If not, please provide an alternative, more cost-effective manner in which to </w:t>
      </w:r>
      <w:r w:rsidR="0029373F">
        <w:rPr>
          <w:rFonts w:asciiTheme="minorHAnsi" w:hAnsiTheme="minorHAnsi"/>
        </w:rPr>
        <w:lastRenderedPageBreak/>
        <w:t xml:space="preserve">achieve </w:t>
      </w:r>
      <w:r w:rsidR="007A6B9E">
        <w:rPr>
          <w:rFonts w:asciiTheme="minorHAnsi" w:hAnsiTheme="minorHAnsi"/>
        </w:rPr>
        <w:t xml:space="preserve">at least </w:t>
      </w:r>
      <w:r w:rsidR="0029373F">
        <w:rPr>
          <w:rFonts w:asciiTheme="minorHAnsi" w:hAnsiTheme="minorHAnsi"/>
        </w:rPr>
        <w:t xml:space="preserve">an equivalent level of reliability. </w:t>
      </w:r>
    </w:p>
    <w:p w14:paraId="4B2CC854" w14:textId="77777777" w:rsidR="0013070E" w:rsidRDefault="0013070E" w:rsidP="0013070E">
      <w:pPr>
        <w:keepNext/>
        <w:ind w:firstLine="720"/>
      </w:pPr>
    </w:p>
    <w:p w14:paraId="100E2373" w14:textId="77777777" w:rsidR="0013070E" w:rsidRPr="00D24289" w:rsidRDefault="0013070E" w:rsidP="0013070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735A82">
        <w:fldChar w:fldCharType="separate"/>
      </w:r>
      <w:r w:rsidRPr="00D24289">
        <w:fldChar w:fldCharType="end"/>
      </w:r>
      <w:r w:rsidRPr="00D24289">
        <w:t xml:space="preserve"> Yes </w:t>
      </w:r>
    </w:p>
    <w:p w14:paraId="09729998" w14:textId="77777777" w:rsidR="0013070E" w:rsidRPr="00D24289" w:rsidRDefault="0013070E" w:rsidP="0013070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735A82">
        <w:fldChar w:fldCharType="separate"/>
      </w:r>
      <w:r w:rsidRPr="00D24289">
        <w:fldChar w:fldCharType="end"/>
      </w:r>
      <w:r w:rsidRPr="00D24289">
        <w:t xml:space="preserve"> No </w:t>
      </w:r>
    </w:p>
    <w:p w14:paraId="0C7B1325" w14:textId="77777777" w:rsidR="0013070E" w:rsidRPr="00D24289" w:rsidRDefault="0013070E" w:rsidP="0013070E">
      <w:pPr>
        <w:keepNext/>
      </w:pPr>
    </w:p>
    <w:p w14:paraId="689A2B62" w14:textId="77777777" w:rsidR="0013070E" w:rsidRPr="00D24289" w:rsidRDefault="0013070E" w:rsidP="0013070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18440368" w14:textId="1822CDE2" w:rsidR="0013070E" w:rsidRPr="00D007BE" w:rsidRDefault="00D007BE" w:rsidP="0013070E">
      <w:pPr>
        <w:pStyle w:val="ListParagraph"/>
        <w:keepNext/>
        <w:numPr>
          <w:ilvl w:val="0"/>
          <w:numId w:val="33"/>
        </w:numPr>
        <w:spacing w:before="120"/>
        <w:contextualSpacing w:val="0"/>
        <w:rPr>
          <w:rFonts w:asciiTheme="minorHAnsi" w:hAnsiTheme="minorHAnsi"/>
        </w:rPr>
      </w:pPr>
      <w:r w:rsidRPr="00D007BE">
        <w:rPr>
          <w:rFonts w:asciiTheme="minorHAnsi" w:hAnsiTheme="minorHAnsi"/>
        </w:rPr>
        <w:t xml:space="preserve">If you have any additional comments </w:t>
      </w:r>
      <w:r w:rsidR="004403FF">
        <w:rPr>
          <w:rFonts w:asciiTheme="minorHAnsi" w:hAnsiTheme="minorHAnsi"/>
        </w:rPr>
        <w:t xml:space="preserve">on themes that have NOT already been </w:t>
      </w:r>
      <w:r w:rsidR="004403FF">
        <w:rPr>
          <w:rFonts w:asciiTheme="minorHAnsi" w:hAnsiTheme="minorHAnsi"/>
        </w:rPr>
        <w:lastRenderedPageBreak/>
        <w:t xml:space="preserve">addressed in the proceeding questions on this comment form, </w:t>
      </w:r>
      <w:r w:rsidRPr="00D007BE">
        <w:rPr>
          <w:rFonts w:asciiTheme="minorHAnsi" w:hAnsiTheme="minorHAnsi"/>
        </w:rPr>
        <w:t>please provide them here</w:t>
      </w:r>
      <w:r w:rsidR="004403FF">
        <w:rPr>
          <w:rFonts w:asciiTheme="minorHAnsi" w:hAnsiTheme="minorHAnsi"/>
        </w:rPr>
        <w:t xml:space="preserve">. </w:t>
      </w:r>
    </w:p>
    <w:p w14:paraId="04437025" w14:textId="77777777" w:rsidR="0013070E" w:rsidRDefault="0013070E" w:rsidP="0013070E">
      <w:pPr>
        <w:keepNext/>
        <w:ind w:firstLine="720"/>
      </w:pPr>
    </w:p>
    <w:p w14:paraId="0D82CCD0" w14:textId="77777777" w:rsidR="0013070E" w:rsidRPr="00D24289" w:rsidRDefault="0013070E" w:rsidP="0013070E">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D7F5099" w14:textId="77777777" w:rsidR="0013070E" w:rsidRDefault="0013070E" w:rsidP="00FE7421">
      <w:pPr>
        <w:ind w:firstLine="720"/>
      </w:pPr>
    </w:p>
    <w:p w14:paraId="711BF59F" w14:textId="77777777" w:rsidR="00FE7421" w:rsidRPr="00D24289" w:rsidRDefault="00FE7421" w:rsidP="0073546A"/>
    <w:sectPr w:rsidR="00FE7421" w:rsidRPr="00D24289" w:rsidSect="001C2144">
      <w:headerReference w:type="default" r:id="rId19"/>
      <w:footerReference w:type="default" r:id="rId20"/>
      <w:headerReference w:type="first" r:id="rId21"/>
      <w:footerReference w:type="first" r:id="rId22"/>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55675" w14:textId="77777777" w:rsidR="00476FA8" w:rsidRDefault="00476FA8">
      <w:r>
        <w:separator/>
      </w:r>
    </w:p>
  </w:endnote>
  <w:endnote w:type="continuationSeparator" w:id="0">
    <w:p w14:paraId="3B99F825" w14:textId="77777777" w:rsidR="00476FA8" w:rsidRDefault="0047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6650ABA5" w:rsidR="00221129" w:rsidRPr="00855BA8" w:rsidRDefault="00221129" w:rsidP="00575783">
    <w:pPr>
      <w:pStyle w:val="Footer"/>
      <w:tabs>
        <w:tab w:val="clear" w:pos="10354"/>
        <w:tab w:val="right" w:pos="10350"/>
      </w:tabs>
      <w:ind w:left="0" w:right="18"/>
    </w:pPr>
    <w:r>
      <w:t>Unofficial Comment Form</w:t>
    </w:r>
    <w:r>
      <w:br/>
    </w:r>
    <w:r w:rsidR="008C3C9A" w:rsidRPr="008C3C9A">
      <w:t>Project 2018-04 Modifications to PRC-024-2</w:t>
    </w:r>
    <w:r w:rsidR="00BC0FBF">
      <w:t xml:space="preserve"> </w:t>
    </w:r>
    <w:r w:rsidR="006C13E0">
      <w:t xml:space="preserve">| April </w:t>
    </w:r>
    <w:r w:rsidR="009D7E8E">
      <w:t xml:space="preserve">–May, </w:t>
    </w:r>
    <w:r w:rsidR="006C13E0">
      <w:t>2019</w:t>
    </w:r>
    <w:r>
      <w:tab/>
    </w:r>
    <w:r w:rsidR="00F96776">
      <w:fldChar w:fldCharType="begin"/>
    </w:r>
    <w:r w:rsidR="00F96776">
      <w:instrText xml:space="preserve"> PAGE </w:instrText>
    </w:r>
    <w:r w:rsidR="00F96776">
      <w:fldChar w:fldCharType="separate"/>
    </w:r>
    <w:r w:rsidR="00E833DC">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27060" w14:textId="77777777" w:rsidR="00476FA8" w:rsidRDefault="00476FA8">
      <w:r>
        <w:separator/>
      </w:r>
    </w:p>
  </w:footnote>
  <w:footnote w:type="continuationSeparator" w:id="0">
    <w:p w14:paraId="17D323A7" w14:textId="77777777" w:rsidR="00476FA8" w:rsidRDefault="00476FA8">
      <w:r>
        <w:continuationSeparator/>
      </w:r>
    </w:p>
  </w:footnote>
  <w:footnote w:id="1">
    <w:p w14:paraId="00A28B0E" w14:textId="53C3D33E" w:rsidR="006C13E0" w:rsidRDefault="006C13E0">
      <w:pPr>
        <w:pStyle w:val="FootnoteText"/>
      </w:pPr>
      <w:r>
        <w:rPr>
          <w:rStyle w:val="FootnoteReference"/>
        </w:rPr>
        <w:footnoteRef/>
      </w:r>
      <w:r>
        <w:t xml:space="preserve"> </w:t>
      </w:r>
      <w:r w:rsidRPr="003123B0">
        <w:t>Requirements R1 and R2 in the current</w:t>
      </w:r>
      <w:r w:rsidR="003A2E79">
        <w:t>ly enforceable</w:t>
      </w:r>
      <w:r w:rsidRPr="003123B0">
        <w:t xml:space="preserve"> PRC-024</w:t>
      </w:r>
      <w:r w:rsidR="003A2E79">
        <w:t>-2</w:t>
      </w:r>
      <w:r w:rsidRPr="003123B0">
        <w:t xml:space="preserve"> </w:t>
      </w:r>
      <w:r w:rsidR="003A2E79">
        <w:t>s</w:t>
      </w:r>
      <w:r w:rsidRPr="003123B0">
        <w:t>tandard, via footnotes 2 and 4, include all frequency and voltage protective relays from the individual generating resource to the high side of the main power transformer for dispersed power producing resources. There was also an identified potential reliability gap when frequency and voltage protection, specifically volts per hertz, are applied to conventional generator GSUs. To alleviate this potential reliability gap, and to achieve parity for all resources, the SDT added a facilities section to specify the facilities that are subject to the Standard, if those facilities have frequency and voltage protection enabled. The facilities section now clarifies that the GSU</w:t>
      </w:r>
      <w:r>
        <w:t xml:space="preserve"> or collector transformer</w:t>
      </w:r>
      <w:r w:rsidRPr="003123B0">
        <w:t xml:space="preserve"> is an applicable facility.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34345AFE"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566CA261"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643A52C5" w14:textId="54C9A285"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69EC602B"/>
    <w:multiLevelType w:val="hybridMultilevel"/>
    <w:tmpl w:val="3B361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1"/>
  </w:num>
  <w:num w:numId="4">
    <w:abstractNumId w:val="18"/>
  </w:num>
  <w:num w:numId="5">
    <w:abstractNumId w:val="3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3"/>
  </w:num>
  <w:num w:numId="27">
    <w:abstractNumId w:val="12"/>
  </w:num>
  <w:num w:numId="28">
    <w:abstractNumId w:val="28"/>
  </w:num>
  <w:num w:numId="29">
    <w:abstractNumId w:val="25"/>
  </w:num>
  <w:num w:numId="30">
    <w:abstractNumId w:val="30"/>
  </w:num>
  <w:num w:numId="31">
    <w:abstractNumId w:val="19"/>
  </w:num>
  <w:num w:numId="32">
    <w:abstractNumId w:val="24"/>
  </w:num>
  <w:num w:numId="33">
    <w:abstractNumId w:val="2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hideGrammaticalError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070E"/>
    <w:rsid w:val="00132E88"/>
    <w:rsid w:val="001346AA"/>
    <w:rsid w:val="00136931"/>
    <w:rsid w:val="0014382A"/>
    <w:rsid w:val="00154798"/>
    <w:rsid w:val="00154F98"/>
    <w:rsid w:val="001574EA"/>
    <w:rsid w:val="00162ACA"/>
    <w:rsid w:val="001859A9"/>
    <w:rsid w:val="001A6FC8"/>
    <w:rsid w:val="001A7B2D"/>
    <w:rsid w:val="001C2144"/>
    <w:rsid w:val="001D47FD"/>
    <w:rsid w:val="001E6782"/>
    <w:rsid w:val="001E7AF6"/>
    <w:rsid w:val="001F6F01"/>
    <w:rsid w:val="002038BA"/>
    <w:rsid w:val="00212C02"/>
    <w:rsid w:val="00217EFE"/>
    <w:rsid w:val="00221129"/>
    <w:rsid w:val="00231967"/>
    <w:rsid w:val="00262A2F"/>
    <w:rsid w:val="00262F32"/>
    <w:rsid w:val="00283FB4"/>
    <w:rsid w:val="0029373F"/>
    <w:rsid w:val="002B58D5"/>
    <w:rsid w:val="002C11E1"/>
    <w:rsid w:val="002C6E45"/>
    <w:rsid w:val="002D48A8"/>
    <w:rsid w:val="002F2BFE"/>
    <w:rsid w:val="003075F3"/>
    <w:rsid w:val="003134D1"/>
    <w:rsid w:val="00313BFE"/>
    <w:rsid w:val="003312CC"/>
    <w:rsid w:val="003447B5"/>
    <w:rsid w:val="00355905"/>
    <w:rsid w:val="003632EA"/>
    <w:rsid w:val="00366A96"/>
    <w:rsid w:val="003764E1"/>
    <w:rsid w:val="0038676B"/>
    <w:rsid w:val="0039275D"/>
    <w:rsid w:val="003A039D"/>
    <w:rsid w:val="003A07DE"/>
    <w:rsid w:val="003A2C17"/>
    <w:rsid w:val="003A2E79"/>
    <w:rsid w:val="003C0FD0"/>
    <w:rsid w:val="003C2871"/>
    <w:rsid w:val="003C40A4"/>
    <w:rsid w:val="003E0DC1"/>
    <w:rsid w:val="003E1C41"/>
    <w:rsid w:val="003F78BD"/>
    <w:rsid w:val="0040795F"/>
    <w:rsid w:val="00411B23"/>
    <w:rsid w:val="004204D3"/>
    <w:rsid w:val="004204FE"/>
    <w:rsid w:val="0042088D"/>
    <w:rsid w:val="00433A9B"/>
    <w:rsid w:val="00433C7C"/>
    <w:rsid w:val="004403FF"/>
    <w:rsid w:val="004430FF"/>
    <w:rsid w:val="00456B99"/>
    <w:rsid w:val="004631BF"/>
    <w:rsid w:val="004739A3"/>
    <w:rsid w:val="00476FA8"/>
    <w:rsid w:val="004800C7"/>
    <w:rsid w:val="004859C6"/>
    <w:rsid w:val="00487B7F"/>
    <w:rsid w:val="004937E7"/>
    <w:rsid w:val="004A7BA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C2CA7"/>
    <w:rsid w:val="005D3F72"/>
    <w:rsid w:val="005E6F5D"/>
    <w:rsid w:val="005F574F"/>
    <w:rsid w:val="00610B5B"/>
    <w:rsid w:val="00626C73"/>
    <w:rsid w:val="00631174"/>
    <w:rsid w:val="00652754"/>
    <w:rsid w:val="00676409"/>
    <w:rsid w:val="00677F97"/>
    <w:rsid w:val="00685D35"/>
    <w:rsid w:val="00692F16"/>
    <w:rsid w:val="006935E7"/>
    <w:rsid w:val="00694CD1"/>
    <w:rsid w:val="006B3EC7"/>
    <w:rsid w:val="006C13E0"/>
    <w:rsid w:val="006C1F78"/>
    <w:rsid w:val="006E4ED6"/>
    <w:rsid w:val="006E67B7"/>
    <w:rsid w:val="006F6DD1"/>
    <w:rsid w:val="00723EC7"/>
    <w:rsid w:val="007254EA"/>
    <w:rsid w:val="00733724"/>
    <w:rsid w:val="0073546A"/>
    <w:rsid w:val="00735A82"/>
    <w:rsid w:val="00743BEA"/>
    <w:rsid w:val="0074626C"/>
    <w:rsid w:val="00747D75"/>
    <w:rsid w:val="00760B1C"/>
    <w:rsid w:val="00784EFD"/>
    <w:rsid w:val="00791651"/>
    <w:rsid w:val="007A332A"/>
    <w:rsid w:val="007A5C7E"/>
    <w:rsid w:val="007A6B9E"/>
    <w:rsid w:val="007C12E8"/>
    <w:rsid w:val="007C1AEF"/>
    <w:rsid w:val="007C3728"/>
    <w:rsid w:val="007E0028"/>
    <w:rsid w:val="00844209"/>
    <w:rsid w:val="008542FC"/>
    <w:rsid w:val="00855BA8"/>
    <w:rsid w:val="00861E94"/>
    <w:rsid w:val="00866E63"/>
    <w:rsid w:val="008770BA"/>
    <w:rsid w:val="008866E7"/>
    <w:rsid w:val="00893106"/>
    <w:rsid w:val="008C1A0A"/>
    <w:rsid w:val="008C2858"/>
    <w:rsid w:val="008C3C9A"/>
    <w:rsid w:val="008D3FCD"/>
    <w:rsid w:val="008D532D"/>
    <w:rsid w:val="00905A97"/>
    <w:rsid w:val="00905DC1"/>
    <w:rsid w:val="00914DCD"/>
    <w:rsid w:val="0091530F"/>
    <w:rsid w:val="009218CA"/>
    <w:rsid w:val="00964CB8"/>
    <w:rsid w:val="00973784"/>
    <w:rsid w:val="00974257"/>
    <w:rsid w:val="009838D6"/>
    <w:rsid w:val="00990DAF"/>
    <w:rsid w:val="009A3624"/>
    <w:rsid w:val="009A4DFE"/>
    <w:rsid w:val="009C211C"/>
    <w:rsid w:val="009C777F"/>
    <w:rsid w:val="009D7E8E"/>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B12D25"/>
    <w:rsid w:val="00B146D4"/>
    <w:rsid w:val="00B21462"/>
    <w:rsid w:val="00B36D07"/>
    <w:rsid w:val="00B375B5"/>
    <w:rsid w:val="00B67A92"/>
    <w:rsid w:val="00B90D2E"/>
    <w:rsid w:val="00B95513"/>
    <w:rsid w:val="00BA0F48"/>
    <w:rsid w:val="00BA34E0"/>
    <w:rsid w:val="00BC0FBF"/>
    <w:rsid w:val="00BD77DE"/>
    <w:rsid w:val="00BE5580"/>
    <w:rsid w:val="00C06FBE"/>
    <w:rsid w:val="00C13E1C"/>
    <w:rsid w:val="00C146AD"/>
    <w:rsid w:val="00C25F48"/>
    <w:rsid w:val="00C31EA1"/>
    <w:rsid w:val="00C36317"/>
    <w:rsid w:val="00C36DA2"/>
    <w:rsid w:val="00C44EBC"/>
    <w:rsid w:val="00C64E95"/>
    <w:rsid w:val="00C6538F"/>
    <w:rsid w:val="00C67C04"/>
    <w:rsid w:val="00C73EF2"/>
    <w:rsid w:val="00C802A9"/>
    <w:rsid w:val="00C84D89"/>
    <w:rsid w:val="00C96AC8"/>
    <w:rsid w:val="00C97D29"/>
    <w:rsid w:val="00CA232D"/>
    <w:rsid w:val="00CA33AF"/>
    <w:rsid w:val="00CA401C"/>
    <w:rsid w:val="00CB54F5"/>
    <w:rsid w:val="00CC04D5"/>
    <w:rsid w:val="00CC57DF"/>
    <w:rsid w:val="00CC7BE7"/>
    <w:rsid w:val="00CF6E4A"/>
    <w:rsid w:val="00CF78A7"/>
    <w:rsid w:val="00D007BE"/>
    <w:rsid w:val="00D225E0"/>
    <w:rsid w:val="00D228D6"/>
    <w:rsid w:val="00D24289"/>
    <w:rsid w:val="00D271C1"/>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77CF"/>
    <w:rsid w:val="00E43401"/>
    <w:rsid w:val="00E43A0D"/>
    <w:rsid w:val="00E575A0"/>
    <w:rsid w:val="00E64BB4"/>
    <w:rsid w:val="00E709AD"/>
    <w:rsid w:val="00E73B96"/>
    <w:rsid w:val="00E800B1"/>
    <w:rsid w:val="00E806C3"/>
    <w:rsid w:val="00E833DC"/>
    <w:rsid w:val="00E84D56"/>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18-04-Modifications-to-PRC-024-2.aspx" TargetMode="External"/><Relationship Id="rId18" Type="http://schemas.openxmlformats.org/officeDocument/2006/relationships/hyperlink" Target="https://www.nerc.com/pa/Stand/Project%20201804%20Modifications%20to%20PRC0242/PRC-024-2_SAR_Clean_02202019.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yperlink" Target="https://www.nerc.com/pa/Stand/Project%20201804%20Modifications%20to%20PRC0242/NERC%20IRPTF%20PRC-024-2%20Gaps%20Whitepaper.pdf" TargetMode="External"/><Relationship Id="rId2" Type="http://schemas.openxmlformats.org/officeDocument/2006/relationships/customXml" Target="../customXml/item2.xml"/><Relationship Id="rId16" Type="http://schemas.openxmlformats.org/officeDocument/2006/relationships/hyperlink" Target="https://www.nerc.com/pa/rrm/ea/October%209%202017%20Canyon%202%20Fire%20Disturbance%20Report/900%20MW%20Solar%20Photovoltaic%20Resource%20Interruption%20Disturbance%20Repor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nerc.com/pa/rrm/ea/1200_MW_Fault_Induced_Solar_Photovoltaic_Resource_/1200_MW_Fault_Induced_Solar_Photovoltaic_Resource_Interruption_Final.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22" Type="http://schemas.openxmlformats.org/officeDocument/2006/relationships/footer" Target="footer2.xml"/><Relationship Id="rId9" Type="http://schemas.openxmlformats.org/officeDocument/2006/relationships/webSettings" Target="webSettings.xml"/><Relationship Id="rId14" Type="http://schemas.openxmlformats.org/officeDocument/2006/relationships/hyperlink" Target="mailto:mat.bunch@nerc.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444bc9d-bb2e-441f-89a7-915ba9281662"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194912CC79E074DAB3011CC2E41714F" ma:contentTypeVersion="1" ma:contentTypeDescription="Create a new document." ma:contentTypeScope="" ma:versionID="0dcff511bd0a5c8989e1a2d3fa8d948d">
  <xsd:schema xmlns:xsd="http://www.w3.org/2001/XMLSchema" xmlns:xs="http://www.w3.org/2001/XMLSchema" xmlns:p="http://schemas.microsoft.com/office/2006/metadata/properties" xmlns:ns2="d255dc3e-053e-4b62-8283-68abfc61cdbb" targetNamespace="http://schemas.microsoft.com/office/2006/metadata/properties" ma:root="true" ma:fieldsID="4387633b780084599f77b51d7c36e10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7DF58-DF31-4AD7-B883-70A00E89B931}"/>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B9B8B294-6938-4D48-9FA7-38DD95549FA4}"/>
</file>

<file path=customXml/itemProps4.xml><?xml version="1.0" encoding="utf-8"?>
<ds:datastoreItem xmlns:ds="http://schemas.openxmlformats.org/officeDocument/2006/customXml" ds:itemID="{A0ADD877-E813-4E6E-8B4D-8B29CC1EA99E}">
  <ds:schemaRefs>
    <ds:schemaRef ds:uri="Microsoft.SharePoint.Taxonomy.ContentTypeSync"/>
  </ds:schemaRefs>
</ds:datastoreItem>
</file>

<file path=customXml/itemProps5.xml><?xml version="1.0" encoding="utf-8"?>
<ds:datastoreItem xmlns:ds="http://schemas.openxmlformats.org/officeDocument/2006/customXml" ds:itemID="{FC739D48-90E8-454B-AFE2-A35DE40BB634}"/>
</file>

<file path=docProps/app.xml><?xml version="1.0" encoding="utf-8"?>
<Properties xmlns="http://schemas.openxmlformats.org/officeDocument/2006/extended-properties" xmlns:vt="http://schemas.openxmlformats.org/officeDocument/2006/docPropsVTypes">
  <Template>Normal</Template>
  <TotalTime>0</TotalTime>
  <Pages>5</Pages>
  <Words>974</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2019-04-10T13:10:00Z</dcterms:created>
  <dcterms:modified xsi:type="dcterms:W3CDTF">2019-04-22T16:21:00Z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0x0101005194912CC79E074DAB3011CC2E41714F</vt:lpwstr>
  </property>
  <property fmtid="{D5CDD505-2E9C-101B-9397-08002B2CF9AE}" pid="3" name="Document Category">
    <vt:lpwstr>Template</vt:lpwstr>
  </property>
  <property fmtid="{D5CDD505-2E9C-101B-9397-08002B2CF9AE}" pid="4" name="_dlc_DocIdItemGuid">
    <vt:lpwstr>38711c9b-479c-4533-a677-bf010249c705</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10269;#Unoffical Comment Form|6fe8d727-cebf-49ad-977b-6c39f718face</vt:lpwstr>
  </property>
  <property fmtid="{D5CDD505-2E9C-101B-9397-08002B2CF9AE}" pid="11" name="Document Status">
    <vt:lpwstr/>
  </property>
  <property fmtid="{D5CDD505-2E9C-101B-9397-08002B2CF9AE}" pid="12" name="Data Classification">
    <vt:lpwstr>1;#Confidential - Internal|aa40a886-0bc0-4ba6-a22c-37ccbc8c9bd8</vt:lpwstr>
  </property>
</Properties>
</file>