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1E876A30" w14:textId="4B8BB42C" w:rsidR="00A52554" w:rsidRDefault="00B87500" w:rsidP="00A52554">
      <w:pPr>
        <w:pStyle w:val="Heading1"/>
        <w:rPr>
          <w:b w:val="0"/>
          <w:bCs w:val="0"/>
          <w:color w:val="204C81"/>
          <w:sz w:val="32"/>
          <w:szCs w:val="32"/>
        </w:rPr>
      </w:pPr>
      <w:bookmarkStart w:id="0" w:name="_Toc195946481"/>
      <w:r>
        <w:rPr>
          <w:b w:val="0"/>
          <w:bCs w:val="0"/>
          <w:color w:val="204C81"/>
          <w:sz w:val="32"/>
          <w:szCs w:val="32"/>
        </w:rPr>
        <w:t>Project 2018-04 Modifications to PRC-024-2</w:t>
      </w:r>
    </w:p>
    <w:p w14:paraId="4C017227" w14:textId="77777777" w:rsidR="00A52554" w:rsidRDefault="00A52554" w:rsidP="0073546A">
      <w:pPr>
        <w:rPr>
          <w:b/>
        </w:rPr>
      </w:pPr>
    </w:p>
    <w:p w14:paraId="3620FC62" w14:textId="4BA550B3" w:rsidR="0073546A" w:rsidRPr="00D24289" w:rsidRDefault="00747D75" w:rsidP="0073546A">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w:t>
      </w:r>
      <w:r w:rsidR="000B4B7F" w:rsidRPr="0018520A">
        <w:t xml:space="preserve">Use the </w:t>
      </w:r>
      <w:hyperlink r:id="rId12" w:history="1">
        <w:r w:rsidR="000B4B7F" w:rsidRPr="0018520A">
          <w:rPr>
            <w:rStyle w:val="Hyperlink"/>
          </w:rPr>
          <w:t>Standards Balloting and Commenting System (SBS)</w:t>
        </w:r>
      </w:hyperlink>
      <w:r w:rsidR="000B4B7F" w:rsidRPr="0018520A">
        <w:t xml:space="preserve"> to submit comments</w:t>
      </w:r>
      <w:r w:rsidR="000B4B7F">
        <w:t xml:space="preserve"> on</w:t>
      </w:r>
      <w:r w:rsidR="00AB7D84">
        <w:t xml:space="preserve"> the</w:t>
      </w:r>
      <w:r w:rsidRPr="00786AD7">
        <w:t xml:space="preserve"> </w:t>
      </w:r>
      <w:r w:rsidR="00B87500">
        <w:rPr>
          <w:b/>
        </w:rPr>
        <w:t>Project 2018-04 Modifications to PRC-024-2</w:t>
      </w:r>
      <w:r w:rsidR="00AB7D84">
        <w:rPr>
          <w:b/>
        </w:rPr>
        <w:t xml:space="preserve"> </w:t>
      </w:r>
      <w:r w:rsidR="00F309E6" w:rsidRPr="00F309E6">
        <w:t>by</w:t>
      </w:r>
      <w:r w:rsidRPr="00733DF8">
        <w:rPr>
          <w:b/>
        </w:rPr>
        <w:t xml:space="preserve"> 8 p.</w:t>
      </w:r>
      <w:r>
        <w:rPr>
          <w:b/>
        </w:rPr>
        <w:t xml:space="preserve">m. Eastern, </w:t>
      </w:r>
      <w:r w:rsidR="00B87500">
        <w:rPr>
          <w:b/>
        </w:rPr>
        <w:t>Monday</w:t>
      </w:r>
      <w:r w:rsidR="00A52554">
        <w:rPr>
          <w:b/>
        </w:rPr>
        <w:t xml:space="preserve">, </w:t>
      </w:r>
      <w:r w:rsidR="00B87500">
        <w:rPr>
          <w:b/>
        </w:rPr>
        <w:t>November 4,</w:t>
      </w:r>
      <w:r w:rsidR="00C12F1A" w:rsidRPr="00C12F1A">
        <w:rPr>
          <w:b/>
        </w:rPr>
        <w:t xml:space="preserve"> 2019</w:t>
      </w:r>
      <w:r>
        <w:rPr>
          <w:b/>
        </w:rPr>
        <w:t>.</w:t>
      </w:r>
      <w:r>
        <w:rPr>
          <w:b/>
        </w:rPr>
        <w:br/>
      </w:r>
      <w:r w:rsidRPr="00733DF8">
        <w:rPr>
          <w:b/>
          <w:color w:val="FFFFFF" w:themeColor="text1"/>
        </w:rPr>
        <w:t xml:space="preserve">m. </w:t>
      </w:r>
      <w:r>
        <w:rPr>
          <w:b/>
          <w:color w:val="FFFFFF" w:themeColor="text1"/>
        </w:rPr>
        <w:t>Eastern, Thursday, August 20</w:t>
      </w:r>
      <w:r w:rsidRPr="00733DF8">
        <w:rPr>
          <w:b/>
          <w:color w:val="FFFFFF" w:themeColor="text1"/>
        </w:rPr>
        <w:t>, 201</w:t>
      </w:r>
      <w:r>
        <w:rPr>
          <w:b/>
          <w:color w:val="FFFFFF" w:themeColor="text1"/>
        </w:rPr>
        <w:t>5</w:t>
      </w:r>
    </w:p>
    <w:p w14:paraId="480FED26" w14:textId="1D02FE01" w:rsidR="0039275D" w:rsidRPr="00AB7D84" w:rsidRDefault="00436D04" w:rsidP="0073546A">
      <w:r>
        <w:t xml:space="preserve">See the </w:t>
      </w:r>
      <w:hyperlink r:id="rId13" w:history="1">
        <w:r w:rsidR="00AD744A" w:rsidRPr="00436D04">
          <w:rPr>
            <w:rStyle w:val="Hyperlink"/>
          </w:rPr>
          <w:t>project page</w:t>
        </w:r>
      </w:hyperlink>
      <w:r>
        <w:t xml:space="preserve"> or </w:t>
      </w:r>
      <w:r w:rsidR="00E308F8" w:rsidRPr="00AB7D84">
        <w:t>contact</w:t>
      </w:r>
      <w:r w:rsidR="000304FB" w:rsidRPr="00AB7D84">
        <w:t xml:space="preserve"> </w:t>
      </w:r>
      <w:r w:rsidR="00C12F1A" w:rsidRPr="00AA74FE">
        <w:rPr>
          <w:rFonts w:ascii="Calibri" w:eastAsia="Calibri" w:hAnsi="Calibri"/>
        </w:rPr>
        <w:t xml:space="preserve">Standards Developer, </w:t>
      </w:r>
      <w:hyperlink r:id="rId14" w:history="1">
        <w:r w:rsidR="00C12F1A" w:rsidRPr="00AA74FE">
          <w:rPr>
            <w:rFonts w:ascii="Calibri" w:eastAsia="Calibri" w:hAnsi="Calibri"/>
            <w:color w:val="0000FF"/>
            <w:u w:val="single"/>
          </w:rPr>
          <w:t>Mat Bunch</w:t>
        </w:r>
      </w:hyperlink>
      <w:r w:rsidR="00C12F1A" w:rsidRPr="00AA74FE">
        <w:rPr>
          <w:rFonts w:ascii="Calibri" w:eastAsia="Calibri" w:hAnsi="Calibri"/>
        </w:rPr>
        <w:t xml:space="preserve"> (</w:t>
      </w:r>
      <w:r>
        <w:rPr>
          <w:rFonts w:ascii="Calibri" w:eastAsia="Calibri" w:hAnsi="Calibri"/>
        </w:rPr>
        <w:t>via email) or at (404) 446-9785 for more information or assistance.</w:t>
      </w:r>
      <w:r w:rsidR="00ED5673" w:rsidRPr="00AB7D84">
        <w:tab/>
      </w:r>
    </w:p>
    <w:p w14:paraId="26099FB3" w14:textId="77777777" w:rsidR="002F2BFE" w:rsidRPr="00D24289" w:rsidRDefault="002F2BFE" w:rsidP="00D933A3"/>
    <w:bookmarkEnd w:id="0"/>
    <w:p w14:paraId="5A406826" w14:textId="77777777" w:rsidR="0039275D" w:rsidRDefault="0073546A" w:rsidP="00102A01">
      <w:pPr>
        <w:pStyle w:val="Heading2"/>
        <w:rPr>
          <w:rFonts w:cs="Tahoma"/>
        </w:rPr>
      </w:pPr>
      <w:r w:rsidRPr="00747D75">
        <w:rPr>
          <w:rFonts w:cs="Tahoma"/>
        </w:rPr>
        <w:t>Background Information</w:t>
      </w:r>
    </w:p>
    <w:p w14:paraId="608856A7" w14:textId="77777777" w:rsidR="00F41ACD" w:rsidRDefault="00F41ACD" w:rsidP="00F41ACD">
      <w:pPr>
        <w:rPr>
          <w:rFonts w:cs="Tahoma"/>
          <w:b/>
          <w:bCs/>
        </w:rPr>
      </w:pPr>
      <w:r>
        <w:rPr>
          <w:rFonts w:cs="Tahoma"/>
        </w:rPr>
        <w:t xml:space="preserve">On November 27, 2018, the NERC Operating Committee (OC) and Planning Committee (PC) submitted a Standard Authorization Request (SAR) prepared by the Inverter-Based Resource Performance Task Force (IRPTF), which reports to the OC and PC. </w:t>
      </w:r>
    </w:p>
    <w:p w14:paraId="43CB73E4" w14:textId="77777777" w:rsidR="00F41ACD" w:rsidRDefault="00F41ACD" w:rsidP="00F41ACD">
      <w:pPr>
        <w:rPr>
          <w:rStyle w:val="BoxText"/>
          <w:rFonts w:ascii="Tahoma" w:hAnsi="Tahoma" w:cs="Tahoma"/>
          <w:sz w:val="22"/>
          <w:szCs w:val="22"/>
        </w:rPr>
      </w:pPr>
    </w:p>
    <w:p w14:paraId="4FDCD42A" w14:textId="2E3BB640" w:rsidR="00F41ACD" w:rsidRDefault="00F41ACD" w:rsidP="00F41ACD">
      <w:pPr>
        <w:rPr>
          <w:rFonts w:cs="Tahoma"/>
        </w:rPr>
      </w:pPr>
      <w:r>
        <w:rPr>
          <w:rFonts w:cs="Tahoma"/>
        </w:rPr>
        <w:t xml:space="preserve">Based off the analyses of the </w:t>
      </w:r>
      <w:hyperlink r:id="rId15" w:history="1">
        <w:r>
          <w:rPr>
            <w:rStyle w:val="Hyperlink"/>
            <w:rFonts w:cs="Tahoma"/>
          </w:rPr>
          <w:t>Blue Cut Fire</w:t>
        </w:r>
      </w:hyperlink>
      <w:r>
        <w:rPr>
          <w:rFonts w:cs="Tahoma"/>
        </w:rPr>
        <w:t> and </w:t>
      </w:r>
      <w:hyperlink r:id="rId16" w:anchor="search=blue%20cut%20fire" w:history="1">
        <w:r>
          <w:rPr>
            <w:rStyle w:val="Hyperlink"/>
            <w:rFonts w:cs="Tahoma"/>
          </w:rPr>
          <w:t>Canyon 2 Fire</w:t>
        </w:r>
      </w:hyperlink>
      <w:r>
        <w:rPr>
          <w:rFonts w:cs="Tahoma"/>
        </w:rPr>
        <w:t> disturbances in southern California along with the development of the </w:t>
      </w:r>
      <w:hyperlink r:id="rId17" w:history="1">
        <w:r>
          <w:rPr>
            <w:rStyle w:val="Hyperlink"/>
            <w:rFonts w:cs="Tahoma"/>
          </w:rPr>
          <w:t>PRC-024-2 Gaps Whitepaper</w:t>
        </w:r>
      </w:hyperlink>
      <w:r>
        <w:rPr>
          <w:rFonts w:cs="Tahoma"/>
        </w:rPr>
        <w:t xml:space="preserve">, the IRPTF identified potential modifications to PRC-024-2 to ensure that inverter-based generator owners, operators, developers, and equipment manufacturers understand the intent of the standard in order for their plants to respond to grid disturbances in a manner that contributes to the reliable operation of the BPS. In order to address the issues in the </w:t>
      </w:r>
      <w:hyperlink r:id="rId18" w:history="1">
        <w:r>
          <w:rPr>
            <w:rStyle w:val="Hyperlink"/>
            <w:rFonts w:cs="Tahoma"/>
          </w:rPr>
          <w:t>SAR</w:t>
        </w:r>
      </w:hyperlink>
      <w:r>
        <w:rPr>
          <w:rFonts w:cs="Tahoma"/>
        </w:rPr>
        <w:t xml:space="preserve">, the standard drafting team developed the proposed modifications in PRC-024-3. </w:t>
      </w:r>
    </w:p>
    <w:p w14:paraId="6F29C5F8" w14:textId="77777777" w:rsidR="00F41ACD" w:rsidRDefault="00F41ACD" w:rsidP="00102A01">
      <w:pPr>
        <w:pStyle w:val="Heading2"/>
        <w:rPr>
          <w:rFonts w:cs="Tahoma"/>
        </w:rPr>
      </w:pPr>
    </w:p>
    <w:p w14:paraId="6F3C8259" w14:textId="58377357" w:rsidR="0039275D" w:rsidRPr="00747D75" w:rsidRDefault="0073546A" w:rsidP="00102A01">
      <w:pPr>
        <w:pStyle w:val="Heading2"/>
        <w:rPr>
          <w:rFonts w:cs="Tahoma"/>
        </w:rPr>
      </w:pPr>
      <w:r w:rsidRPr="00747D75">
        <w:rPr>
          <w:rFonts w:cs="Tahoma"/>
        </w:rPr>
        <w:t>Question</w:t>
      </w:r>
      <w:r w:rsidR="00747D75" w:rsidRPr="00747D75">
        <w:rPr>
          <w:rFonts w:cs="Tahoma"/>
        </w:rPr>
        <w:t>s</w:t>
      </w:r>
    </w:p>
    <w:p w14:paraId="76E9E000" w14:textId="148E5DA2" w:rsidR="0012552D" w:rsidRPr="00E13079" w:rsidRDefault="00E13079" w:rsidP="00516B1C">
      <w:pPr>
        <w:pStyle w:val="ListParagraph"/>
        <w:numPr>
          <w:ilvl w:val="0"/>
          <w:numId w:val="33"/>
        </w:numPr>
        <w:spacing w:before="120"/>
        <w:rPr>
          <w:rFonts w:asciiTheme="minorHAnsi" w:hAnsiTheme="minorHAnsi"/>
        </w:rPr>
      </w:pPr>
      <w:r w:rsidRPr="00E13079">
        <w:rPr>
          <w:rFonts w:asciiTheme="minorHAnsi" w:hAnsiTheme="minorHAnsi"/>
        </w:rPr>
        <w:t>Based on industry feedback, the SDT removed the Transmission Owner (TO) from the Applicability (Functional Entities) of PRC-024-3. Do you agree with this change? If not, please provide the basis for your disagreement and a specific instance where not including the TO would present a risk to reliability.</w:t>
      </w:r>
    </w:p>
    <w:p w14:paraId="2026CE76" w14:textId="77777777" w:rsidR="0073546A" w:rsidRPr="00D24289" w:rsidRDefault="00091EB1" w:rsidP="00516B1C">
      <w:pPr>
        <w:keepNext/>
        <w:spacing w:before="120"/>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D07939">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D07939">
        <w:fldChar w:fldCharType="separate"/>
      </w:r>
      <w:r w:rsidRPr="00D24289">
        <w:fldChar w:fldCharType="end"/>
      </w:r>
      <w:r w:rsidR="0073546A" w:rsidRPr="00D24289">
        <w:t xml:space="preserve"> No </w:t>
      </w:r>
    </w:p>
    <w:p w14:paraId="61EA1353" w14:textId="77777777" w:rsidR="0073546A" w:rsidRDefault="0073546A" w:rsidP="00516B1C">
      <w:pPr>
        <w:spacing w:before="120"/>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221D5812" w14:textId="77777777" w:rsidR="00516B1C" w:rsidRPr="00516B1C" w:rsidRDefault="00E13079" w:rsidP="00516B1C">
      <w:pPr>
        <w:pStyle w:val="ListParagraph"/>
        <w:numPr>
          <w:ilvl w:val="0"/>
          <w:numId w:val="33"/>
        </w:numPr>
        <w:spacing w:before="120" w:after="120"/>
      </w:pPr>
      <w:r w:rsidRPr="00E13079">
        <w:rPr>
          <w:rFonts w:asciiTheme="minorHAnsi" w:hAnsiTheme="minorHAnsi"/>
        </w:rPr>
        <w:t>Based on industry feedback, the SDT modified the Applicability (Facilities) to clarify both the types of ‘protection’ applicable, if activated, and the specific equipment the ‘protection’ is applied on. Do you agree with these changes? If not, please provide the basis for your disagreement and an alternate solution.</w:t>
      </w:r>
    </w:p>
    <w:p w14:paraId="09A2906A" w14:textId="1BC1DDE6" w:rsidR="00E13079" w:rsidRPr="00E13079" w:rsidRDefault="00E13079" w:rsidP="00516B1C">
      <w:pPr>
        <w:spacing w:before="120"/>
        <w:ind w:left="720"/>
      </w:pPr>
      <w:r w:rsidRPr="00E13079">
        <w:fldChar w:fldCharType="begin">
          <w:ffData>
            <w:name w:val="Check4"/>
            <w:enabled/>
            <w:calcOnExit w:val="0"/>
            <w:checkBox>
              <w:sizeAuto/>
              <w:default w:val="0"/>
            </w:checkBox>
          </w:ffData>
        </w:fldChar>
      </w:r>
      <w:r w:rsidRPr="00E13079">
        <w:instrText xml:space="preserve"> FORMCHECKBOX </w:instrText>
      </w:r>
      <w:r w:rsidR="00D07939">
        <w:fldChar w:fldCharType="separate"/>
      </w:r>
      <w:r w:rsidRPr="00E13079">
        <w:fldChar w:fldCharType="end"/>
      </w:r>
      <w:r w:rsidRPr="00E13079">
        <w:t xml:space="preserve"> </w:t>
      </w:r>
      <w:r w:rsidRPr="00516B1C">
        <w:t>Yes</w:t>
      </w:r>
      <w:r w:rsidRPr="00E13079">
        <w:t xml:space="preserve"> </w:t>
      </w:r>
    </w:p>
    <w:p w14:paraId="3C8AEF93" w14:textId="77777777" w:rsidR="00E13079" w:rsidRPr="00E13079" w:rsidRDefault="00E13079" w:rsidP="00E13079">
      <w:pPr>
        <w:pStyle w:val="ListParagraph"/>
        <w:rPr>
          <w:rFonts w:asciiTheme="minorHAnsi" w:hAnsiTheme="minorHAnsi"/>
        </w:rPr>
      </w:pPr>
      <w:r w:rsidRPr="00E13079">
        <w:rPr>
          <w:rFonts w:asciiTheme="minorHAnsi" w:hAnsiTheme="minorHAnsi"/>
        </w:rPr>
        <w:fldChar w:fldCharType="begin">
          <w:ffData>
            <w:name w:val="Check4"/>
            <w:enabled/>
            <w:calcOnExit w:val="0"/>
            <w:checkBox>
              <w:sizeAuto/>
              <w:default w:val="0"/>
            </w:checkBox>
          </w:ffData>
        </w:fldChar>
      </w:r>
      <w:r w:rsidRPr="00E13079">
        <w:rPr>
          <w:rFonts w:asciiTheme="minorHAnsi" w:hAnsiTheme="minorHAnsi"/>
        </w:rPr>
        <w:instrText xml:space="preserve"> FORMCHECKBOX </w:instrText>
      </w:r>
      <w:r w:rsidR="00D07939">
        <w:rPr>
          <w:rFonts w:asciiTheme="minorHAnsi" w:hAnsiTheme="minorHAnsi"/>
        </w:rPr>
      </w:r>
      <w:r w:rsidR="00D07939">
        <w:rPr>
          <w:rFonts w:asciiTheme="minorHAnsi" w:hAnsiTheme="minorHAnsi"/>
        </w:rPr>
        <w:fldChar w:fldCharType="separate"/>
      </w:r>
      <w:r w:rsidRPr="00E13079">
        <w:rPr>
          <w:rFonts w:asciiTheme="minorHAnsi" w:hAnsiTheme="minorHAnsi"/>
        </w:rPr>
        <w:fldChar w:fldCharType="end"/>
      </w:r>
      <w:r w:rsidRPr="00E13079">
        <w:rPr>
          <w:rFonts w:asciiTheme="minorHAnsi" w:hAnsiTheme="minorHAnsi"/>
        </w:rPr>
        <w:t xml:space="preserve"> No </w:t>
      </w:r>
    </w:p>
    <w:p w14:paraId="10E71DBE" w14:textId="77777777" w:rsidR="00E13079" w:rsidRPr="00E13079" w:rsidRDefault="00E13079" w:rsidP="00516B1C">
      <w:pPr>
        <w:pStyle w:val="ListParagraph"/>
        <w:spacing w:before="120"/>
        <w:contextualSpacing w:val="0"/>
        <w:rPr>
          <w:rFonts w:asciiTheme="minorHAnsi" w:hAnsiTheme="minorHAnsi"/>
        </w:rPr>
      </w:pPr>
      <w:r w:rsidRPr="00E13079">
        <w:rPr>
          <w:rFonts w:asciiTheme="minorHAnsi" w:hAnsiTheme="minorHAnsi"/>
        </w:rPr>
        <w:t xml:space="preserve">Comments: </w:t>
      </w:r>
      <w:r w:rsidRPr="00E13079">
        <w:rPr>
          <w:rFonts w:asciiTheme="minorHAnsi" w:hAnsiTheme="minorHAnsi"/>
        </w:rPr>
        <w:fldChar w:fldCharType="begin">
          <w:ffData>
            <w:name w:val="Text12"/>
            <w:enabled/>
            <w:calcOnExit w:val="0"/>
            <w:textInput/>
          </w:ffData>
        </w:fldChar>
      </w:r>
      <w:r w:rsidRPr="00E13079">
        <w:rPr>
          <w:rFonts w:asciiTheme="minorHAnsi" w:hAnsiTheme="minorHAnsi"/>
        </w:rPr>
        <w:instrText xml:space="preserve"> FORMTEXT </w:instrText>
      </w:r>
      <w:r w:rsidRPr="00E13079">
        <w:rPr>
          <w:rFonts w:asciiTheme="minorHAnsi" w:hAnsiTheme="minorHAnsi"/>
        </w:rPr>
      </w:r>
      <w:r w:rsidRPr="00E13079">
        <w:rPr>
          <w:rFonts w:asciiTheme="minorHAnsi" w:hAnsiTheme="minorHAnsi"/>
        </w:rPr>
        <w:fldChar w:fldCharType="separate"/>
      </w:r>
      <w:r w:rsidRPr="00E13079">
        <w:rPr>
          <w:rFonts w:asciiTheme="minorHAnsi" w:hAnsiTheme="minorHAnsi"/>
        </w:rPr>
        <w:t> </w:t>
      </w:r>
      <w:r w:rsidRPr="00E13079">
        <w:rPr>
          <w:rFonts w:asciiTheme="minorHAnsi" w:hAnsiTheme="minorHAnsi"/>
        </w:rPr>
        <w:t> </w:t>
      </w:r>
      <w:r w:rsidRPr="00E13079">
        <w:rPr>
          <w:rFonts w:asciiTheme="minorHAnsi" w:hAnsiTheme="minorHAnsi"/>
        </w:rPr>
        <w:t> </w:t>
      </w:r>
      <w:r w:rsidRPr="00E13079">
        <w:rPr>
          <w:rFonts w:asciiTheme="minorHAnsi" w:hAnsiTheme="minorHAnsi"/>
        </w:rPr>
        <w:t> </w:t>
      </w:r>
      <w:r w:rsidRPr="00E13079">
        <w:rPr>
          <w:rFonts w:asciiTheme="minorHAnsi" w:hAnsiTheme="minorHAnsi"/>
        </w:rPr>
        <w:t> </w:t>
      </w:r>
      <w:r w:rsidRPr="00E13079">
        <w:rPr>
          <w:rFonts w:asciiTheme="minorHAnsi" w:hAnsiTheme="minorHAnsi"/>
        </w:rPr>
        <w:fldChar w:fldCharType="end"/>
      </w:r>
      <w:bookmarkStart w:id="1" w:name="_GoBack"/>
      <w:bookmarkEnd w:id="1"/>
    </w:p>
    <w:p w14:paraId="70C11F68" w14:textId="77777777" w:rsidR="00F41ACD" w:rsidRDefault="00F41ACD" w:rsidP="00F41ACD">
      <w:pPr>
        <w:keepNext/>
        <w:ind w:firstLine="720"/>
      </w:pPr>
    </w:p>
    <w:p w14:paraId="1B30B78A" w14:textId="11F23C8D" w:rsidR="00E13079" w:rsidRPr="00E13079" w:rsidRDefault="00E13079" w:rsidP="00E13079">
      <w:pPr>
        <w:pStyle w:val="ListParagraph"/>
        <w:numPr>
          <w:ilvl w:val="0"/>
          <w:numId w:val="33"/>
        </w:numPr>
        <w:rPr>
          <w:rFonts w:asciiTheme="minorHAnsi" w:hAnsiTheme="minorHAnsi"/>
        </w:rPr>
      </w:pPr>
      <w:r w:rsidRPr="00E13079">
        <w:rPr>
          <w:rFonts w:asciiTheme="minorHAnsi" w:hAnsiTheme="minorHAnsi"/>
        </w:rPr>
        <w:t xml:space="preserve">To address Scope Item ‘f’ from the approved SAR, the SDT added an exemption to the Applicability (Facilities) to clarify that all auxiliary equipment and associated protection(s) within the generating </w:t>
      </w:r>
      <w:r w:rsidRPr="00E13079">
        <w:rPr>
          <w:rFonts w:asciiTheme="minorHAnsi" w:hAnsiTheme="minorHAnsi"/>
        </w:rPr>
        <w:lastRenderedPageBreak/>
        <w:t>Facility are not applicable to the standard. Do you agree with the ‘Exemption’? If not, please provide the basis for your disagreement and an alternate solution.</w:t>
      </w:r>
    </w:p>
    <w:p w14:paraId="3BDEBE03" w14:textId="77777777" w:rsidR="00F41ACD" w:rsidRPr="00D24289" w:rsidRDefault="00F41ACD" w:rsidP="00516B1C">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D07939">
        <w:fldChar w:fldCharType="separate"/>
      </w:r>
      <w:r w:rsidRPr="00D24289">
        <w:fldChar w:fldCharType="end"/>
      </w:r>
      <w:r w:rsidRPr="00D24289">
        <w:t xml:space="preserve"> Yes </w:t>
      </w:r>
    </w:p>
    <w:p w14:paraId="6B2C3BD9" w14:textId="77777777" w:rsidR="00F41ACD" w:rsidRDefault="00F41ACD" w:rsidP="00F41ACD">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D07939">
        <w:fldChar w:fldCharType="separate"/>
      </w:r>
      <w:r w:rsidRPr="00D24289">
        <w:fldChar w:fldCharType="end"/>
      </w:r>
      <w:r w:rsidRPr="00D24289">
        <w:t xml:space="preserve"> No </w:t>
      </w:r>
    </w:p>
    <w:p w14:paraId="6EEF28EE" w14:textId="77777777" w:rsidR="00F41ACD" w:rsidRPr="00D24289" w:rsidRDefault="00F41ACD" w:rsidP="00516B1C">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C434FDC" w14:textId="506BF689" w:rsidR="00E13079" w:rsidRPr="00E13079" w:rsidRDefault="00E13079" w:rsidP="00516B1C">
      <w:pPr>
        <w:pStyle w:val="ListParagraph"/>
        <w:keepNext/>
        <w:numPr>
          <w:ilvl w:val="0"/>
          <w:numId w:val="33"/>
        </w:numPr>
        <w:spacing w:before="120"/>
        <w:rPr>
          <w:rFonts w:asciiTheme="minorHAnsi" w:hAnsiTheme="minorHAnsi"/>
        </w:rPr>
      </w:pPr>
      <w:r w:rsidRPr="00E13079">
        <w:rPr>
          <w:rFonts w:asciiTheme="minorHAnsi" w:hAnsiTheme="minorHAnsi"/>
        </w:rPr>
        <w:t>Based on industry feedback, the SDT replaced the 0.1 second ‘Minimum Time (Sec)’ value in the frequency tables with “Instantaneous” and provided additional clarity via Footnote #6 regarding frequency calculation/measurement. Do you agree with this change? If not, please provide the basis for your disagreement and an alternate solution.</w:t>
      </w:r>
    </w:p>
    <w:p w14:paraId="19340B8A" w14:textId="77777777" w:rsidR="00F41ACD" w:rsidRPr="00D24289" w:rsidRDefault="00F41ACD" w:rsidP="00516B1C">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D07939">
        <w:fldChar w:fldCharType="separate"/>
      </w:r>
      <w:r w:rsidRPr="00D24289">
        <w:fldChar w:fldCharType="end"/>
      </w:r>
      <w:r w:rsidRPr="00D24289">
        <w:t xml:space="preserve"> Yes </w:t>
      </w:r>
    </w:p>
    <w:p w14:paraId="7CAB7B21" w14:textId="77777777" w:rsidR="00F41ACD" w:rsidRPr="00D24289" w:rsidRDefault="00F41ACD" w:rsidP="00F41ACD">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D07939">
        <w:fldChar w:fldCharType="separate"/>
      </w:r>
      <w:r w:rsidRPr="00D24289">
        <w:fldChar w:fldCharType="end"/>
      </w:r>
      <w:r w:rsidRPr="00D24289">
        <w:t xml:space="preserve"> No </w:t>
      </w:r>
    </w:p>
    <w:p w14:paraId="68021DFB" w14:textId="77777777" w:rsidR="00F41ACD" w:rsidRPr="00D24289" w:rsidRDefault="00F41ACD" w:rsidP="00516B1C">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CCDE125" w14:textId="0D62DEA1" w:rsidR="00F41ACD" w:rsidRPr="00E73B96" w:rsidRDefault="00E13079" w:rsidP="00E13079">
      <w:pPr>
        <w:pStyle w:val="ListParagraph"/>
        <w:keepNext/>
        <w:numPr>
          <w:ilvl w:val="0"/>
          <w:numId w:val="33"/>
        </w:numPr>
        <w:spacing w:before="120"/>
        <w:rPr>
          <w:rFonts w:asciiTheme="minorHAnsi" w:hAnsiTheme="minorHAnsi"/>
        </w:rPr>
      </w:pPr>
      <w:r w:rsidRPr="00E13079">
        <w:rPr>
          <w:rFonts w:asciiTheme="minorHAnsi" w:hAnsiTheme="minorHAnsi"/>
        </w:rPr>
        <w:t>Based on industry feedback, the SDT revised the Implementation Plan to provide twenty-four months for applicable entities to evaluate settings, make changes for applicable equipment, and purchase necessary equipment, if necessary. Do you agree with</w:t>
      </w:r>
      <w:r>
        <w:rPr>
          <w:rFonts w:asciiTheme="minorHAnsi" w:hAnsiTheme="minorHAnsi"/>
        </w:rPr>
        <w:t xml:space="preserve"> </w:t>
      </w:r>
      <w:r w:rsidRPr="00E13079">
        <w:rPr>
          <w:rFonts w:asciiTheme="minorHAnsi" w:hAnsiTheme="minorHAnsi"/>
        </w:rPr>
        <w:t>the revised Implementation Plan? If not, please provide the basis for your disagreement and an alternate proposal.</w:t>
      </w:r>
    </w:p>
    <w:p w14:paraId="453C9036" w14:textId="77777777" w:rsidR="00F41ACD" w:rsidRPr="00D24289" w:rsidRDefault="00F41ACD" w:rsidP="00516B1C">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D07939">
        <w:fldChar w:fldCharType="separate"/>
      </w:r>
      <w:r w:rsidRPr="00D24289">
        <w:fldChar w:fldCharType="end"/>
      </w:r>
      <w:r w:rsidRPr="00D24289">
        <w:t xml:space="preserve"> Yes </w:t>
      </w:r>
    </w:p>
    <w:p w14:paraId="3F753DB6" w14:textId="77777777" w:rsidR="00F41ACD" w:rsidRPr="00D24289" w:rsidRDefault="00F41ACD" w:rsidP="00F41ACD">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D07939">
        <w:fldChar w:fldCharType="separate"/>
      </w:r>
      <w:r w:rsidRPr="00D24289">
        <w:fldChar w:fldCharType="end"/>
      </w:r>
      <w:r w:rsidRPr="00D24289">
        <w:t xml:space="preserve"> No </w:t>
      </w:r>
    </w:p>
    <w:p w14:paraId="344524BD" w14:textId="77777777" w:rsidR="00F41ACD" w:rsidRPr="00D24289" w:rsidRDefault="00F41ACD" w:rsidP="00516B1C">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76C4DE6C" w14:textId="77777777" w:rsidR="00E13079" w:rsidRPr="00E13079" w:rsidRDefault="00E13079" w:rsidP="00516B1C">
      <w:pPr>
        <w:pStyle w:val="ListParagraph"/>
        <w:numPr>
          <w:ilvl w:val="0"/>
          <w:numId w:val="33"/>
        </w:numPr>
        <w:spacing w:before="120"/>
        <w:rPr>
          <w:rFonts w:asciiTheme="minorHAnsi" w:hAnsiTheme="minorHAnsi"/>
        </w:rPr>
      </w:pPr>
      <w:r w:rsidRPr="00E13079">
        <w:rPr>
          <w:rFonts w:asciiTheme="minorHAnsi" w:hAnsiTheme="minorHAnsi"/>
        </w:rPr>
        <w:t>Do you agree that the proposed modifications provide a cost-effective means of addressing issues identified in the SAR? If not, please provide an alternative, more cost-effective manner in which to achieve at least an equivalent level of reliability.</w:t>
      </w:r>
    </w:p>
    <w:p w14:paraId="321AC1C5" w14:textId="77777777" w:rsidR="00F41ACD" w:rsidRPr="00D24289" w:rsidRDefault="00F41ACD" w:rsidP="00516B1C">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D07939">
        <w:fldChar w:fldCharType="separate"/>
      </w:r>
      <w:r w:rsidRPr="00D24289">
        <w:fldChar w:fldCharType="end"/>
      </w:r>
      <w:r w:rsidRPr="00D24289">
        <w:t xml:space="preserve"> Yes </w:t>
      </w:r>
    </w:p>
    <w:p w14:paraId="47886913" w14:textId="77777777" w:rsidR="00F41ACD" w:rsidRPr="00D24289" w:rsidRDefault="00F41ACD" w:rsidP="00F41ACD">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D07939">
        <w:fldChar w:fldCharType="separate"/>
      </w:r>
      <w:r w:rsidRPr="00D24289">
        <w:fldChar w:fldCharType="end"/>
      </w:r>
      <w:r w:rsidRPr="00D24289">
        <w:t xml:space="preserve"> No </w:t>
      </w:r>
    </w:p>
    <w:p w14:paraId="5B9F387B" w14:textId="77777777" w:rsidR="00F41ACD" w:rsidRPr="00D24289" w:rsidRDefault="00F41ACD" w:rsidP="00516B1C">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0FCD3DA5" w14:textId="77777777" w:rsidR="00F41ACD" w:rsidRPr="00B87500" w:rsidRDefault="00F41ACD" w:rsidP="00B35A7B">
      <w:pPr>
        <w:ind w:firstLine="720"/>
        <w:rPr>
          <w:b/>
        </w:rPr>
      </w:pPr>
    </w:p>
    <w:sectPr w:rsidR="00F41ACD" w:rsidRPr="00B87500" w:rsidSect="00175D87">
      <w:headerReference w:type="default" r:id="rId19"/>
      <w:footerReference w:type="default" r:id="rId20"/>
      <w:headerReference w:type="first" r:id="rId21"/>
      <w:footerReference w:type="first" r:id="rId22"/>
      <w:pgSz w:w="12240" w:h="15840" w:code="1"/>
      <w:pgMar w:top="1584" w:right="936" w:bottom="1008"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1604E" w14:textId="77777777" w:rsidR="00D07939" w:rsidRDefault="00D07939">
      <w:r>
        <w:separator/>
      </w:r>
    </w:p>
  </w:endnote>
  <w:endnote w:type="continuationSeparator" w:id="0">
    <w:p w14:paraId="17BF9C0A" w14:textId="77777777" w:rsidR="00D07939" w:rsidRDefault="00D07939">
      <w:r>
        <w:continuationSeparator/>
      </w:r>
    </w:p>
  </w:endnote>
  <w:endnote w:type="continuationNotice" w:id="1">
    <w:p w14:paraId="0BF2D521" w14:textId="77777777" w:rsidR="00D07939" w:rsidRDefault="00D07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CAB0" w14:textId="27C3EB0F" w:rsidR="000C5C46" w:rsidRPr="00855BA8" w:rsidRDefault="000C5C46" w:rsidP="00575783">
    <w:pPr>
      <w:pStyle w:val="Footer"/>
      <w:tabs>
        <w:tab w:val="clear" w:pos="10354"/>
        <w:tab w:val="right" w:pos="10350"/>
      </w:tabs>
      <w:ind w:left="0" w:right="18"/>
    </w:pPr>
    <w:r>
      <w:t>Unofficial Comment Form</w:t>
    </w:r>
    <w:r>
      <w:br/>
    </w:r>
    <w:r w:rsidR="00B87500">
      <w:t>Project 2018-04 Modifications to PRC-024-2</w:t>
    </w:r>
    <w:r w:rsidR="00A87D18">
      <w:t xml:space="preserve"> </w:t>
    </w:r>
    <w:r w:rsidRPr="000D1B39">
      <w:t xml:space="preserve">| </w:t>
    </w:r>
    <w:r w:rsidR="00E13079">
      <w:t>September</w:t>
    </w:r>
    <w:r w:rsidR="00516B1C">
      <w:t xml:space="preserve"> -</w:t>
    </w:r>
    <w:r w:rsidR="00A52554">
      <w:t xml:space="preserve"> </w:t>
    </w:r>
    <w:r w:rsidR="00E13079">
      <w:t>November</w:t>
    </w:r>
    <w:r w:rsidR="00A52554">
      <w:t xml:space="preserve"> 2019</w:t>
    </w:r>
    <w:r>
      <w:tab/>
    </w:r>
    <w:r>
      <w:fldChar w:fldCharType="begin"/>
    </w:r>
    <w:r>
      <w:instrText xml:space="preserve"> PAGE </w:instrText>
    </w:r>
    <w:r>
      <w:fldChar w:fldCharType="separate"/>
    </w:r>
    <w:r w:rsidR="00E24C93">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2192D" w14:textId="77777777" w:rsidR="00175D87" w:rsidRDefault="00175D87" w:rsidP="00175D87"/>
  <w:p w14:paraId="37810C4F" w14:textId="24A8E887" w:rsidR="000C5C46" w:rsidRPr="00175D87" w:rsidRDefault="00175D87" w:rsidP="00175D87">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BD644" w14:textId="77777777" w:rsidR="00D07939" w:rsidRDefault="00D07939">
      <w:r>
        <w:separator/>
      </w:r>
    </w:p>
  </w:footnote>
  <w:footnote w:type="continuationSeparator" w:id="0">
    <w:p w14:paraId="54D4D1CA" w14:textId="77777777" w:rsidR="00D07939" w:rsidRDefault="00D07939">
      <w:r>
        <w:continuationSeparator/>
      </w:r>
    </w:p>
  </w:footnote>
  <w:footnote w:type="continuationNotice" w:id="1">
    <w:p w14:paraId="08B8F8A4" w14:textId="77777777" w:rsidR="00D07939" w:rsidRDefault="00D079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72044" w14:textId="34345AFE" w:rsidR="000C5C46" w:rsidRDefault="000C5C46">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968C" w14:textId="566CA261" w:rsidR="000C5C46" w:rsidRDefault="000C5C46">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0C5C46" w:rsidRDefault="000C5C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D2667C"/>
    <w:multiLevelType w:val="hybridMultilevel"/>
    <w:tmpl w:val="1D049F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1"/>
  </w:num>
  <w:num w:numId="4">
    <w:abstractNumId w:val="18"/>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1"/>
  </w:num>
  <w:num w:numId="20">
    <w:abstractNumId w:val="27"/>
  </w:num>
  <w:num w:numId="21">
    <w:abstractNumId w:val="16"/>
  </w:num>
  <w:num w:numId="22">
    <w:abstractNumId w:val="10"/>
  </w:num>
  <w:num w:numId="23">
    <w:abstractNumId w:val="14"/>
  </w:num>
  <w:num w:numId="24">
    <w:abstractNumId w:val="21"/>
  </w:num>
  <w:num w:numId="25">
    <w:abstractNumId w:val="22"/>
  </w:num>
  <w:num w:numId="26">
    <w:abstractNumId w:val="33"/>
  </w:num>
  <w:num w:numId="27">
    <w:abstractNumId w:val="12"/>
  </w:num>
  <w:num w:numId="28">
    <w:abstractNumId w:val="29"/>
  </w:num>
  <w:num w:numId="29">
    <w:abstractNumId w:val="25"/>
  </w:num>
  <w:num w:numId="30">
    <w:abstractNumId w:val="30"/>
  </w:num>
  <w:num w:numId="31">
    <w:abstractNumId w:val="19"/>
  </w:num>
  <w:num w:numId="32">
    <w:abstractNumId w:val="24"/>
  </w:num>
  <w:num w:numId="33">
    <w:abstractNumId w:val="23"/>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60E18"/>
    <w:rsid w:val="00061CDC"/>
    <w:rsid w:val="00070832"/>
    <w:rsid w:val="00086440"/>
    <w:rsid w:val="00091EB1"/>
    <w:rsid w:val="000A70BC"/>
    <w:rsid w:val="000B36CB"/>
    <w:rsid w:val="000B49E3"/>
    <w:rsid w:val="000B4B7F"/>
    <w:rsid w:val="000B7A04"/>
    <w:rsid w:val="000C5C46"/>
    <w:rsid w:val="000D1B39"/>
    <w:rsid w:val="000D7162"/>
    <w:rsid w:val="000D7AF2"/>
    <w:rsid w:val="000E3AB0"/>
    <w:rsid w:val="000F2177"/>
    <w:rsid w:val="000F4C80"/>
    <w:rsid w:val="00101373"/>
    <w:rsid w:val="00101671"/>
    <w:rsid w:val="00102A01"/>
    <w:rsid w:val="00104317"/>
    <w:rsid w:val="0012552D"/>
    <w:rsid w:val="00132E88"/>
    <w:rsid w:val="001346AA"/>
    <w:rsid w:val="00136931"/>
    <w:rsid w:val="0014382A"/>
    <w:rsid w:val="00154798"/>
    <w:rsid w:val="00154F98"/>
    <w:rsid w:val="001574EA"/>
    <w:rsid w:val="00162ACA"/>
    <w:rsid w:val="00174B52"/>
    <w:rsid w:val="00175D87"/>
    <w:rsid w:val="001859A9"/>
    <w:rsid w:val="0019217F"/>
    <w:rsid w:val="001A6FC8"/>
    <w:rsid w:val="001A7B2D"/>
    <w:rsid w:val="001C2144"/>
    <w:rsid w:val="001D12E6"/>
    <w:rsid w:val="001D47FD"/>
    <w:rsid w:val="001D5379"/>
    <w:rsid w:val="001E6782"/>
    <w:rsid w:val="001E7AF6"/>
    <w:rsid w:val="001F54DA"/>
    <w:rsid w:val="001F6F01"/>
    <w:rsid w:val="002038BA"/>
    <w:rsid w:val="00211896"/>
    <w:rsid w:val="00212C02"/>
    <w:rsid w:val="00221129"/>
    <w:rsid w:val="00262A2F"/>
    <w:rsid w:val="00262E6F"/>
    <w:rsid w:val="00262F32"/>
    <w:rsid w:val="00283FB4"/>
    <w:rsid w:val="002B58D5"/>
    <w:rsid w:val="002C11E1"/>
    <w:rsid w:val="002C6E45"/>
    <w:rsid w:val="002D48A8"/>
    <w:rsid w:val="002E540F"/>
    <w:rsid w:val="002F2BFE"/>
    <w:rsid w:val="00302A29"/>
    <w:rsid w:val="003075F3"/>
    <w:rsid w:val="003134D1"/>
    <w:rsid w:val="00313BFE"/>
    <w:rsid w:val="003215D1"/>
    <w:rsid w:val="003447B5"/>
    <w:rsid w:val="003632EA"/>
    <w:rsid w:val="00366A96"/>
    <w:rsid w:val="003764E1"/>
    <w:rsid w:val="0038676B"/>
    <w:rsid w:val="0039275D"/>
    <w:rsid w:val="003A039D"/>
    <w:rsid w:val="003A07DE"/>
    <w:rsid w:val="003A2C17"/>
    <w:rsid w:val="003C0FD0"/>
    <w:rsid w:val="003C2871"/>
    <w:rsid w:val="003C40A4"/>
    <w:rsid w:val="003E1C41"/>
    <w:rsid w:val="003E7F34"/>
    <w:rsid w:val="003F78BD"/>
    <w:rsid w:val="0040795F"/>
    <w:rsid w:val="00411B23"/>
    <w:rsid w:val="004204D3"/>
    <w:rsid w:val="004204FE"/>
    <w:rsid w:val="0042088D"/>
    <w:rsid w:val="004225AC"/>
    <w:rsid w:val="00433A9B"/>
    <w:rsid w:val="00433C7C"/>
    <w:rsid w:val="00436D04"/>
    <w:rsid w:val="004430FF"/>
    <w:rsid w:val="00456B99"/>
    <w:rsid w:val="004631BF"/>
    <w:rsid w:val="00471C9A"/>
    <w:rsid w:val="004739A3"/>
    <w:rsid w:val="004800C7"/>
    <w:rsid w:val="004859C6"/>
    <w:rsid w:val="00487B7F"/>
    <w:rsid w:val="004937E7"/>
    <w:rsid w:val="004A7BAA"/>
    <w:rsid w:val="004B7DE3"/>
    <w:rsid w:val="004D3EC5"/>
    <w:rsid w:val="004E7B5C"/>
    <w:rsid w:val="0050270C"/>
    <w:rsid w:val="00510652"/>
    <w:rsid w:val="00516B1C"/>
    <w:rsid w:val="005240B5"/>
    <w:rsid w:val="005316C6"/>
    <w:rsid w:val="005316F3"/>
    <w:rsid w:val="00545613"/>
    <w:rsid w:val="005476BF"/>
    <w:rsid w:val="00554CD1"/>
    <w:rsid w:val="00555F79"/>
    <w:rsid w:val="00573832"/>
    <w:rsid w:val="00575783"/>
    <w:rsid w:val="00584F6D"/>
    <w:rsid w:val="00591CE2"/>
    <w:rsid w:val="00597D63"/>
    <w:rsid w:val="005A2920"/>
    <w:rsid w:val="005A721A"/>
    <w:rsid w:val="005B7382"/>
    <w:rsid w:val="005C2683"/>
    <w:rsid w:val="005C2CA7"/>
    <w:rsid w:val="005D3F72"/>
    <w:rsid w:val="005E5D20"/>
    <w:rsid w:val="005E6F5D"/>
    <w:rsid w:val="005F574F"/>
    <w:rsid w:val="00610B5B"/>
    <w:rsid w:val="00626C73"/>
    <w:rsid w:val="00631174"/>
    <w:rsid w:val="00652754"/>
    <w:rsid w:val="006655DC"/>
    <w:rsid w:val="00676409"/>
    <w:rsid w:val="00677F97"/>
    <w:rsid w:val="00685D35"/>
    <w:rsid w:val="00692F16"/>
    <w:rsid w:val="006935E7"/>
    <w:rsid w:val="00694CD1"/>
    <w:rsid w:val="006B3EC7"/>
    <w:rsid w:val="006C1F78"/>
    <w:rsid w:val="006D202D"/>
    <w:rsid w:val="006E4ED6"/>
    <w:rsid w:val="006E67B7"/>
    <w:rsid w:val="006F4EFC"/>
    <w:rsid w:val="006F6DD1"/>
    <w:rsid w:val="00723EC7"/>
    <w:rsid w:val="007254EA"/>
    <w:rsid w:val="00733724"/>
    <w:rsid w:val="0073546A"/>
    <w:rsid w:val="00743BEA"/>
    <w:rsid w:val="0074626C"/>
    <w:rsid w:val="00747D75"/>
    <w:rsid w:val="00760B1C"/>
    <w:rsid w:val="00784EFD"/>
    <w:rsid w:val="00791651"/>
    <w:rsid w:val="007A332A"/>
    <w:rsid w:val="007A5C7E"/>
    <w:rsid w:val="007C12E8"/>
    <w:rsid w:val="007C1AEF"/>
    <w:rsid w:val="007C3728"/>
    <w:rsid w:val="007E0028"/>
    <w:rsid w:val="007F2E26"/>
    <w:rsid w:val="007F6D1A"/>
    <w:rsid w:val="00843591"/>
    <w:rsid w:val="00844209"/>
    <w:rsid w:val="008542FC"/>
    <w:rsid w:val="00855BA8"/>
    <w:rsid w:val="00861E94"/>
    <w:rsid w:val="00866E63"/>
    <w:rsid w:val="008770BA"/>
    <w:rsid w:val="008866E7"/>
    <w:rsid w:val="00892FEA"/>
    <w:rsid w:val="00893106"/>
    <w:rsid w:val="008C1A0A"/>
    <w:rsid w:val="008C2858"/>
    <w:rsid w:val="008D3FCD"/>
    <w:rsid w:val="008D532D"/>
    <w:rsid w:val="00905A97"/>
    <w:rsid w:val="00905DC1"/>
    <w:rsid w:val="00914DCD"/>
    <w:rsid w:val="0091530F"/>
    <w:rsid w:val="009218CA"/>
    <w:rsid w:val="0096038D"/>
    <w:rsid w:val="00964CB8"/>
    <w:rsid w:val="00973784"/>
    <w:rsid w:val="00974257"/>
    <w:rsid w:val="009838D6"/>
    <w:rsid w:val="00990DAF"/>
    <w:rsid w:val="00993FC2"/>
    <w:rsid w:val="009A3624"/>
    <w:rsid w:val="009A4DFE"/>
    <w:rsid w:val="009C211C"/>
    <w:rsid w:val="009C777F"/>
    <w:rsid w:val="00A159B9"/>
    <w:rsid w:val="00A31945"/>
    <w:rsid w:val="00A35DA7"/>
    <w:rsid w:val="00A42C67"/>
    <w:rsid w:val="00A52554"/>
    <w:rsid w:val="00A53159"/>
    <w:rsid w:val="00A6738A"/>
    <w:rsid w:val="00A8535E"/>
    <w:rsid w:val="00A87D18"/>
    <w:rsid w:val="00A90B26"/>
    <w:rsid w:val="00A91FB4"/>
    <w:rsid w:val="00A92B1C"/>
    <w:rsid w:val="00A97CE4"/>
    <w:rsid w:val="00AA1292"/>
    <w:rsid w:val="00AA13DB"/>
    <w:rsid w:val="00AA349D"/>
    <w:rsid w:val="00AA74FE"/>
    <w:rsid w:val="00AB7D84"/>
    <w:rsid w:val="00AC075B"/>
    <w:rsid w:val="00AC0C35"/>
    <w:rsid w:val="00AC36AD"/>
    <w:rsid w:val="00AC42DA"/>
    <w:rsid w:val="00AC6367"/>
    <w:rsid w:val="00AD1865"/>
    <w:rsid w:val="00AD3B11"/>
    <w:rsid w:val="00AD744A"/>
    <w:rsid w:val="00AE0CEE"/>
    <w:rsid w:val="00AE1FAF"/>
    <w:rsid w:val="00AF23C2"/>
    <w:rsid w:val="00B146D4"/>
    <w:rsid w:val="00B14C7E"/>
    <w:rsid w:val="00B21462"/>
    <w:rsid w:val="00B314E0"/>
    <w:rsid w:val="00B35A7B"/>
    <w:rsid w:val="00B36D07"/>
    <w:rsid w:val="00B375B5"/>
    <w:rsid w:val="00B5551E"/>
    <w:rsid w:val="00B67A92"/>
    <w:rsid w:val="00B87500"/>
    <w:rsid w:val="00B90D2E"/>
    <w:rsid w:val="00B95513"/>
    <w:rsid w:val="00BA34E0"/>
    <w:rsid w:val="00BD77DE"/>
    <w:rsid w:val="00BE5580"/>
    <w:rsid w:val="00C06FBE"/>
    <w:rsid w:val="00C12F1A"/>
    <w:rsid w:val="00C1397E"/>
    <w:rsid w:val="00C13E1C"/>
    <w:rsid w:val="00C25F48"/>
    <w:rsid w:val="00C31EA1"/>
    <w:rsid w:val="00C36317"/>
    <w:rsid w:val="00C36DA2"/>
    <w:rsid w:val="00C64E32"/>
    <w:rsid w:val="00C64E95"/>
    <w:rsid w:val="00C6538F"/>
    <w:rsid w:val="00C67C04"/>
    <w:rsid w:val="00C73EF2"/>
    <w:rsid w:val="00C802A9"/>
    <w:rsid w:val="00C805C2"/>
    <w:rsid w:val="00C84D89"/>
    <w:rsid w:val="00C96AC8"/>
    <w:rsid w:val="00C97D29"/>
    <w:rsid w:val="00CA232D"/>
    <w:rsid w:val="00CA401C"/>
    <w:rsid w:val="00CB3C3D"/>
    <w:rsid w:val="00CB54F5"/>
    <w:rsid w:val="00CC04D5"/>
    <w:rsid w:val="00CC57DF"/>
    <w:rsid w:val="00CC7A76"/>
    <w:rsid w:val="00CC7BE7"/>
    <w:rsid w:val="00CF6E4A"/>
    <w:rsid w:val="00CF78A7"/>
    <w:rsid w:val="00D07939"/>
    <w:rsid w:val="00D156E1"/>
    <w:rsid w:val="00D21167"/>
    <w:rsid w:val="00D225E0"/>
    <w:rsid w:val="00D228D6"/>
    <w:rsid w:val="00D24289"/>
    <w:rsid w:val="00D31B2F"/>
    <w:rsid w:val="00D33514"/>
    <w:rsid w:val="00D35D48"/>
    <w:rsid w:val="00D56EBF"/>
    <w:rsid w:val="00D5715F"/>
    <w:rsid w:val="00D71B57"/>
    <w:rsid w:val="00D72C9B"/>
    <w:rsid w:val="00D730C8"/>
    <w:rsid w:val="00D7715A"/>
    <w:rsid w:val="00D8646B"/>
    <w:rsid w:val="00D9120D"/>
    <w:rsid w:val="00D92883"/>
    <w:rsid w:val="00D933A3"/>
    <w:rsid w:val="00D9670F"/>
    <w:rsid w:val="00D96A22"/>
    <w:rsid w:val="00DA634C"/>
    <w:rsid w:val="00DB5A0A"/>
    <w:rsid w:val="00DB62EC"/>
    <w:rsid w:val="00DB7C23"/>
    <w:rsid w:val="00DC289B"/>
    <w:rsid w:val="00DC3755"/>
    <w:rsid w:val="00DC4D2B"/>
    <w:rsid w:val="00DC63DB"/>
    <w:rsid w:val="00DC6B8D"/>
    <w:rsid w:val="00DE6954"/>
    <w:rsid w:val="00E00283"/>
    <w:rsid w:val="00E051A8"/>
    <w:rsid w:val="00E13079"/>
    <w:rsid w:val="00E202F4"/>
    <w:rsid w:val="00E24C93"/>
    <w:rsid w:val="00E308F8"/>
    <w:rsid w:val="00E377CF"/>
    <w:rsid w:val="00E43401"/>
    <w:rsid w:val="00E43A0D"/>
    <w:rsid w:val="00E52476"/>
    <w:rsid w:val="00E575A0"/>
    <w:rsid w:val="00E64BB4"/>
    <w:rsid w:val="00E709AD"/>
    <w:rsid w:val="00E73B96"/>
    <w:rsid w:val="00E800B1"/>
    <w:rsid w:val="00E806C3"/>
    <w:rsid w:val="00EA11D3"/>
    <w:rsid w:val="00EA70E5"/>
    <w:rsid w:val="00EC0529"/>
    <w:rsid w:val="00ED5673"/>
    <w:rsid w:val="00EE4C1E"/>
    <w:rsid w:val="00EE5416"/>
    <w:rsid w:val="00EF6F41"/>
    <w:rsid w:val="00F006EF"/>
    <w:rsid w:val="00F073C5"/>
    <w:rsid w:val="00F07493"/>
    <w:rsid w:val="00F21B75"/>
    <w:rsid w:val="00F309E6"/>
    <w:rsid w:val="00F31926"/>
    <w:rsid w:val="00F35196"/>
    <w:rsid w:val="00F41ACD"/>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D7F33"/>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079"/>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BoxText">
    <w:name w:val="Box Text"/>
    <w:basedOn w:val="DefaultParagraphFont"/>
    <w:rsid w:val="00A52554"/>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748">
      <w:bodyDiv w:val="1"/>
      <w:marLeft w:val="0"/>
      <w:marRight w:val="0"/>
      <w:marTop w:val="0"/>
      <w:marBottom w:val="0"/>
      <w:divBdr>
        <w:top w:val="none" w:sz="0" w:space="0" w:color="auto"/>
        <w:left w:val="none" w:sz="0" w:space="0" w:color="auto"/>
        <w:bottom w:val="none" w:sz="0" w:space="0" w:color="auto"/>
        <w:right w:val="none" w:sz="0" w:space="0" w:color="auto"/>
      </w:divBdr>
    </w:div>
    <w:div w:id="294214031">
      <w:bodyDiv w:val="1"/>
      <w:marLeft w:val="0"/>
      <w:marRight w:val="0"/>
      <w:marTop w:val="0"/>
      <w:marBottom w:val="0"/>
      <w:divBdr>
        <w:top w:val="none" w:sz="0" w:space="0" w:color="auto"/>
        <w:left w:val="none" w:sz="0" w:space="0" w:color="auto"/>
        <w:bottom w:val="none" w:sz="0" w:space="0" w:color="auto"/>
        <w:right w:val="none" w:sz="0" w:space="0" w:color="auto"/>
      </w:divBdr>
    </w:div>
    <w:div w:id="397436872">
      <w:bodyDiv w:val="1"/>
      <w:marLeft w:val="0"/>
      <w:marRight w:val="0"/>
      <w:marTop w:val="0"/>
      <w:marBottom w:val="0"/>
      <w:divBdr>
        <w:top w:val="none" w:sz="0" w:space="0" w:color="auto"/>
        <w:left w:val="none" w:sz="0" w:space="0" w:color="auto"/>
        <w:bottom w:val="none" w:sz="0" w:space="0" w:color="auto"/>
        <w:right w:val="none" w:sz="0" w:space="0" w:color="auto"/>
      </w:divBdr>
    </w:div>
    <w:div w:id="567149753">
      <w:bodyDiv w:val="1"/>
      <w:marLeft w:val="0"/>
      <w:marRight w:val="0"/>
      <w:marTop w:val="0"/>
      <w:marBottom w:val="0"/>
      <w:divBdr>
        <w:top w:val="none" w:sz="0" w:space="0" w:color="auto"/>
        <w:left w:val="none" w:sz="0" w:space="0" w:color="auto"/>
        <w:bottom w:val="none" w:sz="0" w:space="0" w:color="auto"/>
        <w:right w:val="none" w:sz="0" w:space="0" w:color="auto"/>
      </w:divBdr>
    </w:div>
    <w:div w:id="653684345">
      <w:bodyDiv w:val="1"/>
      <w:marLeft w:val="0"/>
      <w:marRight w:val="0"/>
      <w:marTop w:val="0"/>
      <w:marBottom w:val="0"/>
      <w:divBdr>
        <w:top w:val="none" w:sz="0" w:space="0" w:color="auto"/>
        <w:left w:val="none" w:sz="0" w:space="0" w:color="auto"/>
        <w:bottom w:val="none" w:sz="0" w:space="0" w:color="auto"/>
        <w:right w:val="none" w:sz="0" w:space="0" w:color="auto"/>
      </w:divBdr>
    </w:div>
    <w:div w:id="965894183">
      <w:bodyDiv w:val="1"/>
      <w:marLeft w:val="0"/>
      <w:marRight w:val="0"/>
      <w:marTop w:val="0"/>
      <w:marBottom w:val="0"/>
      <w:divBdr>
        <w:top w:val="none" w:sz="0" w:space="0" w:color="auto"/>
        <w:left w:val="none" w:sz="0" w:space="0" w:color="auto"/>
        <w:bottom w:val="none" w:sz="0" w:space="0" w:color="auto"/>
        <w:right w:val="none" w:sz="0" w:space="0" w:color="auto"/>
      </w:divBdr>
    </w:div>
    <w:div w:id="1159345832">
      <w:bodyDiv w:val="1"/>
      <w:marLeft w:val="0"/>
      <w:marRight w:val="0"/>
      <w:marTop w:val="0"/>
      <w:marBottom w:val="0"/>
      <w:divBdr>
        <w:top w:val="none" w:sz="0" w:space="0" w:color="auto"/>
        <w:left w:val="none" w:sz="0" w:space="0" w:color="auto"/>
        <w:bottom w:val="none" w:sz="0" w:space="0" w:color="auto"/>
        <w:right w:val="none" w:sz="0" w:space="0" w:color="auto"/>
      </w:divBdr>
    </w:div>
    <w:div w:id="1270043555">
      <w:bodyDiv w:val="1"/>
      <w:marLeft w:val="0"/>
      <w:marRight w:val="0"/>
      <w:marTop w:val="0"/>
      <w:marBottom w:val="0"/>
      <w:divBdr>
        <w:top w:val="none" w:sz="0" w:space="0" w:color="auto"/>
        <w:left w:val="none" w:sz="0" w:space="0" w:color="auto"/>
        <w:bottom w:val="none" w:sz="0" w:space="0" w:color="auto"/>
        <w:right w:val="none" w:sz="0" w:space="0" w:color="auto"/>
      </w:divBdr>
    </w:div>
    <w:div w:id="1534147562">
      <w:bodyDiv w:val="1"/>
      <w:marLeft w:val="0"/>
      <w:marRight w:val="0"/>
      <w:marTop w:val="0"/>
      <w:marBottom w:val="0"/>
      <w:divBdr>
        <w:top w:val="none" w:sz="0" w:space="0" w:color="auto"/>
        <w:left w:val="none" w:sz="0" w:space="0" w:color="auto"/>
        <w:bottom w:val="none" w:sz="0" w:space="0" w:color="auto"/>
        <w:right w:val="none" w:sz="0" w:space="0" w:color="auto"/>
      </w:divBdr>
    </w:div>
    <w:div w:id="205488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Project-2018-04-Modifications-to-PRC-024-2.aspx" TargetMode="External"/><Relationship Id="rId18" Type="http://schemas.openxmlformats.org/officeDocument/2006/relationships/hyperlink" Target="https://www.nerc.com/pa/Stand/Project%20201804%20Modifications%20to%20PRC0242/PRC-024-2_SAR_Clean_02202019.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yperlink" Target="https://www.nerc.com/pa/Stand/Project%20201804%20Modifications%20to%20PRC0242/NERC%20IRPTF%20PRC-024-2%20Gaps%20Whitepaper.pdf" TargetMode="External"/><Relationship Id="rId2" Type="http://schemas.openxmlformats.org/officeDocument/2006/relationships/customXml" Target="../customXml/item2.xml"/><Relationship Id="rId16" Type="http://schemas.openxmlformats.org/officeDocument/2006/relationships/hyperlink" Target="https://www.nerc.com/pa/rrm/ea/October%209%202017%20Canyon%202%20Fire%20Disturbance%20Report/900%20MW%20Solar%20Photovoltaic%20Resource%20Interruption%20Disturbance%20Report.pdf" TargetMode="External"/><Relationship Id="rId20" Type="http://schemas.openxmlformats.org/officeDocument/2006/relationships/footer" Target="footer1.xml"/><Relationship Id="rId24"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erc.com/pa/rrm/ea/1200_MW_Fault_Induced_Solar_Photovoltaic_Resource_/1200_MW_Fault_Induced_Solar_Photovoltaic_Resource_Interruption_Final.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t.bunch@nerc.net"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444bc9d-bb2e-441f-89a7-915ba9281662" ContentTypeId="0x0101" PreviousValue="false"/>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94912CC79E074DAB3011CC2E41714F" ma:contentTypeVersion="1" ma:contentTypeDescription="Create a new document." ma:contentTypeScope="" ma:versionID="0dcff511bd0a5c8989e1a2d3fa8d948d">
  <xsd:schema xmlns:xsd="http://www.w3.org/2001/XMLSchema" xmlns:xs="http://www.w3.org/2001/XMLSchema" xmlns:p="http://schemas.microsoft.com/office/2006/metadata/properties" xmlns:ns2="d255dc3e-053e-4b62-8283-68abfc61cdbb" targetNamespace="http://schemas.microsoft.com/office/2006/metadata/properties" ma:root="true" ma:fieldsID="4387633b780084599f77b51d7c36e10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AE5C9-DE53-45A5-B831-E652EE978B77}">
  <ds:schemaRefs>
    <ds:schemaRef ds:uri="Microsoft.SharePoint.Taxonomy.ContentTypeSync"/>
  </ds:schemaRefs>
</ds:datastoreItem>
</file>

<file path=customXml/itemProps2.xml><?xml version="1.0" encoding="utf-8"?>
<ds:datastoreItem xmlns:ds="http://schemas.openxmlformats.org/officeDocument/2006/customXml" ds:itemID="{3AADE751-F4AA-46F9-8BA7-3253CC583788}">
  <ds:schemaRefs>
    <ds:schemaRef ds:uri="http://schemas.microsoft.com/office/2006/metadata/properties"/>
  </ds:schemaRefs>
</ds:datastoreItem>
</file>

<file path=customXml/itemProps3.xml><?xml version="1.0" encoding="utf-8"?>
<ds:datastoreItem xmlns:ds="http://schemas.openxmlformats.org/officeDocument/2006/customXml" ds:itemID="{4F54A3C7-A825-4AAE-9087-2CF234EB3A0C}"/>
</file>

<file path=customXml/itemProps4.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5.xml><?xml version="1.0" encoding="utf-8"?>
<ds:datastoreItem xmlns:ds="http://schemas.openxmlformats.org/officeDocument/2006/customXml" ds:itemID="{EAC36CA1-8A39-49F1-8E65-1BF18E608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3911</Characters>
  <Application>Microsoft Office Word</Application>
  <DocSecurity>0</DocSecurity>
  <Lines>69</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2019-09-18T19:32:00Z</dcterms:created>
  <dcterms:modified xsi:type="dcterms:W3CDTF">2019-09-20T14:10:00Z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0x0101005194912CC79E074DAB3011CC2E41714F</vt:lpwstr>
  </property>
  <property fmtid="{D5CDD505-2E9C-101B-9397-08002B2CF9AE}" pid="3" name="Document Category">
    <vt:lpwstr>Template</vt:lpwstr>
  </property>
  <property fmtid="{D5CDD505-2E9C-101B-9397-08002B2CF9AE}" pid="4" name="_dlc_DocIdItemGuid">
    <vt:lpwstr>38711c9b-479c-4533-a677-bf010249c705</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10269;#Unoffical Comment Form|6fe8d727-cebf-49ad-977b-6c39f718face</vt:lpwstr>
  </property>
  <property fmtid="{D5CDD505-2E9C-101B-9397-08002B2CF9AE}" pid="11" name="Document Status">
    <vt:lpwstr/>
  </property>
  <property fmtid="{D5CDD505-2E9C-101B-9397-08002B2CF9AE}" pid="12" name="Data Classification">
    <vt:lpwstr>1;#Confidential - Internal|aa40a886-0bc0-4ba6-a22c-37ccbc8c9bd8</vt:lpwstr>
  </property>
</Properties>
</file>