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E0E" w:rsidRPr="000304FB" w:rsidRDefault="00737E0E" w:rsidP="000773A1">
      <w:pPr>
        <w:pStyle w:val="DocumentTitle"/>
        <w:spacing w:before="480"/>
        <w:rPr>
          <w:szCs w:val="44"/>
        </w:rPr>
      </w:pPr>
      <w:bookmarkStart w:id="0" w:name="_Toc195946478"/>
      <w:r w:rsidRPr="000304FB">
        <w:rPr>
          <w:szCs w:val="44"/>
        </w:rPr>
        <w:t xml:space="preserve">Unofficial </w:t>
      </w:r>
      <w:r w:rsidR="00652F35">
        <w:rPr>
          <w:szCs w:val="44"/>
        </w:rPr>
        <w:t>Nomination</w:t>
      </w:r>
      <w:r w:rsidRPr="000304FB">
        <w:rPr>
          <w:szCs w:val="44"/>
        </w:rPr>
        <w:t xml:space="preserve"> Form</w:t>
      </w:r>
    </w:p>
    <w:p w:rsidR="00737E0E" w:rsidRDefault="00737E0E" w:rsidP="00737E0E">
      <w:pPr>
        <w:pStyle w:val="Heading1"/>
        <w:rPr>
          <w:b w:val="0"/>
          <w:bCs w:val="0"/>
          <w:color w:val="204C81"/>
          <w:sz w:val="32"/>
          <w:szCs w:val="32"/>
        </w:rPr>
      </w:pPr>
      <w:r w:rsidRPr="00C12F1A">
        <w:rPr>
          <w:b w:val="0"/>
          <w:bCs w:val="0"/>
          <w:color w:val="204C81"/>
          <w:sz w:val="32"/>
          <w:szCs w:val="32"/>
        </w:rPr>
        <w:t>Project 201</w:t>
      </w:r>
      <w:r w:rsidR="0093267F">
        <w:rPr>
          <w:b w:val="0"/>
          <w:bCs w:val="0"/>
          <w:color w:val="204C81"/>
          <w:sz w:val="32"/>
          <w:szCs w:val="32"/>
        </w:rPr>
        <w:t>9-04 Modifications to PRC-005-6</w:t>
      </w:r>
    </w:p>
    <w:p w:rsidR="00FD1345" w:rsidRDefault="00FD1345" w:rsidP="00FD1345">
      <w:pPr>
        <w:pStyle w:val="DocumentTitle"/>
        <w:rPr>
          <w:rFonts w:ascii="Verdana" w:hAnsi="Verdana"/>
          <w:sz w:val="24"/>
        </w:rPr>
      </w:pPr>
    </w:p>
    <w:p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521B6B">
          <w:rPr>
            <w:rStyle w:val="Hyperlink"/>
            <w:rFonts w:cs="Arial"/>
          </w:rPr>
          <w:t>electronic form</w:t>
        </w:r>
      </w:hyperlink>
      <w:r w:rsidR="00833311">
        <w:rPr>
          <w:rFonts w:cs="Arial"/>
        </w:rPr>
        <w:t xml:space="preserve"> </w:t>
      </w:r>
      <w:r>
        <w:rPr>
          <w:rFonts w:cs="Arial"/>
        </w:rPr>
        <w:t xml:space="preserve">to submit nominations </w:t>
      </w:r>
      <w:r w:rsidR="004857FE">
        <w:rPr>
          <w:rFonts w:cs="Arial"/>
        </w:rPr>
        <w:t xml:space="preserve">for </w:t>
      </w:r>
      <w:r w:rsidR="004857FE" w:rsidRPr="000C1D13">
        <w:rPr>
          <w:rFonts w:cs="Arial"/>
          <w:b/>
        </w:rPr>
        <w:t>Project 2019-04 Modifications to PRC-005-6</w:t>
      </w:r>
      <w:r w:rsidR="004857FE">
        <w:rPr>
          <w:rFonts w:cs="Arial"/>
        </w:rPr>
        <w:t xml:space="preserve"> drafting team members </w:t>
      </w:r>
      <w:r w:rsidR="00833311">
        <w:rPr>
          <w:rFonts w:cs="Arial"/>
        </w:rPr>
        <w:t>by</w:t>
      </w:r>
      <w:r>
        <w:rPr>
          <w:rFonts w:cs="Arial"/>
        </w:rPr>
        <w:t xml:space="preserve"> </w:t>
      </w:r>
      <w:r w:rsidR="00E377C1" w:rsidRPr="00733DF8">
        <w:rPr>
          <w:b/>
        </w:rPr>
        <w:t>8 p.</w:t>
      </w:r>
      <w:r w:rsidR="00E377C1">
        <w:rPr>
          <w:b/>
        </w:rPr>
        <w:t xml:space="preserve">m. Eastern, </w:t>
      </w:r>
      <w:r w:rsidR="004857FE">
        <w:rPr>
          <w:b/>
        </w:rPr>
        <w:t>Wednesday,</w:t>
      </w:r>
      <w:r w:rsidR="00E377C1">
        <w:rPr>
          <w:b/>
        </w:rPr>
        <w:t xml:space="preserve"> </w:t>
      </w:r>
      <w:r w:rsidR="00A410FC">
        <w:rPr>
          <w:b/>
        </w:rPr>
        <w:t>December 1</w:t>
      </w:r>
      <w:r w:rsidR="004857FE">
        <w:rPr>
          <w:b/>
        </w:rPr>
        <w:t>5</w:t>
      </w:r>
      <w:r w:rsidR="00E377C1" w:rsidRPr="00C12F1A">
        <w:rPr>
          <w:b/>
        </w:rPr>
        <w:t>, 20</w:t>
      </w:r>
      <w:r w:rsidR="00A410FC">
        <w:rPr>
          <w:b/>
        </w:rPr>
        <w:t>21</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rsidR="00737E0E" w:rsidRPr="00737E0E" w:rsidRDefault="00521B6B" w:rsidP="00737E0E">
      <w:pPr>
        <w:rPr>
          <w:rFonts w:ascii="Calibri" w:hAnsi="Calibri" w:cs="Arial"/>
        </w:rPr>
      </w:pPr>
      <w:r>
        <w:t>Se</w:t>
      </w:r>
      <w:bookmarkStart w:id="1" w:name="_GoBack"/>
      <w:bookmarkEnd w:id="1"/>
      <w:r>
        <w:t xml:space="preserve">e the </w:t>
      </w:r>
      <w:hyperlink r:id="rId12" w:history="1">
        <w:r w:rsidRPr="00436D04">
          <w:rPr>
            <w:rStyle w:val="Hyperlink"/>
          </w:rPr>
          <w:t>project page</w:t>
        </w:r>
      </w:hyperlink>
      <w:r>
        <w:t xml:space="preserve"> or </w:t>
      </w:r>
      <w:r w:rsidRPr="00AB7D84">
        <w:t xml:space="preserve">contact </w:t>
      </w:r>
      <w:r w:rsidRPr="00AA74FE">
        <w:rPr>
          <w:rFonts w:ascii="Calibri" w:eastAsia="Calibri" w:hAnsi="Calibri"/>
        </w:rPr>
        <w:t xml:space="preserve">Standards Developer, </w:t>
      </w:r>
      <w:hyperlink r:id="rId13" w:history="1">
        <w:r w:rsidR="00A410FC">
          <w:rPr>
            <w:rFonts w:ascii="Calibri" w:eastAsia="Calibri" w:hAnsi="Calibri"/>
            <w:color w:val="0000FF"/>
            <w:u w:val="single"/>
          </w:rPr>
          <w:t>Laura Anderson</w:t>
        </w:r>
      </w:hyperlink>
      <w:r w:rsidRPr="00AA74FE">
        <w:rPr>
          <w:rFonts w:ascii="Calibri" w:eastAsia="Calibri" w:hAnsi="Calibri"/>
        </w:rPr>
        <w:t xml:space="preserve"> (</w:t>
      </w:r>
      <w:r>
        <w:rPr>
          <w:rFonts w:ascii="Calibri" w:eastAsia="Calibri" w:hAnsi="Calibri"/>
        </w:rPr>
        <w:t>via email) or at (404) 446-9</w:t>
      </w:r>
      <w:r w:rsidR="00A410FC">
        <w:rPr>
          <w:rFonts w:ascii="Calibri" w:eastAsia="Calibri" w:hAnsi="Calibri"/>
        </w:rPr>
        <w:t>671</w:t>
      </w:r>
      <w:r>
        <w:rPr>
          <w:rFonts w:ascii="Calibri" w:eastAsia="Calibri" w:hAnsi="Calibri"/>
        </w:rPr>
        <w:t xml:space="preserve"> for more information or assistance</w:t>
      </w:r>
      <w:r w:rsidR="00737E0E" w:rsidRPr="00737E0E">
        <w:rPr>
          <w:rFonts w:ascii="Calibri" w:hAnsi="Calibri" w:cs="Arial"/>
        </w:rPr>
        <w:t>.</w:t>
      </w:r>
      <w:r w:rsidR="00737E0E" w:rsidRPr="00737E0E">
        <w:rPr>
          <w:rFonts w:ascii="Calibri" w:hAnsi="Calibri" w:cs="Arial"/>
        </w:rPr>
        <w:tab/>
      </w:r>
    </w:p>
    <w:p w:rsidR="00816016" w:rsidRPr="00737E0E" w:rsidRDefault="00816016" w:rsidP="00816016">
      <w:pPr>
        <w:rPr>
          <w:rFonts w:ascii="Calibri" w:hAnsi="Calibri" w:cs="Arial"/>
        </w:rPr>
      </w:pPr>
    </w:p>
    <w:p w:rsidR="0062446B" w:rsidRPr="00737E0E" w:rsidRDefault="0062446B" w:rsidP="00245468">
      <w:pPr>
        <w:ind w:left="-5" w:right="18"/>
        <w:rPr>
          <w:rFonts w:ascii="Calibri" w:hAnsi="Calibri" w:cs="Arial"/>
        </w:rPr>
      </w:pPr>
      <w:r w:rsidRPr="00737E0E">
        <w:rPr>
          <w:rFonts w:ascii="Calibri" w:hAnsi="Calibri" w:cs="Arial"/>
        </w:rPr>
        <w:t>By submitting a nomination form, you are indicating your willingness and agreement to actively</w:t>
      </w:r>
      <w:r w:rsidR="004671DE">
        <w:rPr>
          <w:rFonts w:ascii="Calibri" w:hAnsi="Calibri" w:cs="Arial"/>
        </w:rPr>
        <w:t xml:space="preserve"> </w:t>
      </w:r>
      <w:r w:rsidRPr="00737E0E">
        <w:rPr>
          <w:rFonts w:ascii="Calibri" w:hAnsi="Calibri" w:cs="Arial"/>
        </w:rPr>
        <w:t xml:space="preserve">participate in </w:t>
      </w:r>
      <w:r w:rsidR="00972C26" w:rsidRPr="00737E0E">
        <w:rPr>
          <w:rFonts w:ascii="Calibri" w:hAnsi="Calibri" w:cs="Arial"/>
        </w:rPr>
        <w:t xml:space="preserve">face-to-face meetings and </w:t>
      </w:r>
      <w:r w:rsidRPr="00737E0E">
        <w:rPr>
          <w:rFonts w:ascii="Calibri" w:hAnsi="Calibri" w:cs="Arial"/>
        </w:rPr>
        <w:t>conference calls.</w:t>
      </w:r>
    </w:p>
    <w:p w:rsidR="0062446B" w:rsidRDefault="0062446B" w:rsidP="0062446B">
      <w:pPr>
        <w:ind w:left="-5" w:right="378"/>
        <w:rPr>
          <w:color w:val="000000"/>
        </w:rPr>
      </w:pPr>
    </w:p>
    <w:p w:rsidR="002B29E4" w:rsidRDefault="0062446B" w:rsidP="00245468">
      <w:pPr>
        <w:ind w:left="-5" w:right="18"/>
        <w:rPr>
          <w:color w:val="000000"/>
        </w:rPr>
      </w:pPr>
      <w:r w:rsidRPr="000A661C">
        <w:rPr>
          <w:color w:val="000000"/>
        </w:rPr>
        <w:t>Previous drafting or review team experience is beneficial</w:t>
      </w:r>
      <w:r>
        <w:rPr>
          <w:color w:val="000000"/>
        </w:rPr>
        <w:t>,</w:t>
      </w:r>
      <w:r w:rsidRPr="000A661C">
        <w:rPr>
          <w:color w:val="000000"/>
        </w:rPr>
        <w:t xml:space="preserve"> but not required. A description of the desired qualifications, expected commitment, and other pertinent information is included below.</w:t>
      </w:r>
    </w:p>
    <w:p w:rsidR="00816016" w:rsidRDefault="00816016" w:rsidP="00816016">
      <w:pPr>
        <w:rPr>
          <w:rFonts w:ascii="Verdana" w:hAnsi="Verdana" w:cs="Arial"/>
          <w:sz w:val="20"/>
        </w:rPr>
      </w:pPr>
    </w:p>
    <w:p w:rsidR="00A410FC" w:rsidRDefault="009C0B03" w:rsidP="00A410FC">
      <w:r>
        <w:rPr>
          <w:rStyle w:val="BoxText"/>
          <w:rFonts w:ascii="Tahoma" w:hAnsi="Tahoma" w:cs="Tahoma"/>
          <w:sz w:val="22"/>
          <w:szCs w:val="22"/>
        </w:rPr>
        <w:t>B</w:t>
      </w:r>
      <w:r w:rsidR="00AD5531">
        <w:rPr>
          <w:rStyle w:val="BoxText"/>
          <w:rFonts w:ascii="Tahoma" w:hAnsi="Tahoma" w:cs="Tahoma"/>
          <w:sz w:val="22"/>
          <w:szCs w:val="22"/>
        </w:rPr>
        <w:t>ackground</w:t>
      </w:r>
      <w:r w:rsidR="00816016" w:rsidRPr="0062446B">
        <w:rPr>
          <w:rStyle w:val="BoxText"/>
          <w:rFonts w:ascii="Tahoma" w:hAnsi="Tahoma" w:cs="Tahoma"/>
          <w:sz w:val="22"/>
          <w:szCs w:val="22"/>
          <w:highlight w:val="yellow"/>
        </w:rPr>
        <w:br/>
      </w:r>
      <w:r w:rsidR="00A410FC" w:rsidRPr="00152119">
        <w:t xml:space="preserve">On May 14, 2019, NERC received a </w:t>
      </w:r>
      <w:r w:rsidR="00023317">
        <w:t>Standard Authorization Request (</w:t>
      </w:r>
      <w:r w:rsidR="00A410FC" w:rsidRPr="00152119">
        <w:t>SAR</w:t>
      </w:r>
      <w:r w:rsidR="00023317">
        <w:t>)</w:t>
      </w:r>
      <w:r w:rsidR="00A410FC" w:rsidRPr="00152119">
        <w:t xml:space="preserve"> from the North American Generator Forum (NAGF) seeking to revise Reliability Standard PRC-005-6 – Protection System, Automatic Reclosing, and Sudden Pressure Relaying Maintenance to clarify the applicability of PRC-005-6 to the protective functions within an Automatic Voltage Regulator (AVR) and provide the prescribed maintenance activities. The SAR also requests</w:t>
      </w:r>
      <w:r w:rsidR="00A410FC">
        <w:t xml:space="preserve"> </w:t>
      </w:r>
      <w:r w:rsidR="00A410FC" w:rsidRPr="00152119">
        <w:t xml:space="preserve">the PRC-005-6 Supplementary Reference and FAQ be updated to reflect the changes to the standard. </w:t>
      </w:r>
    </w:p>
    <w:p w:rsidR="00A410FC" w:rsidRDefault="00A410FC" w:rsidP="00A410FC"/>
    <w:p w:rsidR="00A410FC" w:rsidRDefault="00A410FC" w:rsidP="00A410FC">
      <w:r w:rsidRPr="00152119">
        <w:t>NERC staff reviewed the SAR and agree</w:t>
      </w:r>
      <w:r>
        <w:t>d</w:t>
      </w:r>
      <w:r w:rsidRPr="00152119">
        <w:t xml:space="preserve"> with the requestor that more clarity surrounding the maintenance of protective functions within digital AVRs would be beneficial. Furthermore, NERC staff recommend</w:t>
      </w:r>
      <w:r>
        <w:t>ed</w:t>
      </w:r>
      <w:r w:rsidR="00B44DA6">
        <w:t xml:space="preserve"> the future standard drafting t</w:t>
      </w:r>
      <w:r w:rsidRPr="00152119">
        <w:t xml:space="preserve">eam </w:t>
      </w:r>
      <w:r w:rsidR="00023317">
        <w:t xml:space="preserve">(SDT) </w:t>
      </w:r>
      <w:r w:rsidRPr="00152119">
        <w:t>convert the PRC-005-6 Supplementary Reference and FAQ into a Technical Rationale document and Implementation Guidance, if desired.</w:t>
      </w:r>
    </w:p>
    <w:p w:rsidR="00A410FC" w:rsidRDefault="00A410FC" w:rsidP="00A410FC"/>
    <w:p w:rsidR="00F77216" w:rsidRDefault="00A410FC" w:rsidP="00A410FC">
      <w:r>
        <w:t>The SAR was posted for industry comments July 30</w:t>
      </w:r>
      <w:r w:rsidR="00B44DA6">
        <w:t>-</w:t>
      </w:r>
      <w:r>
        <w:t>August 28, 2019, June 2</w:t>
      </w:r>
      <w:r w:rsidR="00B44DA6">
        <w:t>-</w:t>
      </w:r>
      <w:r>
        <w:t>July 8, 2020, and January 1</w:t>
      </w:r>
      <w:r w:rsidR="00B44DA6">
        <w:t>-</w:t>
      </w:r>
      <w:r>
        <w:t>February 26, 2021. On October 20, 2021 the Standards Committee</w:t>
      </w:r>
      <w:r w:rsidR="00F77216">
        <w:t>:</w:t>
      </w:r>
    </w:p>
    <w:p w:rsidR="00F77216" w:rsidRDefault="006E73A2" w:rsidP="00F77216">
      <w:pPr>
        <w:pStyle w:val="ListBullet"/>
      </w:pPr>
      <w:r>
        <w:t>a</w:t>
      </w:r>
      <w:r w:rsidR="00A410FC">
        <w:t xml:space="preserve">ccepted the revised </w:t>
      </w:r>
      <w:r w:rsidR="00072938">
        <w:t>SAR</w:t>
      </w:r>
      <w:r w:rsidR="004671DE">
        <w:t>;</w:t>
      </w:r>
    </w:p>
    <w:p w:rsidR="00072938" w:rsidRDefault="006E73A2" w:rsidP="00F77216">
      <w:pPr>
        <w:pStyle w:val="ListBullet"/>
      </w:pPr>
      <w:r>
        <w:t>a</w:t>
      </w:r>
      <w:r w:rsidR="00023317">
        <w:t xml:space="preserve">uthorized </w:t>
      </w:r>
      <w:r w:rsidR="004671DE">
        <w:t>drafting revisions to PRC-005-6;</w:t>
      </w:r>
    </w:p>
    <w:p w:rsidR="00072938" w:rsidRDefault="006E73A2" w:rsidP="00F77216">
      <w:pPr>
        <w:pStyle w:val="ListBullet"/>
      </w:pPr>
      <w:r>
        <w:t>a</w:t>
      </w:r>
      <w:r w:rsidR="00A410FC">
        <w:t xml:space="preserve">ppointed the SAR </w:t>
      </w:r>
      <w:r w:rsidR="00023317">
        <w:t xml:space="preserve">DT </w:t>
      </w:r>
      <w:r w:rsidR="00A410FC">
        <w:t xml:space="preserve">as the </w:t>
      </w:r>
      <w:r w:rsidR="00072938">
        <w:t>SDT</w:t>
      </w:r>
      <w:r w:rsidR="004671DE">
        <w:t>;</w:t>
      </w:r>
      <w:r w:rsidR="00072938">
        <w:t xml:space="preserve"> and</w:t>
      </w:r>
    </w:p>
    <w:p w:rsidR="00A410FC" w:rsidRDefault="006E73A2" w:rsidP="00F77216">
      <w:pPr>
        <w:pStyle w:val="ListBullet"/>
      </w:pPr>
      <w:r>
        <w:t>a</w:t>
      </w:r>
      <w:r w:rsidR="00023317">
        <w:t>uthorized a 30-day nomination</w:t>
      </w:r>
      <w:r w:rsidR="00B44DA6">
        <w:t xml:space="preserve"> solicitation for </w:t>
      </w:r>
      <w:r w:rsidR="00023317">
        <w:t xml:space="preserve">additional </w:t>
      </w:r>
      <w:r w:rsidR="00B44DA6">
        <w:t>SDT members</w:t>
      </w:r>
      <w:r>
        <w:t>.</w:t>
      </w:r>
    </w:p>
    <w:p w:rsidR="00023317" w:rsidRDefault="00023317" w:rsidP="00A410FC"/>
    <w:p w:rsidR="00453F32" w:rsidRPr="00453F32" w:rsidRDefault="00453F32" w:rsidP="0093267F">
      <w:pPr>
        <w:rPr>
          <w:rStyle w:val="BoxText"/>
          <w:rFonts w:ascii="Tahoma" w:hAnsi="Tahoma" w:cs="Tahoma"/>
          <w:sz w:val="22"/>
          <w:szCs w:val="22"/>
        </w:rPr>
      </w:pPr>
      <w:r w:rsidRPr="00453F32">
        <w:rPr>
          <w:rStyle w:val="BoxText"/>
          <w:rFonts w:ascii="Tahoma" w:hAnsi="Tahoma" w:cs="Tahoma"/>
          <w:sz w:val="22"/>
          <w:szCs w:val="22"/>
        </w:rPr>
        <w:t>Purpose/Industry Need</w:t>
      </w:r>
    </w:p>
    <w:p w:rsidR="00023317" w:rsidRDefault="00023317" w:rsidP="00023317">
      <w:pPr>
        <w:pStyle w:val="TableParagraph"/>
        <w:kinsoku w:val="0"/>
        <w:overflowPunct w:val="0"/>
        <w:spacing w:line="290" w:lineRule="atLeast"/>
        <w:ind w:left="0"/>
      </w:pPr>
      <w:r w:rsidRPr="00EA2170">
        <w:t xml:space="preserve">In </w:t>
      </w:r>
      <w:r>
        <w:t>June</w:t>
      </w:r>
      <w:r w:rsidRPr="00EA2170">
        <w:t xml:space="preserve"> of 2016, </w:t>
      </w:r>
      <w:r>
        <w:t>Xcel</w:t>
      </w:r>
      <w:r w:rsidRPr="00C11901">
        <w:t xml:space="preserve"> Energy</w:t>
      </w:r>
      <w:r w:rsidRPr="00C12A2E">
        <w:t xml:space="preserve"> </w:t>
      </w:r>
      <w:r>
        <w:t>submitted a Request for Interpretation</w:t>
      </w:r>
      <w:r>
        <w:rPr>
          <w:rStyle w:val="FootnoteReference"/>
        </w:rPr>
        <w:footnoteReference w:id="1"/>
      </w:r>
      <w:r>
        <w:t xml:space="preserve"> (</w:t>
      </w:r>
      <w:r w:rsidRPr="00EA2170">
        <w:t>RFI</w:t>
      </w:r>
      <w:r>
        <w:t>) to NERC</w:t>
      </w:r>
      <w:r w:rsidRPr="00C12A2E">
        <w:t xml:space="preserve"> seeking clarification</w:t>
      </w:r>
      <w:r w:rsidRPr="002C69C1">
        <w:t xml:space="preserve"> on </w:t>
      </w:r>
      <w:r w:rsidRPr="002C69C1">
        <w:lastRenderedPageBreak/>
        <w:t xml:space="preserve">what equipment should be included in the scope of an entity’s Protection System </w:t>
      </w:r>
      <w:r>
        <w:t>Maintenance Program relative to NERC Reliability Standard PRC-005-6. Xcel Energy noted that many modern generator excitation systems have the capability to respond to electrical quantities and initiate trip signals to either the generator lockout or generator output breaker. Xcel Energy asked whether a protection function (if enabled) that is embedded in a generator’s excitation system or voltage regulator would meet the definition of Protection System, and therefore be included in the scope of PRC-005-6. The RFI was rejected by the NERC Standards Committee at the recommendation of NERC staff, the standards developer, and leadership of the PRC-005-6 D</w:t>
      </w:r>
      <w:r w:rsidR="00072938">
        <w:t>T</w:t>
      </w:r>
      <w:r>
        <w:t xml:space="preserve"> for the following reason:</w:t>
      </w:r>
    </w:p>
    <w:p w:rsidR="00023317" w:rsidRDefault="00023317" w:rsidP="00023317">
      <w:pPr>
        <w:pStyle w:val="TableParagraph"/>
        <w:kinsoku w:val="0"/>
        <w:overflowPunct w:val="0"/>
        <w:spacing w:line="290" w:lineRule="atLeast"/>
        <w:ind w:left="0"/>
      </w:pPr>
    </w:p>
    <w:p w:rsidR="00023317" w:rsidRDefault="00023317" w:rsidP="00023317">
      <w:pPr>
        <w:pStyle w:val="TableParagraph"/>
        <w:kinsoku w:val="0"/>
        <w:overflowPunct w:val="0"/>
        <w:spacing w:line="290" w:lineRule="atLeast"/>
        <w:ind w:left="0"/>
      </w:pPr>
      <w:r>
        <w:t>"The generator excitation systems and voltage regulators described in Xcel Energy’s RFI are capable of monitoring electrical quantities, such as voltage or current, and responding to those quantities, by causing a trip of the generator in response to these signals. Therefore, it is clear that these embedded protective functions, if enabled, would be included in the scope of Reliability Standard PRC-005-6 as set out in the Applicability section of the standard."</w:t>
      </w:r>
    </w:p>
    <w:p w:rsidR="00023317" w:rsidRDefault="00023317" w:rsidP="00023317">
      <w:pPr>
        <w:pStyle w:val="TableParagraph"/>
        <w:kinsoku w:val="0"/>
        <w:overflowPunct w:val="0"/>
        <w:spacing w:line="290" w:lineRule="atLeast"/>
        <w:ind w:left="0"/>
      </w:pPr>
    </w:p>
    <w:p w:rsidR="00023317" w:rsidRDefault="00023317" w:rsidP="00023317">
      <w:pPr>
        <w:pStyle w:val="TableParagraph"/>
        <w:kinsoku w:val="0"/>
        <w:overflowPunct w:val="0"/>
        <w:spacing w:line="290" w:lineRule="atLeast"/>
        <w:ind w:left="0"/>
        <w:rPr>
          <w:color w:val="FF0000"/>
        </w:rPr>
      </w:pPr>
      <w:r>
        <w:t xml:space="preserve">Despite this perceived clarity, </w:t>
      </w:r>
      <w:r w:rsidRPr="00EA2170">
        <w:t xml:space="preserve">the NAGF received feedback from members indicating that significant confusion </w:t>
      </w:r>
      <w:r>
        <w:t>still remains</w:t>
      </w:r>
      <w:r w:rsidRPr="00EA2170">
        <w:t xml:space="preserve"> throughout the industry regarding the applicability of protective functions inside synchronous generator excitation systems to PRC-005. </w:t>
      </w:r>
      <w:r>
        <w:t xml:space="preserve">Consequently, in May 2019, the NAGF submitted a </w:t>
      </w:r>
      <w:r w:rsidRPr="00EA2170">
        <w:t xml:space="preserve">SAR </w:t>
      </w:r>
      <w:r>
        <w:t xml:space="preserve">to NERC requesting revisions be made to PRC-005-6 that would provide clear and unambiguous language within the standard pertaining to the applicability of protective functions within an </w:t>
      </w:r>
      <w:r w:rsidRPr="00F12800">
        <w:t>Automatic Voltage Regulator</w:t>
      </w:r>
      <w:r>
        <w:t>s</w:t>
      </w:r>
      <w:r w:rsidRPr="00F12800">
        <w:t xml:space="preserve"> (AVR</w:t>
      </w:r>
      <w:r>
        <w:t>) and any maintenance requirements</w:t>
      </w:r>
      <w:r w:rsidRPr="001C764C">
        <w:t xml:space="preserve"> </w:t>
      </w:r>
      <w:r>
        <w:t>(activities and intervals) associated with those protective functions.</w:t>
      </w:r>
      <w:r>
        <w:rPr>
          <w:color w:val="FF0000"/>
        </w:rPr>
        <w:t xml:space="preserve"> </w:t>
      </w:r>
    </w:p>
    <w:p w:rsidR="00023317" w:rsidRDefault="00023317" w:rsidP="00023317">
      <w:pPr>
        <w:pStyle w:val="TableParagraph"/>
        <w:kinsoku w:val="0"/>
        <w:overflowPunct w:val="0"/>
        <w:spacing w:line="290" w:lineRule="atLeast"/>
        <w:ind w:left="0"/>
        <w:rPr>
          <w:color w:val="FF0000"/>
        </w:rPr>
      </w:pPr>
    </w:p>
    <w:p w:rsidR="00023317" w:rsidRDefault="00023317" w:rsidP="00023317">
      <w:pPr>
        <w:pStyle w:val="TableParagraph"/>
        <w:kinsoku w:val="0"/>
        <w:overflowPunct w:val="0"/>
        <w:spacing w:line="290" w:lineRule="atLeast"/>
        <w:ind w:left="0"/>
      </w:pPr>
      <w:r>
        <w:t>Per the standards development process, the SAR was posted and a SAR DT was formed to consider the comments received from industry and modify the SAR as appropriate to establish the project scope (parameters of work) for t</w:t>
      </w:r>
      <w:r w:rsidR="00072938">
        <w:t xml:space="preserve">he future </w:t>
      </w:r>
      <w:r>
        <w:t xml:space="preserve">SDT. In response to industry comments from </w:t>
      </w:r>
      <w:r w:rsidR="00072938">
        <w:t xml:space="preserve">the </w:t>
      </w:r>
      <w:r>
        <w:t>three postings</w:t>
      </w:r>
      <w:r w:rsidR="006E73A2">
        <w:t xml:space="preserve"> described above</w:t>
      </w:r>
      <w:r>
        <w:t xml:space="preserve">, the SAR DT revised the project scope and </w:t>
      </w:r>
      <w:r w:rsidR="00697944">
        <w:t xml:space="preserve">suggests that </w:t>
      </w:r>
      <w:r>
        <w:t>the future SDT m</w:t>
      </w:r>
      <w:r w:rsidR="00697944">
        <w:t>odifies</w:t>
      </w:r>
      <w:r w:rsidRPr="002410C9">
        <w:t xml:space="preserve"> PRC-005</w:t>
      </w:r>
      <w:r>
        <w:t>-6</w:t>
      </w:r>
      <w:r w:rsidRPr="002410C9">
        <w:t xml:space="preserve"> to</w:t>
      </w:r>
      <w:r w:rsidR="00697944">
        <w:t xml:space="preserve"> do the following</w:t>
      </w:r>
      <w:r>
        <w:t>:</w:t>
      </w:r>
    </w:p>
    <w:p w:rsidR="00023317" w:rsidRDefault="00023317" w:rsidP="006E73A2">
      <w:pPr>
        <w:pStyle w:val="ListBullet"/>
      </w:pPr>
      <w:r>
        <w:t>Clarif</w:t>
      </w:r>
      <w:r w:rsidRPr="002410C9">
        <w:t>y that BES protective functions enabled within anal</w:t>
      </w:r>
      <w:r>
        <w:t>og/d</w:t>
      </w:r>
      <w:r w:rsidRPr="002410C9">
        <w:t xml:space="preserve">igital AVRs, excitation systems, and BES protective functions enabled within control systems that respond to measured BES electrical quantities and trip BES </w:t>
      </w:r>
      <w:r>
        <w:t>E</w:t>
      </w:r>
      <w:r w:rsidRPr="002410C9">
        <w:t>lements either directly or via lockout or auxiliary tripping relays</w:t>
      </w:r>
      <w:r>
        <w:t xml:space="preserve"> </w:t>
      </w:r>
      <w:r w:rsidRPr="001A72A5">
        <w:t>are within the scope of the standard</w:t>
      </w:r>
      <w:r>
        <w:t>, and include updates to associated maintenance tables as necessary.</w:t>
      </w:r>
    </w:p>
    <w:p w:rsidR="00023317" w:rsidRDefault="00023317" w:rsidP="006E73A2">
      <w:pPr>
        <w:pStyle w:val="ListBullet"/>
      </w:pPr>
      <w:r>
        <w:t xml:space="preserve">Include new </w:t>
      </w:r>
      <w:r w:rsidRPr="003555CD">
        <w:t xml:space="preserve">DC supplies (e.g., lithium ion, flow) for Protection Systems </w:t>
      </w:r>
      <w:r>
        <w:t xml:space="preserve">in the </w:t>
      </w:r>
      <w:r w:rsidRPr="003555CD">
        <w:t xml:space="preserve">maintenance </w:t>
      </w:r>
      <w:r>
        <w:t>tables</w:t>
      </w:r>
      <w:r w:rsidRPr="003555CD">
        <w:t>.</w:t>
      </w:r>
    </w:p>
    <w:p w:rsidR="00023317" w:rsidRDefault="00023317" w:rsidP="006E73A2">
      <w:pPr>
        <w:pStyle w:val="ListBullet"/>
      </w:pPr>
      <w:r>
        <w:t xml:space="preserve">Include </w:t>
      </w:r>
      <w:r>
        <w:rPr>
          <w:bCs/>
        </w:rPr>
        <w:t>e</w:t>
      </w:r>
      <w:r w:rsidRPr="00EA2170">
        <w:rPr>
          <w:bCs/>
        </w:rPr>
        <w:t xml:space="preserve">ntities registered as </w:t>
      </w:r>
      <w:r w:rsidRPr="00EA2170">
        <w:t>UFLS-Only D</w:t>
      </w:r>
      <w:r>
        <w:t>istribution Providers in the Applicability s</w:t>
      </w:r>
      <w:r w:rsidRPr="00EE3320">
        <w:t>ectio</w:t>
      </w:r>
      <w:r>
        <w:t>n to</w:t>
      </w:r>
      <w:r w:rsidRPr="00EA2170">
        <w:t xml:space="preserve"> </w:t>
      </w:r>
      <w:r w:rsidRPr="00EE3320">
        <w:t>be consistent</w:t>
      </w:r>
      <w:r>
        <w:t xml:space="preserve"> with changes made to the NERC’s </w:t>
      </w:r>
      <w:r w:rsidRPr="00EA2170">
        <w:t>FERC-approved Risk-Based Registration</w:t>
      </w:r>
      <w:r>
        <w:t>.</w:t>
      </w:r>
    </w:p>
    <w:p w:rsidR="00023317" w:rsidRDefault="00023317" w:rsidP="00023317">
      <w:pPr>
        <w:pStyle w:val="TableParagraph"/>
        <w:kinsoku w:val="0"/>
        <w:overflowPunct w:val="0"/>
        <w:spacing w:line="290" w:lineRule="atLeast"/>
        <w:ind w:left="720"/>
      </w:pPr>
    </w:p>
    <w:p w:rsidR="00023317" w:rsidRDefault="00023317" w:rsidP="00023317">
      <w:pPr>
        <w:pStyle w:val="TableParagraph"/>
        <w:kinsoku w:val="0"/>
        <w:overflowPunct w:val="0"/>
        <w:spacing w:line="290" w:lineRule="atLeast"/>
        <w:ind w:left="0"/>
      </w:pPr>
      <w:r>
        <w:t xml:space="preserve">Additionally, the future SDT should update </w:t>
      </w:r>
      <w:r w:rsidRPr="00B73731">
        <w:t xml:space="preserve">the PRC-005-6 Supplementary Reference and FAQ to align with </w:t>
      </w:r>
      <w:r>
        <w:t xml:space="preserve">all </w:t>
      </w:r>
      <w:r w:rsidRPr="00B73731">
        <w:t xml:space="preserve">revisions </w:t>
      </w:r>
      <w:r>
        <w:t xml:space="preserve">made </w:t>
      </w:r>
      <w:r w:rsidRPr="00B73731">
        <w:t xml:space="preserve">to </w:t>
      </w:r>
      <w:r>
        <w:t>the standard.</w:t>
      </w:r>
    </w:p>
    <w:p w:rsidR="00245468" w:rsidRDefault="00245468" w:rsidP="00023317">
      <w:pPr>
        <w:pStyle w:val="TableParagraph"/>
        <w:kinsoku w:val="0"/>
        <w:overflowPunct w:val="0"/>
        <w:spacing w:line="290" w:lineRule="atLeast"/>
        <w:ind w:left="0"/>
      </w:pPr>
    </w:p>
    <w:p w:rsidR="00023317" w:rsidRDefault="00023317" w:rsidP="00023317">
      <w:pPr>
        <w:pStyle w:val="TableParagraph"/>
        <w:kinsoku w:val="0"/>
        <w:overflowPunct w:val="0"/>
        <w:spacing w:line="290" w:lineRule="atLeast"/>
        <w:ind w:left="0"/>
      </w:pPr>
      <w:r>
        <w:t xml:space="preserve">To provide specificity and remove ambiguity, the future SDT should also consider revising the applicability section of the standard, developing new </w:t>
      </w:r>
      <w:r w:rsidRPr="001A72A5">
        <w:t>terms</w:t>
      </w:r>
      <w:r>
        <w:t xml:space="preserve"> and/or revising existing terms in the NERC Glossary of Terms, adding and/or </w:t>
      </w:r>
      <w:r w:rsidRPr="001A72A5">
        <w:t>modifying maintenance activities and intervals</w:t>
      </w:r>
      <w:r>
        <w:t xml:space="preserve"> in the maintenance tables</w:t>
      </w:r>
      <w:r w:rsidRPr="001A72A5">
        <w:t xml:space="preserve">, </w:t>
      </w:r>
      <w:r>
        <w:t xml:space="preserve">and making </w:t>
      </w:r>
      <w:r w:rsidRPr="001A72A5">
        <w:t xml:space="preserve">other modifications </w:t>
      </w:r>
      <w:r>
        <w:t xml:space="preserve">as </w:t>
      </w:r>
      <w:r w:rsidRPr="001A72A5">
        <w:t>needed.</w:t>
      </w:r>
    </w:p>
    <w:p w:rsidR="00500E26" w:rsidRPr="00500E26" w:rsidRDefault="00500E26" w:rsidP="00500E26">
      <w:pPr>
        <w:pStyle w:val="ListBullet"/>
        <w:numPr>
          <w:ilvl w:val="0"/>
          <w:numId w:val="0"/>
        </w:numPr>
        <w:spacing w:before="0"/>
        <w:ind w:left="360" w:hanging="360"/>
        <w:rPr>
          <w:color w:val="000000"/>
          <w:sz w:val="18"/>
          <w:szCs w:val="18"/>
        </w:rPr>
      </w:pPr>
    </w:p>
    <w:p w:rsidR="008A7528" w:rsidRDefault="00737E0E" w:rsidP="00500E26">
      <w:pPr>
        <w:pStyle w:val="ListBullet"/>
        <w:numPr>
          <w:ilvl w:val="0"/>
          <w:numId w:val="0"/>
        </w:numPr>
        <w:spacing w:before="0"/>
        <w:ind w:left="360" w:hanging="360"/>
        <w:rPr>
          <w:color w:val="000000"/>
        </w:rPr>
      </w:pPr>
      <w:r>
        <w:rPr>
          <w:color w:val="000000"/>
        </w:rPr>
        <w:lastRenderedPageBreak/>
        <w:t>NERC is seeking individuals from the United States and Canada who possess knowledge and expertise in</w:t>
      </w:r>
      <w:r w:rsidR="008A7528">
        <w:rPr>
          <w:color w:val="000000"/>
        </w:rPr>
        <w:t>:</w:t>
      </w:r>
      <w:r>
        <w:rPr>
          <w:color w:val="000000"/>
        </w:rPr>
        <w:t xml:space="preserve"> </w:t>
      </w:r>
    </w:p>
    <w:p w:rsidR="007740DC" w:rsidRDefault="009C0B03" w:rsidP="004671DE">
      <w:pPr>
        <w:pStyle w:val="ListBullet"/>
        <w:rPr>
          <w:color w:val="000000"/>
        </w:rPr>
      </w:pPr>
      <w:r>
        <w:t>Protection System station direct current (DC) supply technologies</w:t>
      </w:r>
      <w:r w:rsidR="008A7528">
        <w:t>; and</w:t>
      </w:r>
    </w:p>
    <w:p w:rsidR="008A7528" w:rsidRDefault="008A7528" w:rsidP="004671DE">
      <w:pPr>
        <w:pStyle w:val="ListBullet"/>
      </w:pPr>
      <w:r>
        <w:rPr>
          <w:color w:val="000000"/>
        </w:rPr>
        <w:t>Transmission and Distribution</w:t>
      </w:r>
    </w:p>
    <w:p w:rsidR="000C1D13" w:rsidRPr="00500E26" w:rsidRDefault="000C1D13" w:rsidP="000C1D13">
      <w:pPr>
        <w:spacing w:line="259" w:lineRule="auto"/>
        <w:rPr>
          <w:rFonts w:cs="Arial"/>
          <w:sz w:val="18"/>
          <w:szCs w:val="18"/>
        </w:rPr>
      </w:pPr>
    </w:p>
    <w:p w:rsidR="00737E0E" w:rsidRPr="00731886" w:rsidRDefault="00737E0E" w:rsidP="000C1D13">
      <w:pPr>
        <w:spacing w:line="259" w:lineRule="auto"/>
        <w:rPr>
          <w:rFonts w:cs="Arial"/>
        </w:rPr>
      </w:pPr>
      <w:r w:rsidRPr="00481522">
        <w:rPr>
          <w:rFonts w:cs="Arial"/>
        </w:rPr>
        <w:t>NERC is also seeking individuals w</w:t>
      </w:r>
      <w:r w:rsidR="00652F35" w:rsidRPr="00481522">
        <w:rPr>
          <w:rFonts w:cs="Arial"/>
        </w:rPr>
        <w:t>ho have facilitation skills or legal/</w:t>
      </w:r>
      <w:r w:rsidRPr="00481522">
        <w:rPr>
          <w:rFonts w:cs="Arial"/>
        </w:rPr>
        <w:t xml:space="preserve">technical writing backgrounds as well as those who have experience with developing standards inside or outside the NERC </w:t>
      </w:r>
      <w:r w:rsidR="00652F35" w:rsidRPr="00481522">
        <w:rPr>
          <w:rFonts w:cs="Arial"/>
        </w:rPr>
        <w:t xml:space="preserve">development </w:t>
      </w:r>
      <w:r w:rsidRPr="00481522">
        <w:rPr>
          <w:rFonts w:cs="Arial"/>
        </w:rPr>
        <w:t>process (e.g., IEEE, NAESB, ANSI, etc.). Such experience should be highlighted in the information submitted, if applicable.</w:t>
      </w:r>
    </w:p>
    <w:p w:rsidR="000C1D13" w:rsidRPr="00500E26" w:rsidRDefault="000C1D13" w:rsidP="00521B6B">
      <w:pPr>
        <w:ind w:left="-5" w:right="378"/>
        <w:rPr>
          <w:color w:val="000000"/>
          <w:sz w:val="18"/>
          <w:szCs w:val="18"/>
        </w:rPr>
      </w:pPr>
    </w:p>
    <w:p w:rsidR="00260BED" w:rsidRDefault="00487E9F" w:rsidP="00245468">
      <w:pPr>
        <w:ind w:left="-5" w:right="1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w:t>
      </w:r>
      <w:r w:rsidR="00652F35">
        <w:rPr>
          <w:color w:val="000000"/>
        </w:rPr>
        <w:t>Last</w:t>
      </w:r>
      <w:r w:rsidRPr="004C0DCD">
        <w:rPr>
          <w:color w:val="000000"/>
        </w:rPr>
        <w:t xml:space="preserve">,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rsidR="00521B6B" w:rsidRDefault="00521B6B" w:rsidP="00521B6B">
      <w:pPr>
        <w:ind w:left="-5" w:right="378"/>
        <w:rPr>
          <w:color w:val="000000"/>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rsidTr="00202BB5">
        <w:trPr>
          <w:trHeight w:val="413"/>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67"/>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458"/>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1232"/>
          <w:jc w:val="center"/>
        </w:trPr>
        <w:tc>
          <w:tcPr>
            <w:tcW w:w="10356" w:type="dxa"/>
            <w:gridSpan w:val="2"/>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202BB5">
        <w:tblPrEx>
          <w:tblLook w:val="01E0" w:firstRow="1" w:lastRow="1" w:firstColumn="1" w:lastColumn="1" w:noHBand="0" w:noVBand="0"/>
        </w:tblPrEx>
        <w:trPr>
          <w:trHeight w:val="485"/>
          <w:jc w:val="center"/>
        </w:trPr>
        <w:tc>
          <w:tcPr>
            <w:tcW w:w="10356" w:type="dxa"/>
            <w:gridSpan w:val="2"/>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4592C">
              <w:rPr>
                <w:rFonts w:cs="Arial"/>
              </w:rPr>
            </w:r>
            <w:r w:rsidR="0034592C">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4592C">
              <w:rPr>
                <w:rFonts w:cs="Arial"/>
              </w:rPr>
            </w:r>
            <w:r w:rsidR="0034592C">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4592C">
              <w:rPr>
                <w:rFonts w:cs="Arial"/>
              </w:rPr>
            </w:r>
            <w:r w:rsidR="0034592C">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4592C">
              <w:rPr>
                <w:rFonts w:cs="Arial"/>
              </w:rPr>
            </w:r>
            <w:r w:rsidR="0034592C">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bl>
    <w:p w:rsidR="00425FE0" w:rsidRDefault="00425FE0"/>
    <w:p w:rsidR="00500E26" w:rsidRDefault="00500E26">
      <w:r>
        <w:br w:type="page"/>
      </w:r>
    </w:p>
    <w:p w:rsidR="009C0B03" w:rsidRDefault="009C0B03"/>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rsidTr="00202BB5">
        <w:trPr>
          <w:trHeight w:val="621"/>
          <w:jc w:val="center"/>
        </w:trPr>
        <w:tc>
          <w:tcPr>
            <w:tcW w:w="10356" w:type="dxa"/>
            <w:gridSpan w:val="3"/>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CB2A60">
        <w:tblPrEx>
          <w:tblLook w:val="0000" w:firstRow="0" w:lastRow="0" w:firstColumn="0" w:lastColumn="0" w:noHBand="0" w:noVBand="0"/>
        </w:tblPrEx>
        <w:trPr>
          <w:cantSplit/>
          <w:trHeight w:val="1169"/>
          <w:jc w:val="center"/>
        </w:trPr>
        <w:tc>
          <w:tcPr>
            <w:tcW w:w="2164" w:type="dxa"/>
          </w:tcPr>
          <w:p w:rsidR="00CB2A60" w:rsidRPr="00193AE7" w:rsidRDefault="00C87293" w:rsidP="00CB2A60">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4592C">
              <w:rPr>
                <w:rStyle w:val="BoxText"/>
                <w:rFonts w:asciiTheme="minorHAnsi" w:hAnsiTheme="minorHAnsi"/>
                <w:b w:val="0"/>
                <w:sz w:val="24"/>
              </w:rPr>
            </w:r>
            <w:r w:rsidR="0034592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CB2A60">
              <w:rPr>
                <w:rStyle w:val="BoxText"/>
                <w:rFonts w:asciiTheme="minorHAnsi" w:hAnsiTheme="minorHAnsi"/>
                <w:b w:val="0"/>
                <w:sz w:val="24"/>
              </w:rPr>
              <w:br/>
            </w:r>
            <w:r w:rsidR="00CB2A60" w:rsidRPr="00193AE7">
              <w:rPr>
                <w:rStyle w:val="BoxText"/>
                <w:rFonts w:asciiTheme="minorHAnsi" w:hAnsiTheme="minorHAnsi"/>
                <w:b w:val="0"/>
                <w:sz w:val="24"/>
              </w:rPr>
              <w:fldChar w:fldCharType="begin">
                <w:ffData>
                  <w:name w:val="Check4"/>
                  <w:enabled/>
                  <w:calcOnExit w:val="0"/>
                  <w:checkBox>
                    <w:sizeAuto/>
                    <w:default w:val="0"/>
                  </w:checkBox>
                </w:ffData>
              </w:fldChar>
            </w:r>
            <w:r w:rsidR="00CB2A60" w:rsidRPr="00193AE7">
              <w:rPr>
                <w:rStyle w:val="BoxText"/>
                <w:rFonts w:asciiTheme="minorHAnsi" w:hAnsiTheme="minorHAnsi"/>
                <w:b w:val="0"/>
                <w:sz w:val="24"/>
              </w:rPr>
              <w:instrText xml:space="preserve"> FORMCHECKBOX </w:instrText>
            </w:r>
            <w:r w:rsidR="0034592C">
              <w:rPr>
                <w:rStyle w:val="BoxText"/>
                <w:rFonts w:asciiTheme="minorHAnsi" w:hAnsiTheme="minorHAnsi"/>
                <w:b w:val="0"/>
                <w:sz w:val="24"/>
              </w:rPr>
            </w:r>
            <w:r w:rsidR="0034592C">
              <w:rPr>
                <w:rStyle w:val="BoxText"/>
                <w:rFonts w:asciiTheme="minorHAnsi" w:hAnsiTheme="minorHAnsi"/>
                <w:b w:val="0"/>
                <w:sz w:val="24"/>
              </w:rPr>
              <w:fldChar w:fldCharType="separate"/>
            </w:r>
            <w:r w:rsidR="00CB2A60" w:rsidRPr="00193AE7">
              <w:rPr>
                <w:rStyle w:val="BoxText"/>
                <w:rFonts w:asciiTheme="minorHAnsi" w:hAnsiTheme="minorHAnsi"/>
                <w:b w:val="0"/>
                <w:sz w:val="24"/>
              </w:rPr>
              <w:fldChar w:fldCharType="end"/>
            </w:r>
            <w:r w:rsidR="00CB2A60" w:rsidRPr="00193AE7">
              <w:rPr>
                <w:rStyle w:val="BoxText"/>
                <w:rFonts w:asciiTheme="minorHAnsi" w:hAnsiTheme="minorHAnsi"/>
                <w:b w:val="0"/>
                <w:sz w:val="24"/>
              </w:rPr>
              <w:t xml:space="preserve"> NPCC</w:t>
            </w:r>
          </w:p>
          <w:p w:rsidR="00FD1345" w:rsidRPr="00193AE7" w:rsidRDefault="00FD1345" w:rsidP="00DB028B">
            <w:pPr>
              <w:spacing w:before="60" w:after="60"/>
              <w:ind w:left="72"/>
              <w:rPr>
                <w:rStyle w:val="BoxText"/>
                <w:rFonts w:asciiTheme="minorHAnsi" w:hAnsiTheme="minorHAnsi"/>
                <w:b w:val="0"/>
                <w:sz w:val="24"/>
              </w:rPr>
            </w:pP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4592C">
              <w:rPr>
                <w:rStyle w:val="BoxText"/>
                <w:rFonts w:asciiTheme="minorHAnsi" w:hAnsiTheme="minorHAnsi"/>
                <w:b w:val="0"/>
                <w:sz w:val="24"/>
              </w:rPr>
            </w:r>
            <w:r w:rsidR="0034592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4592C">
              <w:rPr>
                <w:rStyle w:val="BoxText"/>
                <w:rFonts w:asciiTheme="minorHAnsi" w:hAnsiTheme="minorHAnsi"/>
                <w:b w:val="0"/>
                <w:sz w:val="24"/>
              </w:rPr>
            </w:r>
            <w:r w:rsidR="0034592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rsidR="00CB2A60" w:rsidRDefault="00CB2A60"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4592C">
              <w:rPr>
                <w:rStyle w:val="BoxText"/>
                <w:rFonts w:asciiTheme="minorHAnsi" w:hAnsiTheme="minorHAnsi"/>
                <w:b w:val="0"/>
                <w:sz w:val="24"/>
              </w:rPr>
            </w:r>
            <w:r w:rsidR="0034592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34592C">
              <w:rPr>
                <w:rStyle w:val="BoxText"/>
                <w:rFonts w:asciiTheme="minorHAnsi" w:hAnsiTheme="minorHAnsi"/>
                <w:b w:val="0"/>
                <w:sz w:val="24"/>
              </w:rPr>
            </w:r>
            <w:r w:rsidR="0034592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4592C">
              <w:rPr>
                <w:rFonts w:cs="Arial"/>
              </w:rPr>
            </w:r>
            <w:r w:rsidR="0034592C">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rsidTr="00202BB5">
        <w:trPr>
          <w:trHeight w:val="621"/>
          <w:jc w:val="center"/>
        </w:trPr>
        <w:tc>
          <w:tcPr>
            <w:tcW w:w="10356" w:type="dxa"/>
            <w:gridSpan w:val="2"/>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202BB5">
        <w:trPr>
          <w:cantSplit/>
          <w:trHeight w:val="51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202BB5">
        <w:trPr>
          <w:cantSplit/>
          <w:trHeight w:val="28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202BB5">
        <w:trPr>
          <w:cantSplit/>
          <w:trHeight w:val="27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202BB5">
        <w:trPr>
          <w:cantSplit/>
          <w:trHeight w:val="33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5 — Electric Generators</w:t>
            </w:r>
          </w:p>
        </w:tc>
      </w:tr>
      <w:tr w:rsidR="00563006" w:rsidRPr="00E23D20" w:rsidTr="00202BB5">
        <w:trPr>
          <w:cantSplit/>
          <w:trHeight w:val="26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202BB5">
        <w:trPr>
          <w:cantSplit/>
          <w:trHeight w:val="30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4592C">
              <w:rPr>
                <w:rFonts w:ascii="Verdana" w:hAnsi="Verdana" w:cs="Arial"/>
              </w:rPr>
            </w:r>
            <w:r w:rsidR="0034592C">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34592C">
              <w:rPr>
                <w:rStyle w:val="BoxText"/>
                <w:rFonts w:ascii="Verdana" w:hAnsi="Verdana"/>
                <w:b w:val="0"/>
                <w:sz w:val="24"/>
              </w:rPr>
            </w:r>
            <w:r w:rsidR="0034592C">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rsidR="00521B6B" w:rsidRDefault="00521B6B"/>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8"/>
        <w:gridCol w:w="5948"/>
      </w:tblGrid>
      <w:tr w:rsidR="00FD1345" w:rsidRPr="00081BCE" w:rsidTr="000773A1">
        <w:trPr>
          <w:cantSplit/>
          <w:trHeight w:val="345"/>
          <w:jc w:val="center"/>
        </w:trPr>
        <w:tc>
          <w:tcPr>
            <w:tcW w:w="10366" w:type="dxa"/>
            <w:gridSpan w:val="2"/>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0773A1">
        <w:trPr>
          <w:cantSplit/>
          <w:trHeight w:val="612"/>
          <w:jc w:val="center"/>
        </w:trPr>
        <w:tc>
          <w:tcPr>
            <w:tcW w:w="4418"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7"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4592C">
              <w:rPr>
                <w:rStyle w:val="BoxText"/>
                <w:rFonts w:asciiTheme="minorHAnsi" w:hAnsiTheme="minorHAnsi" w:cs="Arial"/>
                <w:b w:val="0"/>
                <w:sz w:val="24"/>
              </w:rPr>
            </w:r>
            <w:r w:rsidR="0034592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rsidR="00521B6B" w:rsidRDefault="00521B6B"/>
    <w:p w:rsidR="000773A1" w:rsidRDefault="000773A1">
      <w:r>
        <w:br w:type="page"/>
      </w:r>
    </w:p>
    <w:p w:rsidR="000773A1" w:rsidRDefault="000773A1"/>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rsidTr="00FF5C65">
        <w:trPr>
          <w:cantSplit/>
          <w:jc w:val="center"/>
        </w:trPr>
        <w:tc>
          <w:tcPr>
            <w:tcW w:w="10345" w:type="dxa"/>
            <w:gridSpan w:val="4"/>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bl>
    <w:p w:rsidR="00521B6B" w:rsidRDefault="00521B6B"/>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202BB5" w:rsidRPr="004D5128" w:rsidRDefault="00202BB5" w:rsidP="00CC1183">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C1183">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C1183">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C1183">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C1183">
            <w:pPr>
              <w:spacing w:before="120" w:after="120"/>
              <w:rPr>
                <w:rStyle w:val="BoxText"/>
                <w:b w:val="0"/>
              </w:rPr>
            </w:pPr>
          </w:p>
        </w:tc>
      </w:tr>
      <w:tr w:rsidR="00202BB5"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C1183">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C1183">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C1183">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C1183">
            <w:pPr>
              <w:spacing w:before="120" w:after="120"/>
              <w:rPr>
                <w:rStyle w:val="BoxText"/>
                <w:b w:val="0"/>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0773A1">
      <w:headerReference w:type="default" r:id="rId14"/>
      <w:footerReference w:type="default" r:id="rId15"/>
      <w:headerReference w:type="first" r:id="rId16"/>
      <w:footerReference w:type="first" r:id="rId17"/>
      <w:pgSz w:w="12240" w:h="15840" w:code="1"/>
      <w:pgMar w:top="1296" w:right="936" w:bottom="1152"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C0" w:rsidRDefault="00101CC0">
      <w:r>
        <w:separator/>
      </w:r>
    </w:p>
  </w:endnote>
  <w:endnote w:type="continuationSeparator" w:id="0">
    <w:p w:rsidR="00101CC0" w:rsidRDefault="0010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53" w:rsidRPr="00855BA8" w:rsidRDefault="00896153" w:rsidP="0002368A">
    <w:pPr>
      <w:pStyle w:val="Footer"/>
      <w:tabs>
        <w:tab w:val="clear" w:pos="10354"/>
        <w:tab w:val="right" w:pos="10350"/>
      </w:tabs>
      <w:ind w:left="0" w:right="18"/>
    </w:pPr>
    <w:r>
      <w:t>Unofficial Nomination Form</w:t>
    </w:r>
    <w:r w:rsidR="0002368A">
      <w:br/>
    </w:r>
    <w:r w:rsidR="007740DC">
      <w:t>Project 2019</w:t>
    </w:r>
    <w:r w:rsidR="00737E0E">
      <w:t>-04 Modifications to PRC-</w:t>
    </w:r>
    <w:r w:rsidR="0093267F">
      <w:t>005-6</w:t>
    </w:r>
    <w:r w:rsidR="00737E0E">
      <w:t xml:space="preserve"> </w:t>
    </w:r>
    <w:r w:rsidR="00737E0E" w:rsidRPr="000D1B39">
      <w:t xml:space="preserve">| </w:t>
    </w:r>
    <w:r w:rsidR="00481522">
      <w:t>November-December</w:t>
    </w:r>
    <w:r w:rsidR="0093267F">
      <w:t>, 20</w:t>
    </w:r>
    <w:r w:rsidR="00481522">
      <w:t>21</w:t>
    </w:r>
    <w:r>
      <w:tab/>
    </w:r>
    <w:r w:rsidR="001F52FD">
      <w:fldChar w:fldCharType="begin"/>
    </w:r>
    <w:r w:rsidR="001F52FD">
      <w:instrText xml:space="preserve"> PAGE </w:instrText>
    </w:r>
    <w:r w:rsidR="001F52FD">
      <w:fldChar w:fldCharType="separate"/>
    </w:r>
    <w:r w:rsidR="0034592C">
      <w:rPr>
        <w:noProof/>
      </w:rPr>
      <w:t>5</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53" w:rsidRPr="00521B6B" w:rsidRDefault="00521B6B" w:rsidP="00521B6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C0" w:rsidRDefault="00101CC0">
      <w:r>
        <w:separator/>
      </w:r>
    </w:p>
  </w:footnote>
  <w:footnote w:type="continuationSeparator" w:id="0">
    <w:p w:rsidR="00101CC0" w:rsidRDefault="00101CC0">
      <w:r>
        <w:continuationSeparator/>
      </w:r>
    </w:p>
  </w:footnote>
  <w:footnote w:id="1">
    <w:p w:rsidR="00023317" w:rsidRDefault="00023317" w:rsidP="00023317">
      <w:pPr>
        <w:pStyle w:val="FootnoteText"/>
      </w:pPr>
      <w:r>
        <w:rPr>
          <w:rStyle w:val="FootnoteReference"/>
        </w:rPr>
        <w:footnoteRef/>
      </w:r>
      <w:hyperlink r:id="rId1" w:history="1">
        <w:r w:rsidRPr="001F6BF7">
          <w:rPr>
            <w:rStyle w:val="Hyperlink"/>
          </w:rPr>
          <w:t>Xcel_RFI_PRC-005-6</w:t>
        </w:r>
      </w:hyperlink>
    </w:p>
  </w:footnote>
  <w:footnote w:id="2">
    <w:p w:rsidR="00896153" w:rsidRDefault="00896153" w:rsidP="00FD1345">
      <w:pPr>
        <w:pStyle w:val="FootnoteText"/>
      </w:pPr>
      <w:r>
        <w:rPr>
          <w:rStyle w:val="FootnoteReference"/>
        </w:rPr>
        <w:footnoteRef/>
      </w:r>
      <w:r>
        <w:t xml:space="preserve"> These functions are defined in the NERC </w:t>
      </w:r>
      <w:hyperlink r:id="rId2"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03F4A"/>
    <w:multiLevelType w:val="hybridMultilevel"/>
    <w:tmpl w:val="54641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9"/>
  </w:num>
  <w:num w:numId="21">
    <w:abstractNumId w:val="14"/>
  </w:num>
  <w:num w:numId="22">
    <w:abstractNumId w:val="10"/>
  </w:num>
  <w:num w:numId="23">
    <w:abstractNumId w:val="24"/>
  </w:num>
  <w:num w:numId="24">
    <w:abstractNumId w:val="21"/>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317"/>
    <w:rsid w:val="0002368A"/>
    <w:rsid w:val="000334DF"/>
    <w:rsid w:val="000337A9"/>
    <w:rsid w:val="0005763D"/>
    <w:rsid w:val="00064B26"/>
    <w:rsid w:val="00072938"/>
    <w:rsid w:val="000773A1"/>
    <w:rsid w:val="00081BCE"/>
    <w:rsid w:val="000A70BC"/>
    <w:rsid w:val="000B36CB"/>
    <w:rsid w:val="000B7A04"/>
    <w:rsid w:val="000C1D13"/>
    <w:rsid w:val="000C32BD"/>
    <w:rsid w:val="000C62FF"/>
    <w:rsid w:val="000D7162"/>
    <w:rsid w:val="000E3AB0"/>
    <w:rsid w:val="001006FB"/>
    <w:rsid w:val="00101CC0"/>
    <w:rsid w:val="00102A01"/>
    <w:rsid w:val="00104317"/>
    <w:rsid w:val="001135BF"/>
    <w:rsid w:val="001346AA"/>
    <w:rsid w:val="00136931"/>
    <w:rsid w:val="00142363"/>
    <w:rsid w:val="001574EA"/>
    <w:rsid w:val="00193AE7"/>
    <w:rsid w:val="00196FDD"/>
    <w:rsid w:val="001A6FC8"/>
    <w:rsid w:val="001D47FD"/>
    <w:rsid w:val="001D6024"/>
    <w:rsid w:val="001F52FD"/>
    <w:rsid w:val="00202BB5"/>
    <w:rsid w:val="00222203"/>
    <w:rsid w:val="00240726"/>
    <w:rsid w:val="00245468"/>
    <w:rsid w:val="00256979"/>
    <w:rsid w:val="00257B0C"/>
    <w:rsid w:val="00260BED"/>
    <w:rsid w:val="00283FB4"/>
    <w:rsid w:val="002B29E4"/>
    <w:rsid w:val="002E2423"/>
    <w:rsid w:val="002E488B"/>
    <w:rsid w:val="002F2BFE"/>
    <w:rsid w:val="00300ABD"/>
    <w:rsid w:val="003134D1"/>
    <w:rsid w:val="0034592C"/>
    <w:rsid w:val="00366A96"/>
    <w:rsid w:val="0038676B"/>
    <w:rsid w:val="0039275D"/>
    <w:rsid w:val="003E1C41"/>
    <w:rsid w:val="0040580D"/>
    <w:rsid w:val="00405953"/>
    <w:rsid w:val="0041064C"/>
    <w:rsid w:val="00425FE0"/>
    <w:rsid w:val="00442ED0"/>
    <w:rsid w:val="00453F32"/>
    <w:rsid w:val="00456B99"/>
    <w:rsid w:val="004631BF"/>
    <w:rsid w:val="004671DE"/>
    <w:rsid w:val="00467326"/>
    <w:rsid w:val="00476B91"/>
    <w:rsid w:val="004800C7"/>
    <w:rsid w:val="00481522"/>
    <w:rsid w:val="004857FE"/>
    <w:rsid w:val="004859C6"/>
    <w:rsid w:val="00485CBA"/>
    <w:rsid w:val="0048765A"/>
    <w:rsid w:val="00487E9F"/>
    <w:rsid w:val="004A1B6D"/>
    <w:rsid w:val="004A60CD"/>
    <w:rsid w:val="004A7D45"/>
    <w:rsid w:val="004B7DE3"/>
    <w:rsid w:val="004D04EF"/>
    <w:rsid w:val="004D5953"/>
    <w:rsid w:val="004E7B5C"/>
    <w:rsid w:val="00500E26"/>
    <w:rsid w:val="00510652"/>
    <w:rsid w:val="00520FD1"/>
    <w:rsid w:val="00521B6B"/>
    <w:rsid w:val="005316C6"/>
    <w:rsid w:val="005316F3"/>
    <w:rsid w:val="00555F79"/>
    <w:rsid w:val="00563006"/>
    <w:rsid w:val="00565AB5"/>
    <w:rsid w:val="00573832"/>
    <w:rsid w:val="00583A5C"/>
    <w:rsid w:val="005A1D58"/>
    <w:rsid w:val="005A721A"/>
    <w:rsid w:val="005B7382"/>
    <w:rsid w:val="005D3F72"/>
    <w:rsid w:val="005E627D"/>
    <w:rsid w:val="00614E63"/>
    <w:rsid w:val="0062446B"/>
    <w:rsid w:val="00631E0B"/>
    <w:rsid w:val="00652754"/>
    <w:rsid w:val="00652F35"/>
    <w:rsid w:val="00663305"/>
    <w:rsid w:val="00676CFA"/>
    <w:rsid w:val="006826D0"/>
    <w:rsid w:val="0068750D"/>
    <w:rsid w:val="00692F16"/>
    <w:rsid w:val="00694CD1"/>
    <w:rsid w:val="00697944"/>
    <w:rsid w:val="006A71F1"/>
    <w:rsid w:val="006B3EC7"/>
    <w:rsid w:val="006C1F78"/>
    <w:rsid w:val="006C3C30"/>
    <w:rsid w:val="006C6BAC"/>
    <w:rsid w:val="006E67B7"/>
    <w:rsid w:val="006E73A2"/>
    <w:rsid w:val="006E7855"/>
    <w:rsid w:val="006E7949"/>
    <w:rsid w:val="00707018"/>
    <w:rsid w:val="007254EA"/>
    <w:rsid w:val="00733724"/>
    <w:rsid w:val="00737E0E"/>
    <w:rsid w:val="0074186F"/>
    <w:rsid w:val="0074626C"/>
    <w:rsid w:val="007728B2"/>
    <w:rsid w:val="007740DC"/>
    <w:rsid w:val="00791651"/>
    <w:rsid w:val="007A3F88"/>
    <w:rsid w:val="007C5DB6"/>
    <w:rsid w:val="007E79B4"/>
    <w:rsid w:val="0080753A"/>
    <w:rsid w:val="00816016"/>
    <w:rsid w:val="00833311"/>
    <w:rsid w:val="00852AD1"/>
    <w:rsid w:val="00855BA8"/>
    <w:rsid w:val="008866E7"/>
    <w:rsid w:val="0089323C"/>
    <w:rsid w:val="00896153"/>
    <w:rsid w:val="008A2272"/>
    <w:rsid w:val="008A7528"/>
    <w:rsid w:val="008B0CEA"/>
    <w:rsid w:val="008C572D"/>
    <w:rsid w:val="008F3E6E"/>
    <w:rsid w:val="00905DC1"/>
    <w:rsid w:val="00930D3B"/>
    <w:rsid w:val="0093267F"/>
    <w:rsid w:val="00963542"/>
    <w:rsid w:val="00972C26"/>
    <w:rsid w:val="00997A70"/>
    <w:rsid w:val="009A4ED6"/>
    <w:rsid w:val="009B69E1"/>
    <w:rsid w:val="009C0B03"/>
    <w:rsid w:val="009E317C"/>
    <w:rsid w:val="00A15C0A"/>
    <w:rsid w:val="00A35DA7"/>
    <w:rsid w:val="00A410FC"/>
    <w:rsid w:val="00A6738A"/>
    <w:rsid w:val="00AC0C35"/>
    <w:rsid w:val="00AD1865"/>
    <w:rsid w:val="00AD5531"/>
    <w:rsid w:val="00B146D4"/>
    <w:rsid w:val="00B240FF"/>
    <w:rsid w:val="00B375B5"/>
    <w:rsid w:val="00B44DA6"/>
    <w:rsid w:val="00B62A1A"/>
    <w:rsid w:val="00B86AB0"/>
    <w:rsid w:val="00BA34E0"/>
    <w:rsid w:val="00BE5580"/>
    <w:rsid w:val="00BF20DA"/>
    <w:rsid w:val="00BF7EF4"/>
    <w:rsid w:val="00C31EA1"/>
    <w:rsid w:val="00C52B81"/>
    <w:rsid w:val="00C802A9"/>
    <w:rsid w:val="00C87293"/>
    <w:rsid w:val="00C970FD"/>
    <w:rsid w:val="00C975FA"/>
    <w:rsid w:val="00CA0645"/>
    <w:rsid w:val="00CB2A60"/>
    <w:rsid w:val="00CC1183"/>
    <w:rsid w:val="00CC7BE7"/>
    <w:rsid w:val="00CF6E4A"/>
    <w:rsid w:val="00D033F0"/>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377C1"/>
    <w:rsid w:val="00E65B2F"/>
    <w:rsid w:val="00E71A56"/>
    <w:rsid w:val="00F200CF"/>
    <w:rsid w:val="00F31926"/>
    <w:rsid w:val="00F359FF"/>
    <w:rsid w:val="00F552F1"/>
    <w:rsid w:val="00F5557A"/>
    <w:rsid w:val="00F62314"/>
    <w:rsid w:val="00F77216"/>
    <w:rsid w:val="00FB5404"/>
    <w:rsid w:val="00FB6338"/>
    <w:rsid w:val="00FC7B36"/>
    <w:rsid w:val="00FD1345"/>
    <w:rsid w:val="00FF1E1F"/>
    <w:rsid w:val="00FF2887"/>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5E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paragraph" w:customStyle="1" w:styleId="TableParagraph">
    <w:name w:val="Table Paragraph"/>
    <w:basedOn w:val="Normal"/>
    <w:uiPriority w:val="1"/>
    <w:qFormat/>
    <w:rsid w:val="00023317"/>
    <w:pPr>
      <w:widowControl w:val="0"/>
      <w:autoSpaceDE w:val="0"/>
      <w:autoSpaceDN w:val="0"/>
      <w:adjustRightInd w:val="0"/>
      <w:ind w:left="107"/>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19-04-Modifications-to-PRC-005-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D858E7D6-5EEF-4EEA-99DA-A710E868A98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Functional%20Model%20Advisory%20Group%20DL/FMAG_Inf_Functional%20Model%20v6%20(clean).pdf" TargetMode="External"/><Relationship Id="rId1" Type="http://schemas.openxmlformats.org/officeDocument/2006/relationships/hyperlink" Target="https://www.nerc.com/pa/Stand/SARandRFI/SC%20Response%20to%20Xcel%20RFI%20-%20PRC-005-6.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D7C695EEAF34791BE7DF990D12835" ma:contentTypeVersion="1" ma:contentTypeDescription="Create a new document." ma:contentTypeScope="" ma:versionID="672cb1c68ccf063f13ad32e8176330ae">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61723-998E-47AA-A570-776DB45EC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1D400-2C2F-43CE-9427-E3BA39C934FD}">
  <ds:schemaRefs>
    <ds:schemaRef ds:uri="http://schemas.microsoft.com/office/2006/metadata/properties"/>
  </ds:schemaRefs>
</ds:datastoreItem>
</file>

<file path=customXml/itemProps3.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4.xml><?xml version="1.0" encoding="utf-8"?>
<ds:datastoreItem xmlns:ds="http://schemas.openxmlformats.org/officeDocument/2006/customXml" ds:itemID="{09F6422D-1BA9-4B25-BFC6-A4C965C9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8673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dc:description/>
  <cp:lastModifiedBy/>
  <cp:revision>1</cp:revision>
  <dcterms:created xsi:type="dcterms:W3CDTF">2021-11-16T20:16:00Z</dcterms:created>
  <dcterms:modified xsi:type="dcterms:W3CDTF">2021-11-16T20:34:00Z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0x010100508D7C695EEAF34791BE7DF990D12835</vt:lpwstr>
  </property>
  <property fmtid="{D5CDD505-2E9C-101B-9397-08002B2CF9AE}" pid="3" name="_dlc_DocIdItemGuid">
    <vt:lpwstr>f7917a7a-7854-441b-bf64-926877202eae</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ies>
</file>