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1FA88BF8"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B428B" w:rsidRPr="004B428B">
        <w:rPr>
          <w:b w:val="0"/>
          <w:bCs w:val="0"/>
          <w:sz w:val="32"/>
          <w:szCs w:val="32"/>
        </w:rPr>
        <w:t xml:space="preserve">Project 2025-01 </w:t>
      </w:r>
      <w:bookmarkStart w:id="1" w:name="_Hlk198819530"/>
      <w:r w:rsidR="004B428B" w:rsidRPr="004B428B">
        <w:rPr>
          <w:b w:val="0"/>
          <w:bCs w:val="0"/>
          <w:sz w:val="32"/>
          <w:szCs w:val="32"/>
        </w:rPr>
        <w:t>Canadian-</w:t>
      </w:r>
      <w:r w:rsidR="00135F8C">
        <w:rPr>
          <w:b w:val="0"/>
          <w:bCs w:val="0"/>
          <w:sz w:val="32"/>
          <w:szCs w:val="32"/>
        </w:rPr>
        <w:t>S</w:t>
      </w:r>
      <w:r w:rsidR="004B428B" w:rsidRPr="004B428B">
        <w:rPr>
          <w:b w:val="0"/>
          <w:bCs w:val="0"/>
          <w:sz w:val="32"/>
          <w:szCs w:val="32"/>
        </w:rPr>
        <w:t>pecific Revisions to EOP-012</w:t>
      </w:r>
      <w:r w:rsidR="004B428B">
        <w:rPr>
          <w:b w:val="0"/>
          <w:bCs w:val="0"/>
          <w:sz w:val="32"/>
          <w:szCs w:val="32"/>
        </w:rPr>
        <w:t>-3</w:t>
      </w:r>
      <w:bookmarkEnd w:id="1"/>
      <w:r w:rsidR="0000166A" w:rsidRPr="00833311">
        <w:rPr>
          <w:b w:val="0"/>
          <w:sz w:val="36"/>
          <w:szCs w:val="36"/>
        </w:rPr>
        <w:br/>
      </w:r>
    </w:p>
    <w:p w14:paraId="654CB138" w14:textId="67899A69"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47319C">
          <w:rPr>
            <w:rStyle w:val="Hyperlink"/>
            <w:rFonts w:cs="Arial"/>
          </w:rPr>
          <w:t>electronic form</w:t>
        </w:r>
      </w:hyperlink>
      <w:r>
        <w:rPr>
          <w:rFonts w:cs="Arial"/>
        </w:rPr>
        <w:t xml:space="preserve"> to submit nominations for </w:t>
      </w:r>
      <w:r w:rsidR="009A54B6">
        <w:rPr>
          <w:rFonts w:cs="Arial"/>
          <w:b/>
        </w:rPr>
        <w:t>Project 202</w:t>
      </w:r>
      <w:r w:rsidR="001F7AE4">
        <w:rPr>
          <w:rFonts w:cs="Arial"/>
          <w:b/>
        </w:rPr>
        <w:t>5</w:t>
      </w:r>
      <w:r w:rsidR="009A54B6">
        <w:rPr>
          <w:rFonts w:cs="Arial"/>
          <w:b/>
        </w:rPr>
        <w:t>-0</w:t>
      </w:r>
      <w:r w:rsidR="001F7AE4">
        <w:rPr>
          <w:rFonts w:cs="Arial"/>
          <w:b/>
        </w:rPr>
        <w:t>1</w:t>
      </w:r>
      <w:r w:rsidR="00EB0A23" w:rsidRPr="00EB0A23">
        <w:t xml:space="preserve"> </w:t>
      </w:r>
      <w:r w:rsidR="00EB0A23" w:rsidRPr="00EB0A23">
        <w:rPr>
          <w:rFonts w:cs="Arial"/>
          <w:b/>
        </w:rPr>
        <w:t>Canadian-Specific Revisions to EOP-012-3</w:t>
      </w:r>
      <w:r>
        <w:rPr>
          <w:rFonts w:cs="Arial"/>
        </w:rPr>
        <w:t xml:space="preserve"> drafting team members by </w:t>
      </w:r>
      <w:r>
        <w:rPr>
          <w:rStyle w:val="Strong"/>
          <w:rFonts w:ascii="Calibri" w:hAnsi="Calibri" w:cs="Arial"/>
        </w:rPr>
        <w:t xml:space="preserve">8 p.m. Eastern, </w:t>
      </w:r>
      <w:r w:rsidR="0092773B">
        <w:rPr>
          <w:rStyle w:val="Strong"/>
          <w:rFonts w:ascii="Calibri" w:hAnsi="Calibri" w:cs="Arial"/>
        </w:rPr>
        <w:t>Ju</w:t>
      </w:r>
      <w:r w:rsidR="00652EB8">
        <w:rPr>
          <w:rStyle w:val="Strong"/>
          <w:rFonts w:ascii="Calibri" w:hAnsi="Calibri" w:cs="Arial"/>
        </w:rPr>
        <w:t xml:space="preserve">ly </w:t>
      </w:r>
      <w:r w:rsidR="00F232BE">
        <w:rPr>
          <w:rStyle w:val="Strong"/>
          <w:rFonts w:ascii="Calibri" w:hAnsi="Calibri" w:cs="Arial"/>
        </w:rPr>
        <w:t>24</w:t>
      </w:r>
      <w:r w:rsidR="0092773B">
        <w:rPr>
          <w:rStyle w:val="Strong"/>
          <w:rFonts w:ascii="Calibri" w:hAnsi="Calibri" w:cs="Arial"/>
        </w:rPr>
        <w:t>, 2025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4375D0A" w:rsidR="003B6D64" w:rsidRDefault="003B6D64" w:rsidP="00816016"/>
    <w:p w14:paraId="1889E83F" w14:textId="13B8188C" w:rsidR="004A3210" w:rsidRPr="007401F7" w:rsidRDefault="004A3210" w:rsidP="004A3210">
      <w:pPr>
        <w:rPr>
          <w:rFonts w:ascii="Calibri" w:hAnsi="Calibri" w:cs="Calibri"/>
        </w:rPr>
      </w:pPr>
      <w:r w:rsidRPr="007401F7">
        <w:rPr>
          <w:rFonts w:ascii="Calibri" w:hAnsi="Calibri" w:cs="Calibri"/>
        </w:rPr>
        <w:t xml:space="preserve">Additional information is available on the </w:t>
      </w:r>
      <w:hyperlink r:id="rId14" w:history="1">
        <w:r w:rsidRPr="00F72304">
          <w:rPr>
            <w:rStyle w:val="Hyperlink"/>
            <w:rFonts w:ascii="Calibri" w:hAnsi="Calibri" w:cs="Calibri"/>
          </w:rPr>
          <w:t>project page</w:t>
        </w:r>
      </w:hyperlink>
      <w:r w:rsidRPr="007401F7">
        <w:rPr>
          <w:rFonts w:ascii="Calibri" w:hAnsi="Calibri" w:cs="Calibri"/>
        </w:rPr>
        <w:t xml:space="preserve">. If you have questions, contact </w:t>
      </w:r>
      <w:r w:rsidR="007401F7" w:rsidRPr="007401F7">
        <w:rPr>
          <w:rFonts w:ascii="Calibri" w:hAnsi="Calibri" w:cs="Calibri"/>
        </w:rPr>
        <w:t xml:space="preserve">Senior </w:t>
      </w:r>
      <w:r w:rsidRPr="007401F7">
        <w:rPr>
          <w:rFonts w:ascii="Calibri" w:hAnsi="Calibri" w:cs="Calibri"/>
        </w:rPr>
        <w:t xml:space="preserve">Standards Developer, </w:t>
      </w:r>
      <w:hyperlink r:id="rId15" w:history="1">
        <w:r w:rsidR="004B428B" w:rsidRPr="007401F7">
          <w:rPr>
            <w:rStyle w:val="Hyperlink"/>
            <w:rFonts w:ascii="Calibri" w:hAnsi="Calibri" w:cs="Calibri"/>
          </w:rPr>
          <w:t>Ben Wu</w:t>
        </w:r>
      </w:hyperlink>
      <w:r w:rsidR="0043522E" w:rsidRPr="007401F7">
        <w:rPr>
          <w:rFonts w:ascii="Calibri" w:hAnsi="Calibri" w:cs="Calibri"/>
        </w:rPr>
        <w:t xml:space="preserve"> (via email), or at 470-542-6882</w:t>
      </w:r>
      <w:hyperlink r:id="rId16" w:history="1"/>
      <w:r w:rsidRPr="007401F7">
        <w:rPr>
          <w:rFonts w:ascii="Calibri" w:hAnsi="Calibri" w:cs="Calibri"/>
        </w:rPr>
        <w:t>.</w:t>
      </w:r>
    </w:p>
    <w:p w14:paraId="67E2AB3C" w14:textId="77777777" w:rsidR="00FA206D" w:rsidRPr="00FA206D" w:rsidRDefault="00FA206D" w:rsidP="00816016"/>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00073A7D" w14:textId="5C711AA7" w:rsidR="009C4592" w:rsidRPr="001F7AE4" w:rsidRDefault="00E85FE6" w:rsidP="001F7AE4">
      <w:pPr>
        <w:ind w:left="-5" w:right="378"/>
        <w:rPr>
          <w:color w:val="000000"/>
        </w:rPr>
      </w:pPr>
      <w:r w:rsidRPr="003D736D">
        <w:t xml:space="preserve">Registered entities from across Canada have stated that the EOP-012 Reliability Standard poses compliance difficulties for Canadian entities due to the differences between Canadian and United States regulatory environments. Canadian entities have also identified issues with how the EOP-012 standard may be applied in their consistently cold climates. This SAR seeks </w:t>
      </w:r>
      <w:r>
        <w:t xml:space="preserve">Canadian-specific revisions to the proposed EOP-012-3 Reliability Standard that </w:t>
      </w:r>
      <w:r w:rsidRPr="003D736D">
        <w:t>would be designed to reflect the geographical differences</w:t>
      </w:r>
      <w:r>
        <w:t>.</w:t>
      </w:r>
      <w:r w:rsidRPr="003D736D">
        <w:t xml:space="preserve"> </w:t>
      </w:r>
      <w:r>
        <w:t>I</w:t>
      </w:r>
      <w:r w:rsidRPr="003D736D">
        <w:t>n Canada</w:t>
      </w:r>
      <w:r>
        <w:t xml:space="preserve">, </w:t>
      </w:r>
      <w:r w:rsidRPr="003D736D">
        <w:t>peak demand typically occurs during winter months and where generating units are economically constrained to be suitable for winter operation</w:t>
      </w:r>
      <w:r>
        <w:t>.</w:t>
      </w:r>
      <w:r w:rsidRPr="003D736D">
        <w:t xml:space="preserve"> </w:t>
      </w:r>
      <w:r>
        <w:t xml:space="preserve">The Canadian-specific revisions would also </w:t>
      </w:r>
      <w:r w:rsidRPr="003D736D">
        <w:t>address differences in regulatory frameworks that make several of the FERC-directed changes in EOP-012 for the U.S. impractical to implement in the Canadian jurisdictions</w:t>
      </w:r>
      <w:r w:rsidR="00672C22">
        <w:t>.</w:t>
      </w:r>
    </w:p>
    <w:p w14:paraId="43389627" w14:textId="0D974A3A" w:rsidR="00E24246" w:rsidRPr="00654F21" w:rsidRDefault="0062446B" w:rsidP="0062446B">
      <w:pPr>
        <w:pStyle w:val="default0"/>
        <w:rPr>
          <w:rFonts w:asciiTheme="minorHAnsi" w:hAnsiTheme="minorHAnsi" w:cstheme="minorHAnsi"/>
          <w:highlight w:val="yellow"/>
        </w:rPr>
      </w:pPr>
      <w:r w:rsidRPr="00654F21">
        <w:rPr>
          <w:rFonts w:asciiTheme="minorHAnsi" w:hAnsiTheme="minorHAnsi" w:cstheme="minorHAnsi"/>
          <w:highlight w:val="yellow"/>
        </w:rPr>
        <w:t xml:space="preserve"> </w:t>
      </w:r>
    </w:p>
    <w:p w14:paraId="43389628" w14:textId="7572CF48" w:rsidR="00476B91" w:rsidRPr="00654F21" w:rsidRDefault="00476B91" w:rsidP="00476B91">
      <w:pPr>
        <w:shd w:val="clear" w:color="auto" w:fill="FFFFFF"/>
        <w:ind w:left="1" w:right="2"/>
        <w:rPr>
          <w:rFonts w:cstheme="minorHAnsi"/>
          <w:b/>
          <w:bCs/>
          <w:color w:val="000000"/>
          <w:sz w:val="14"/>
          <w:szCs w:val="14"/>
        </w:rPr>
      </w:pPr>
      <w:r w:rsidRPr="009A1DDC">
        <w:rPr>
          <w:rStyle w:val="Heading2Char"/>
          <w:rFonts w:cs="Tahoma"/>
          <w:szCs w:val="22"/>
        </w:rPr>
        <w:t xml:space="preserve">Standards </w:t>
      </w:r>
      <w:r w:rsidR="00623196" w:rsidRPr="009A1DDC">
        <w:rPr>
          <w:rStyle w:val="Heading2Char"/>
          <w:rFonts w:cs="Tahoma"/>
          <w:szCs w:val="22"/>
        </w:rPr>
        <w:t>A</w:t>
      </w:r>
      <w:r w:rsidRPr="009A1DDC">
        <w:rPr>
          <w:rStyle w:val="Heading2Char"/>
          <w:rFonts w:cs="Tahoma"/>
          <w:szCs w:val="22"/>
        </w:rPr>
        <w:t>ffected</w:t>
      </w:r>
      <w:r w:rsidRPr="00654F21">
        <w:rPr>
          <w:rFonts w:cstheme="minorHAnsi"/>
          <w:b/>
          <w:bCs/>
          <w:color w:val="000000"/>
        </w:rPr>
        <w:t xml:space="preserve"> </w:t>
      </w:r>
      <w:r w:rsidR="00654F21" w:rsidRPr="00654F21">
        <w:rPr>
          <w:rFonts w:cstheme="minorHAnsi"/>
          <w:b/>
          <w:bCs/>
          <w:color w:val="000000"/>
          <w:sz w:val="14"/>
          <w:szCs w:val="14"/>
        </w:rPr>
        <w:br/>
      </w:r>
      <w:r w:rsidR="004D270D" w:rsidRPr="004D270D">
        <w:rPr>
          <w:rStyle w:val="BoxText"/>
          <w:rFonts w:asciiTheme="minorHAnsi" w:hAnsiTheme="minorHAnsi" w:cs="Arial"/>
          <w:b w:val="0"/>
          <w:bCs/>
          <w:sz w:val="24"/>
        </w:rPr>
        <w:t>EOP-012-3</w:t>
      </w:r>
    </w:p>
    <w:p w14:paraId="45C76174" w14:textId="77777777" w:rsidR="00E35416" w:rsidRDefault="00E35416" w:rsidP="00654F21">
      <w:pPr>
        <w:spacing w:after="160" w:line="278" w:lineRule="auto"/>
        <w:contextualSpacing/>
        <w:rPr>
          <w:rStyle w:val="Heading2Char"/>
          <w:rFonts w:cs="Tahoma"/>
          <w:szCs w:val="22"/>
        </w:rPr>
      </w:pPr>
    </w:p>
    <w:p w14:paraId="46E2F9A6" w14:textId="024FADB3" w:rsidR="00654F21" w:rsidRPr="009A1DDC" w:rsidRDefault="00447F09" w:rsidP="00654F21">
      <w:pPr>
        <w:spacing w:after="160" w:line="278" w:lineRule="auto"/>
        <w:contextualSpacing/>
        <w:rPr>
          <w:rStyle w:val="BoxText"/>
          <w:rFonts w:ascii="Tahoma" w:hAnsi="Tahoma" w:cs="Tahoma"/>
          <w:b w:val="0"/>
          <w:sz w:val="22"/>
          <w:szCs w:val="22"/>
        </w:rPr>
      </w:pPr>
      <w:r w:rsidRPr="009A1DDC">
        <w:rPr>
          <w:rStyle w:val="Heading2Char"/>
          <w:rFonts w:cs="Tahoma"/>
          <w:szCs w:val="22"/>
        </w:rPr>
        <w:t>Nom</w:t>
      </w:r>
      <w:r w:rsidR="00623196" w:rsidRPr="009A1DDC">
        <w:rPr>
          <w:rStyle w:val="Heading2Char"/>
          <w:rFonts w:cs="Tahoma"/>
          <w:szCs w:val="22"/>
        </w:rPr>
        <w:t>i</w:t>
      </w:r>
      <w:r w:rsidRPr="009A1DDC">
        <w:rPr>
          <w:rStyle w:val="Heading2Char"/>
          <w:rFonts w:cs="Tahoma"/>
          <w:szCs w:val="22"/>
        </w:rPr>
        <w:t>n</w:t>
      </w:r>
      <w:r w:rsidR="00623196" w:rsidRPr="009A1DDC">
        <w:rPr>
          <w:rStyle w:val="Heading2Char"/>
          <w:rFonts w:cs="Tahoma"/>
          <w:szCs w:val="22"/>
        </w:rPr>
        <w:t>ee</w:t>
      </w:r>
      <w:r w:rsidRPr="009A1DDC">
        <w:rPr>
          <w:rStyle w:val="Heading2Char"/>
          <w:rFonts w:cs="Tahoma"/>
          <w:szCs w:val="22"/>
        </w:rPr>
        <w:t xml:space="preserve"> Expertise Requested</w:t>
      </w:r>
      <w:r w:rsidRPr="009A1DDC">
        <w:rPr>
          <w:rStyle w:val="BoxText"/>
          <w:rFonts w:ascii="Tahoma" w:hAnsi="Tahoma" w:cs="Tahoma"/>
          <w:b w:val="0"/>
          <w:sz w:val="22"/>
          <w:szCs w:val="22"/>
        </w:rPr>
        <w:t xml:space="preserve"> </w:t>
      </w:r>
    </w:p>
    <w:p w14:paraId="66A1A759" w14:textId="40ECC134" w:rsidR="001F7AE4" w:rsidRDefault="001F7AE4" w:rsidP="001F7AE4">
      <w:pPr>
        <w:ind w:left="-5" w:right="378"/>
        <w:rPr>
          <w:color w:val="000000"/>
        </w:rPr>
      </w:pPr>
      <w:r>
        <w:rPr>
          <w:color w:val="000000"/>
        </w:rPr>
        <w:t xml:space="preserve">For this project, NERC is seeking individuals who possess experience with cold weather preparation, such as through performing or developing processes to address the following tasks: </w:t>
      </w:r>
    </w:p>
    <w:p w14:paraId="577DC5B8" w14:textId="77777777" w:rsidR="00913745"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Canadian provincial regulatory practices and processes;</w:t>
      </w:r>
    </w:p>
    <w:p w14:paraId="05721EA1" w14:textId="03E3C759" w:rsidR="00913745" w:rsidRPr="00C76D32" w:rsidRDefault="00913745"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Having Canadian provincial </w:t>
      </w:r>
      <w:r w:rsidRPr="00C76D32">
        <w:rPr>
          <w:rFonts w:asciiTheme="minorHAnsi" w:eastAsia="Times New Roman" w:hAnsiTheme="minorHAnsi"/>
          <w:color w:val="000000"/>
          <w:sz w:val="24"/>
          <w:szCs w:val="24"/>
          <w:lang w:eastAsia="en-US"/>
        </w:rPr>
        <w:t xml:space="preserve">experience on mitigating the reliability impact of extreme cold weather on power systems </w:t>
      </w:r>
      <w:r>
        <w:rPr>
          <w:rFonts w:asciiTheme="minorHAnsi" w:eastAsia="Times New Roman" w:hAnsiTheme="minorHAnsi"/>
          <w:color w:val="000000"/>
          <w:sz w:val="24"/>
          <w:szCs w:val="24"/>
          <w:lang w:eastAsia="en-US"/>
        </w:rPr>
        <w:t>to</w:t>
      </w:r>
      <w:r w:rsidRPr="00C76D32">
        <w:rPr>
          <w:rFonts w:asciiTheme="minorHAnsi" w:eastAsia="Times New Roman" w:hAnsiTheme="minorHAnsi"/>
          <w:color w:val="000000"/>
          <w:sz w:val="24"/>
          <w:szCs w:val="24"/>
          <w:lang w:eastAsia="en-US"/>
        </w:rPr>
        <w:t xml:space="preserve"> ensure the Bulk Electric System (BES) remains reliable and resilient during extreme cold weather conditions;</w:t>
      </w:r>
    </w:p>
    <w:p w14:paraId="629DE895" w14:textId="77777777" w:rsidR="001F7AE4" w:rsidRPr="00DA7CF1"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 xml:space="preserve">Performing inspection </w:t>
      </w:r>
      <w:r>
        <w:rPr>
          <w:rFonts w:asciiTheme="minorHAnsi" w:eastAsia="Times New Roman" w:hAnsiTheme="minorHAnsi"/>
          <w:color w:val="000000"/>
          <w:sz w:val="24"/>
          <w:szCs w:val="24"/>
          <w:lang w:eastAsia="en-US"/>
        </w:rPr>
        <w:t xml:space="preserve">and identification </w:t>
      </w:r>
      <w:r w:rsidRPr="00991273">
        <w:rPr>
          <w:rFonts w:asciiTheme="minorHAnsi" w:eastAsia="Times New Roman" w:hAnsiTheme="minorHAnsi"/>
          <w:color w:val="000000"/>
          <w:sz w:val="24"/>
          <w:szCs w:val="24"/>
          <w:lang w:eastAsia="en-US"/>
        </w:rPr>
        <w:t xml:space="preserve">of </w:t>
      </w:r>
      <w:r>
        <w:rPr>
          <w:rFonts w:asciiTheme="minorHAnsi" w:eastAsia="Times New Roman" w:hAnsiTheme="minorHAnsi"/>
          <w:color w:val="000000"/>
          <w:sz w:val="24"/>
          <w:szCs w:val="24"/>
          <w:lang w:eastAsia="en-US"/>
        </w:rPr>
        <w:t>critical components on generating units that are susceptible to freezing and retrofitting generating units to operate at extreme temperatures</w:t>
      </w:r>
      <w:r w:rsidRPr="00991273">
        <w:rPr>
          <w:rFonts w:asciiTheme="minorHAnsi" w:eastAsia="Times New Roman" w:hAnsiTheme="minorHAnsi"/>
          <w:color w:val="000000"/>
          <w:sz w:val="24"/>
          <w:szCs w:val="24"/>
          <w:lang w:eastAsia="en-US"/>
        </w:rPr>
        <w:t>;</w:t>
      </w:r>
    </w:p>
    <w:p w14:paraId="5EF08181" w14:textId="77777777" w:rsidR="001F7AE4" w:rsidRPr="00991273" w:rsidRDefault="001F7AE4" w:rsidP="009A1DDC">
      <w:pPr>
        <w:pStyle w:val="ListParagraph"/>
        <w:numPr>
          <w:ilvl w:val="0"/>
          <w:numId w:val="26"/>
        </w:numPr>
        <w:autoSpaceDE w:val="0"/>
        <w:autoSpaceDN w:val="0"/>
        <w:adjustRightInd w:val="0"/>
        <w:spacing w:before="120" w:after="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lastRenderedPageBreak/>
        <w:t>Conducting winter-specific and plant-speci</w:t>
      </w:r>
      <w:r>
        <w:rPr>
          <w:rFonts w:asciiTheme="minorHAnsi" w:eastAsia="Times New Roman" w:hAnsiTheme="minorHAnsi"/>
          <w:color w:val="000000"/>
          <w:sz w:val="24"/>
          <w:szCs w:val="24"/>
          <w:lang w:eastAsia="en-US"/>
        </w:rPr>
        <w:t>fic operator awareness and preparedness training;</w:t>
      </w:r>
    </w:p>
    <w:p w14:paraId="4BA528D9" w14:textId="491C3E7F" w:rsidR="001F7AE4" w:rsidRPr="00991273"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Pr="00991273">
        <w:rPr>
          <w:rFonts w:asciiTheme="minorHAnsi" w:eastAsia="Times New Roman" w:hAnsiTheme="minorHAnsi"/>
          <w:color w:val="000000"/>
          <w:sz w:val="24"/>
          <w:szCs w:val="24"/>
          <w:lang w:eastAsia="en-US"/>
        </w:rPr>
        <w:t xml:space="preserve">etermining the </w:t>
      </w:r>
      <w:r>
        <w:rPr>
          <w:rFonts w:asciiTheme="minorHAnsi" w:eastAsia="Times New Roman" w:hAnsiTheme="minorHAnsi"/>
          <w:color w:val="000000"/>
          <w:sz w:val="24"/>
          <w:szCs w:val="24"/>
          <w:lang w:eastAsia="en-US"/>
        </w:rPr>
        <w:t>causes of outages, failure to start or derate for generating units during cold weather conditions, and developing and implementing corrective action plans;</w:t>
      </w:r>
    </w:p>
    <w:p w14:paraId="1A1CF7C2" w14:textId="5A08DC00"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Determining and communicating with the appropriate entities </w:t>
      </w:r>
      <w:r w:rsidR="00730596">
        <w:rPr>
          <w:rFonts w:asciiTheme="minorHAnsi" w:eastAsia="Times New Roman" w:hAnsiTheme="minorHAnsi"/>
          <w:color w:val="000000"/>
          <w:sz w:val="24"/>
          <w:szCs w:val="24"/>
          <w:lang w:eastAsia="en-US"/>
        </w:rPr>
        <w:t xml:space="preserve">for </w:t>
      </w:r>
      <w:r>
        <w:rPr>
          <w:rFonts w:asciiTheme="minorHAnsi" w:eastAsia="Times New Roman" w:hAnsiTheme="minorHAnsi"/>
          <w:color w:val="000000"/>
          <w:sz w:val="24"/>
          <w:szCs w:val="24"/>
          <w:lang w:eastAsia="en-US"/>
        </w:rPr>
        <w:t>a generating unit’s capacity during forecasted cold weather, including the accelerated cooling effect of wind;</w:t>
      </w:r>
    </w:p>
    <w:p w14:paraId="645988AB" w14:textId="77777777" w:rsidR="001F7AE4" w:rsidRDefault="001F7AE4" w:rsidP="009A1DDC">
      <w:pPr>
        <w:pStyle w:val="ListParagraph"/>
        <w:numPr>
          <w:ilvl w:val="0"/>
          <w:numId w:val="27"/>
        </w:numPr>
        <w:autoSpaceDE w:val="0"/>
        <w:autoSpaceDN w:val="0"/>
        <w:adjustRightInd w:val="0"/>
        <w:spacing w:before="120" w:after="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Developing or implementing Balancing Authority operating plans for contingency reserves and to mitigate capacity and energy emergencies;</w:t>
      </w:r>
    </w:p>
    <w:p w14:paraId="75FF7DE2" w14:textId="0262212D" w:rsidR="00487E9F" w:rsidRPr="001F7AE4" w:rsidRDefault="001F7AE4" w:rsidP="00CD1840">
      <w:pPr>
        <w:pStyle w:val="ListParagraph"/>
        <w:numPr>
          <w:ilvl w:val="0"/>
          <w:numId w:val="27"/>
        </w:numPr>
        <w:autoSpaceDE w:val="0"/>
        <w:autoSpaceDN w:val="0"/>
        <w:adjustRightInd w:val="0"/>
        <w:spacing w:before="120"/>
        <w:ind w:left="720"/>
        <w:rPr>
          <w:rStyle w:val="BoxText"/>
          <w:rFonts w:asciiTheme="minorHAnsi" w:eastAsia="Times New Roman" w:hAnsiTheme="minorHAnsi"/>
          <w:b w:val="0"/>
          <w:color w:val="000000"/>
          <w:sz w:val="24"/>
          <w:szCs w:val="24"/>
          <w:lang w:eastAsia="en-US"/>
        </w:rPr>
      </w:pPr>
      <w:r>
        <w:rPr>
          <w:rFonts w:asciiTheme="minorHAnsi" w:eastAsia="Times New Roman" w:hAnsiTheme="minorHAnsi"/>
          <w:color w:val="000000"/>
          <w:sz w:val="24"/>
          <w:szCs w:val="24"/>
          <w:lang w:eastAsia="en-US"/>
        </w:rPr>
        <w:t>Other tasks for the reliable planning and operation of the BPS during cold weather conditions.</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0783B372"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E85FE6">
        <w:rPr>
          <w:color w:val="000000"/>
        </w:rPr>
        <w:t xml:space="preserve">medium </w:t>
      </w:r>
      <w:r w:rsidR="00487E9F" w:rsidRPr="004C0DCD">
        <w:rPr>
          <w:color w:val="000000"/>
        </w:rPr>
        <w:t xml:space="preserve">projects </w:t>
      </w:r>
      <w:r w:rsidR="00E85FE6">
        <w:rPr>
          <w:color w:val="000000"/>
        </w:rPr>
        <w:t xml:space="preserve">are weekly </w:t>
      </w:r>
      <w:r w:rsidR="00487E9F" w:rsidRPr="004C0DCD">
        <w:rPr>
          <w:color w:val="000000"/>
        </w:rPr>
        <w:t>conference calls</w:t>
      </w:r>
      <w:r w:rsidR="00E85FE6">
        <w:rPr>
          <w:color w:val="000000"/>
        </w:rPr>
        <w:t>. Some face-to-face in-person meetings shall be</w:t>
      </w:r>
      <w:r w:rsidR="00487E9F" w:rsidRPr="004C0DCD">
        <w:rPr>
          <w:color w:val="000000"/>
        </w:rPr>
        <w:t xml:space="preserve"> </w:t>
      </w:r>
      <w:r w:rsidR="00E85FE6">
        <w:rPr>
          <w:color w:val="000000"/>
        </w:rPr>
        <w:t>determined</w:t>
      </w:r>
      <w:r w:rsidR="00487E9F" w:rsidRPr="004C0DCD">
        <w:rPr>
          <w:color w:val="000000"/>
        </w:rPr>
        <w:t xml:space="preserve">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53B9161C" w:rsidR="0091727B" w:rsidRPr="00465B83" w:rsidRDefault="0091727B" w:rsidP="00487E9F">
      <w:pPr>
        <w:ind w:left="-5" w:right="378"/>
        <w:rPr>
          <w:color w:val="000000"/>
          <w:u w:val="single"/>
        </w:rPr>
      </w:pPr>
      <w:r w:rsidRPr="00465B83">
        <w:rPr>
          <w:color w:val="000000"/>
          <w:u w:val="single"/>
        </w:rPr>
        <w:t xml:space="preserve">This project </w:t>
      </w:r>
      <w:r w:rsidR="00FA206D">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w:t>
      </w:r>
      <w:r w:rsidR="00BC60CE">
        <w:rPr>
          <w:color w:val="000000"/>
          <w:u w:val="single"/>
        </w:rPr>
        <w:t xml:space="preserve"> </w:t>
      </w:r>
      <w:r w:rsidR="00405173">
        <w:rPr>
          <w:color w:val="000000"/>
          <w:u w:val="single"/>
        </w:rPr>
        <w:t>medium</w:t>
      </w:r>
      <w:r w:rsidR="00447F09" w:rsidRPr="00465B83">
        <w:rPr>
          <w:color w:val="000000"/>
          <w:u w:val="single"/>
        </w:rPr>
        <w:t xml:space="preserve">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5C382694"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2065EC2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35FBFD9E" w14:textId="77777777" w:rsidR="006A71F1" w:rsidRDefault="006A71F1" w:rsidP="00DB028B">
            <w:pPr>
              <w:spacing w:before="60" w:after="60"/>
              <w:rPr>
                <w:rStyle w:val="BoxText"/>
                <w:rFonts w:asciiTheme="minorHAnsi" w:hAnsiTheme="minorHAnsi" w:cs="Arial"/>
                <w:sz w:val="24"/>
              </w:rPr>
            </w:pPr>
          </w:p>
          <w:p w14:paraId="4338963F" w14:textId="77777777" w:rsidR="00860F89" w:rsidRPr="00193AE7" w:rsidRDefault="00860F89"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01214E51"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drafti</w:t>
            </w:r>
            <w:r w:rsidR="00816016">
              <w:rPr>
                <w:rFonts w:cs="Arial"/>
              </w:rPr>
              <w:t>ng team</w:t>
            </w:r>
            <w:r w:rsidR="00FD1345" w:rsidRPr="00193AE7">
              <w:rPr>
                <w:rFonts w:cs="Arial"/>
              </w:rPr>
              <w:t xml:space="preserve">. </w:t>
            </w:r>
          </w:p>
          <w:p w14:paraId="43389643" w14:textId="75C62B1A"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05531C3D"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B802CE">
              <w:rPr>
                <w:rFonts w:cs="Arial"/>
                <w:b/>
              </w:rPr>
              <w:t>,</w:t>
            </w:r>
            <w:r w:rsidRPr="00193AE7">
              <w:rPr>
                <w:rFonts w:cs="Arial"/>
                <w:b/>
              </w:rPr>
              <w:t xml:space="preserve"> please identify the team(s): </w:t>
            </w:r>
          </w:p>
          <w:p w14:paraId="43389647" w14:textId="4E706EB2"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5B966294"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w:t>
            </w:r>
            <w:r w:rsidRPr="00726A02">
              <w:rPr>
                <w:rFonts w:cstheme="minorHAnsi"/>
                <w:b/>
                <w:bCs/>
                <w:i/>
                <w:iCs/>
              </w:rPr>
              <w:t xml:space="preserve">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52394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173CB9B8" w14:textId="6E50D759" w:rsidR="00D92D7B" w:rsidRDefault="00D92D7B"/>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gridCol w:w="11"/>
      </w:tblGrid>
      <w:tr w:rsidR="00FD1345" w:rsidRPr="00081BCE" w14:paraId="4338967B" w14:textId="77777777" w:rsidTr="00523945">
        <w:trPr>
          <w:cantSplit/>
          <w:trHeight w:val="350"/>
          <w:jc w:val="center"/>
        </w:trPr>
        <w:tc>
          <w:tcPr>
            <w:tcW w:w="10356" w:type="dxa"/>
            <w:gridSpan w:val="5"/>
            <w:shd w:val="clear" w:color="auto" w:fill="204C81"/>
            <w:vAlign w:val="center"/>
          </w:tcPr>
          <w:p w14:paraId="4338967A" w14:textId="76D6530B"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rPr>
          <w:gridAfter w:val="1"/>
          <w:wAfter w:w="11" w:type="dxa"/>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rPr>
          <w:gridAfter w:val="1"/>
          <w:wAfter w:w="11" w:type="dxa"/>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rPr>
          <w:gridAfter w:val="1"/>
          <w:wAfter w:w="11" w:type="dxa"/>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9FE973A"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rPr>
          <w:gridAfter w:val="1"/>
          <w:wAfter w:w="11" w:type="dxa"/>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rPr>
          <w:gridAfter w:val="1"/>
          <w:wAfter w:w="11" w:type="dxa"/>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67E5551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644ADEDC" w:rsidR="00FD1345" w:rsidRDefault="00FD1345" w:rsidP="00FD1345">
      <w:pPr>
        <w:pStyle w:val="NormalTimes"/>
        <w:rPr>
          <w:rFonts w:asciiTheme="minorHAnsi" w:hAnsiTheme="minorHAnsi"/>
          <w:sz w:val="24"/>
          <w:szCs w:val="24"/>
        </w:rPr>
      </w:pPr>
    </w:p>
    <w:bookmarkEnd w:id="0"/>
    <w:p w14:paraId="70ED57A3" w14:textId="77777777" w:rsidR="00040C24" w:rsidRDefault="00040C24" w:rsidP="00E50C48">
      <w:pPr>
        <w:pStyle w:val="Heading1"/>
      </w:pPr>
    </w:p>
    <w:p w14:paraId="4EAC2E54" w14:textId="77777777" w:rsidR="00040C24" w:rsidRDefault="00040C24" w:rsidP="00E50C48">
      <w:pPr>
        <w:pStyle w:val="Heading1"/>
      </w:pPr>
    </w:p>
    <w:p w14:paraId="71DE830B" w14:textId="77777777" w:rsidR="00040C24" w:rsidRDefault="00040C24" w:rsidP="00E50C48">
      <w:pPr>
        <w:pStyle w:val="Heading1"/>
      </w:pPr>
    </w:p>
    <w:p w14:paraId="0590D536" w14:textId="77777777" w:rsidR="00040C24" w:rsidRDefault="00040C24" w:rsidP="00E50C48">
      <w:pPr>
        <w:pStyle w:val="Heading1"/>
      </w:pPr>
    </w:p>
    <w:p w14:paraId="3BE1357C" w14:textId="77777777" w:rsidR="00040C24" w:rsidRDefault="00040C24" w:rsidP="00E50C48">
      <w:pPr>
        <w:pStyle w:val="Heading1"/>
      </w:pPr>
    </w:p>
    <w:p w14:paraId="2602DAB6" w14:textId="20501924" w:rsidR="00E50C48" w:rsidRDefault="007B6097" w:rsidP="00E50C48">
      <w:pPr>
        <w:pStyle w:val="Heading1"/>
      </w:pPr>
      <w:r>
        <w:lastRenderedPageBreak/>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209F" w14:textId="77777777" w:rsidR="005935FB" w:rsidRDefault="005935FB">
      <w:r>
        <w:separator/>
      </w:r>
    </w:p>
  </w:endnote>
  <w:endnote w:type="continuationSeparator" w:id="0">
    <w:p w14:paraId="2F32932B" w14:textId="77777777" w:rsidR="005935FB" w:rsidRDefault="0059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44C40F03" w:rsidR="00896153" w:rsidRPr="00855BA8" w:rsidRDefault="00896153" w:rsidP="0002368A">
    <w:pPr>
      <w:pStyle w:val="Footer"/>
      <w:tabs>
        <w:tab w:val="clear" w:pos="10354"/>
        <w:tab w:val="right" w:pos="10350"/>
      </w:tabs>
      <w:ind w:left="0" w:right="18"/>
    </w:pPr>
    <w:r>
      <w:t>Unofficial Nomination Form</w:t>
    </w:r>
    <w:r w:rsidR="0002368A">
      <w:br/>
    </w:r>
    <w:r w:rsidR="00405173" w:rsidRPr="003D736D">
      <w:t>Project 2025-01 Canadian-</w:t>
    </w:r>
    <w:r w:rsidR="00002C50">
      <w:t>S</w:t>
    </w:r>
    <w:r w:rsidR="00405173" w:rsidRPr="003D736D">
      <w:t>pecific Revisions to EOP-012-3</w:t>
    </w:r>
    <w:r w:rsidR="0081258C">
      <w:t xml:space="preserve"> </w:t>
    </w:r>
    <w:r w:rsidR="00833311" w:rsidRPr="00405173">
      <w:t xml:space="preserve">| </w:t>
    </w:r>
    <w:r w:rsidR="00F232BE">
      <w:t>July</w:t>
    </w:r>
    <w:r w:rsidR="00405173" w:rsidRPr="00405173">
      <w:t xml:space="preserve"> 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559E" w14:textId="77777777" w:rsidR="005935FB" w:rsidRDefault="005935FB">
      <w:r>
        <w:separator/>
      </w:r>
    </w:p>
  </w:footnote>
  <w:footnote w:type="continuationSeparator" w:id="0">
    <w:p w14:paraId="5F7A4597" w14:textId="77777777" w:rsidR="005935FB" w:rsidRDefault="0059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653BC"/>
    <w:multiLevelType w:val="hybridMultilevel"/>
    <w:tmpl w:val="1CA8AFB2"/>
    <w:lvl w:ilvl="0" w:tplc="301AC52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83067"/>
    <w:multiLevelType w:val="hybridMultilevel"/>
    <w:tmpl w:val="FDCE8F6A"/>
    <w:lvl w:ilvl="0" w:tplc="FE744D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1"/>
  </w:num>
  <w:num w:numId="2" w16cid:durableId="1971278155">
    <w:abstractNumId w:val="12"/>
  </w:num>
  <w:num w:numId="3" w16cid:durableId="89014297">
    <w:abstractNumId w:val="23"/>
  </w:num>
  <w:num w:numId="4" w16cid:durableId="223299752">
    <w:abstractNumId w:val="16"/>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20"/>
  </w:num>
  <w:num w:numId="21" w16cid:durableId="1328948050">
    <w:abstractNumId w:val="14"/>
  </w:num>
  <w:num w:numId="22" w16cid:durableId="1990472938">
    <w:abstractNumId w:val="10"/>
  </w:num>
  <w:num w:numId="23" w16cid:durableId="2134639146">
    <w:abstractNumId w:val="26"/>
  </w:num>
  <w:num w:numId="24" w16cid:durableId="1727995675">
    <w:abstractNumId w:val="19"/>
  </w:num>
  <w:num w:numId="25" w16cid:durableId="1561402843">
    <w:abstractNumId w:val="25"/>
  </w:num>
  <w:num w:numId="26" w16cid:durableId="461003396">
    <w:abstractNumId w:val="18"/>
  </w:num>
  <w:num w:numId="27" w16cid:durableId="883755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2C50"/>
    <w:rsid w:val="000067C8"/>
    <w:rsid w:val="00011D42"/>
    <w:rsid w:val="0002368A"/>
    <w:rsid w:val="00031659"/>
    <w:rsid w:val="000334DF"/>
    <w:rsid w:val="00040C24"/>
    <w:rsid w:val="0005763D"/>
    <w:rsid w:val="00064B26"/>
    <w:rsid w:val="00081BCE"/>
    <w:rsid w:val="00090578"/>
    <w:rsid w:val="000A70BC"/>
    <w:rsid w:val="000B36CB"/>
    <w:rsid w:val="000B7A04"/>
    <w:rsid w:val="000C32BD"/>
    <w:rsid w:val="000D6887"/>
    <w:rsid w:val="000D7162"/>
    <w:rsid w:val="000E3AB0"/>
    <w:rsid w:val="00102A01"/>
    <w:rsid w:val="001032C1"/>
    <w:rsid w:val="00104317"/>
    <w:rsid w:val="001346AA"/>
    <w:rsid w:val="00135F8C"/>
    <w:rsid w:val="00136931"/>
    <w:rsid w:val="001574EA"/>
    <w:rsid w:val="00193AE7"/>
    <w:rsid w:val="00196FDD"/>
    <w:rsid w:val="001A6FC8"/>
    <w:rsid w:val="001D47FD"/>
    <w:rsid w:val="001F52FD"/>
    <w:rsid w:val="001F7AE4"/>
    <w:rsid w:val="00201694"/>
    <w:rsid w:val="002025AF"/>
    <w:rsid w:val="00202BB5"/>
    <w:rsid w:val="002060D2"/>
    <w:rsid w:val="00217B25"/>
    <w:rsid w:val="00222203"/>
    <w:rsid w:val="00240726"/>
    <w:rsid w:val="00246CC0"/>
    <w:rsid w:val="00257B0C"/>
    <w:rsid w:val="00260BED"/>
    <w:rsid w:val="00283FB4"/>
    <w:rsid w:val="0029323A"/>
    <w:rsid w:val="002B29E4"/>
    <w:rsid w:val="002E2423"/>
    <w:rsid w:val="002E488B"/>
    <w:rsid w:val="002F2BFE"/>
    <w:rsid w:val="00300ABD"/>
    <w:rsid w:val="0030688C"/>
    <w:rsid w:val="003134D1"/>
    <w:rsid w:val="003655E5"/>
    <w:rsid w:val="00366A96"/>
    <w:rsid w:val="0038676B"/>
    <w:rsid w:val="00391CA3"/>
    <w:rsid w:val="0039275D"/>
    <w:rsid w:val="003B6D64"/>
    <w:rsid w:val="003D66E5"/>
    <w:rsid w:val="003E1C41"/>
    <w:rsid w:val="003E3883"/>
    <w:rsid w:val="00405173"/>
    <w:rsid w:val="0040580D"/>
    <w:rsid w:val="0041064C"/>
    <w:rsid w:val="00420C11"/>
    <w:rsid w:val="0043522E"/>
    <w:rsid w:val="004359B6"/>
    <w:rsid w:val="00442ED0"/>
    <w:rsid w:val="0044688D"/>
    <w:rsid w:val="00447F09"/>
    <w:rsid w:val="00456B99"/>
    <w:rsid w:val="00460477"/>
    <w:rsid w:val="00461B5D"/>
    <w:rsid w:val="004631BF"/>
    <w:rsid w:val="00465B83"/>
    <w:rsid w:val="00467326"/>
    <w:rsid w:val="0047319C"/>
    <w:rsid w:val="00476B91"/>
    <w:rsid w:val="004800C7"/>
    <w:rsid w:val="004859C6"/>
    <w:rsid w:val="0048765A"/>
    <w:rsid w:val="00487E9F"/>
    <w:rsid w:val="004A1B6D"/>
    <w:rsid w:val="004A3210"/>
    <w:rsid w:val="004A60CD"/>
    <w:rsid w:val="004B428B"/>
    <w:rsid w:val="004B6EFE"/>
    <w:rsid w:val="004B7DE3"/>
    <w:rsid w:val="004C1DAF"/>
    <w:rsid w:val="004C2CD1"/>
    <w:rsid w:val="004D270D"/>
    <w:rsid w:val="004D5953"/>
    <w:rsid w:val="004E7B5C"/>
    <w:rsid w:val="00510652"/>
    <w:rsid w:val="00520FD1"/>
    <w:rsid w:val="00523945"/>
    <w:rsid w:val="005316C6"/>
    <w:rsid w:val="005316F3"/>
    <w:rsid w:val="00552DED"/>
    <w:rsid w:val="00555F79"/>
    <w:rsid w:val="00563006"/>
    <w:rsid w:val="00565AB5"/>
    <w:rsid w:val="00573832"/>
    <w:rsid w:val="00583A5C"/>
    <w:rsid w:val="005935FB"/>
    <w:rsid w:val="005A721A"/>
    <w:rsid w:val="005B12F4"/>
    <w:rsid w:val="005B12F9"/>
    <w:rsid w:val="005B7382"/>
    <w:rsid w:val="005D3F72"/>
    <w:rsid w:val="00614E63"/>
    <w:rsid w:val="00623196"/>
    <w:rsid w:val="0062446B"/>
    <w:rsid w:val="00631E0B"/>
    <w:rsid w:val="00646F0A"/>
    <w:rsid w:val="00652754"/>
    <w:rsid w:val="00652EB8"/>
    <w:rsid w:val="00654F21"/>
    <w:rsid w:val="00663305"/>
    <w:rsid w:val="00672C22"/>
    <w:rsid w:val="00676CFA"/>
    <w:rsid w:val="006826D0"/>
    <w:rsid w:val="00692F16"/>
    <w:rsid w:val="00694CD1"/>
    <w:rsid w:val="006A71F1"/>
    <w:rsid w:val="006B35F3"/>
    <w:rsid w:val="006B3EC7"/>
    <w:rsid w:val="006C1F78"/>
    <w:rsid w:val="006C3C30"/>
    <w:rsid w:val="006C6BAC"/>
    <w:rsid w:val="006E67B7"/>
    <w:rsid w:val="006E7855"/>
    <w:rsid w:val="006E7949"/>
    <w:rsid w:val="006F7708"/>
    <w:rsid w:val="007028C0"/>
    <w:rsid w:val="00707018"/>
    <w:rsid w:val="007254EA"/>
    <w:rsid w:val="00726A02"/>
    <w:rsid w:val="00730596"/>
    <w:rsid w:val="00733724"/>
    <w:rsid w:val="007401F7"/>
    <w:rsid w:val="0074626C"/>
    <w:rsid w:val="007469AD"/>
    <w:rsid w:val="00753704"/>
    <w:rsid w:val="0077513A"/>
    <w:rsid w:val="00775788"/>
    <w:rsid w:val="00791651"/>
    <w:rsid w:val="00792581"/>
    <w:rsid w:val="007A0979"/>
    <w:rsid w:val="007B016D"/>
    <w:rsid w:val="007B6097"/>
    <w:rsid w:val="007C4B0F"/>
    <w:rsid w:val="007C5DB6"/>
    <w:rsid w:val="007E79B4"/>
    <w:rsid w:val="0080753A"/>
    <w:rsid w:val="0081258C"/>
    <w:rsid w:val="00816016"/>
    <w:rsid w:val="00833311"/>
    <w:rsid w:val="00844333"/>
    <w:rsid w:val="008471F1"/>
    <w:rsid w:val="00855BA8"/>
    <w:rsid w:val="00860F89"/>
    <w:rsid w:val="0086391A"/>
    <w:rsid w:val="00867806"/>
    <w:rsid w:val="00872646"/>
    <w:rsid w:val="008866E7"/>
    <w:rsid w:val="00896153"/>
    <w:rsid w:val="008A07D5"/>
    <w:rsid w:val="008A2272"/>
    <w:rsid w:val="008A60E1"/>
    <w:rsid w:val="008C572D"/>
    <w:rsid w:val="008F3E6E"/>
    <w:rsid w:val="00905DC1"/>
    <w:rsid w:val="00913745"/>
    <w:rsid w:val="0091727B"/>
    <w:rsid w:val="00923739"/>
    <w:rsid w:val="0092773B"/>
    <w:rsid w:val="00930D3B"/>
    <w:rsid w:val="009374F4"/>
    <w:rsid w:val="00972C26"/>
    <w:rsid w:val="009969FC"/>
    <w:rsid w:val="00997A70"/>
    <w:rsid w:val="009A1DDC"/>
    <w:rsid w:val="009A4ED6"/>
    <w:rsid w:val="009A54B6"/>
    <w:rsid w:val="009C4592"/>
    <w:rsid w:val="009D0947"/>
    <w:rsid w:val="009D5188"/>
    <w:rsid w:val="009E317C"/>
    <w:rsid w:val="009E390D"/>
    <w:rsid w:val="009F6F36"/>
    <w:rsid w:val="00A15C0A"/>
    <w:rsid w:val="00A35031"/>
    <w:rsid w:val="00A35DA7"/>
    <w:rsid w:val="00A6738A"/>
    <w:rsid w:val="00AA7BE2"/>
    <w:rsid w:val="00AB4D4A"/>
    <w:rsid w:val="00AC0C35"/>
    <w:rsid w:val="00AC140E"/>
    <w:rsid w:val="00AC3D1E"/>
    <w:rsid w:val="00AD1865"/>
    <w:rsid w:val="00AE6A0C"/>
    <w:rsid w:val="00B146D4"/>
    <w:rsid w:val="00B240FF"/>
    <w:rsid w:val="00B26935"/>
    <w:rsid w:val="00B3218D"/>
    <w:rsid w:val="00B375B5"/>
    <w:rsid w:val="00B42558"/>
    <w:rsid w:val="00B52B39"/>
    <w:rsid w:val="00B62A1A"/>
    <w:rsid w:val="00B6340C"/>
    <w:rsid w:val="00B802CE"/>
    <w:rsid w:val="00B86AB0"/>
    <w:rsid w:val="00BA34E0"/>
    <w:rsid w:val="00BB608C"/>
    <w:rsid w:val="00BC13BF"/>
    <w:rsid w:val="00BC60CE"/>
    <w:rsid w:val="00BE5580"/>
    <w:rsid w:val="00BF7EF4"/>
    <w:rsid w:val="00C0512A"/>
    <w:rsid w:val="00C12E87"/>
    <w:rsid w:val="00C31EA1"/>
    <w:rsid w:val="00C44CE2"/>
    <w:rsid w:val="00C52B81"/>
    <w:rsid w:val="00C76D32"/>
    <w:rsid w:val="00C802A9"/>
    <w:rsid w:val="00C862D6"/>
    <w:rsid w:val="00C87293"/>
    <w:rsid w:val="00C975FA"/>
    <w:rsid w:val="00CC7BE7"/>
    <w:rsid w:val="00CD06C3"/>
    <w:rsid w:val="00CD1840"/>
    <w:rsid w:val="00CF6E4A"/>
    <w:rsid w:val="00D06D7D"/>
    <w:rsid w:val="00D12547"/>
    <w:rsid w:val="00D228D6"/>
    <w:rsid w:val="00D3211C"/>
    <w:rsid w:val="00D32C96"/>
    <w:rsid w:val="00D34F9C"/>
    <w:rsid w:val="00D500F7"/>
    <w:rsid w:val="00D56EBF"/>
    <w:rsid w:val="00D5715F"/>
    <w:rsid w:val="00D71B57"/>
    <w:rsid w:val="00D71BA8"/>
    <w:rsid w:val="00D8646B"/>
    <w:rsid w:val="00D87778"/>
    <w:rsid w:val="00D92D7B"/>
    <w:rsid w:val="00D933A3"/>
    <w:rsid w:val="00D93EE9"/>
    <w:rsid w:val="00D945B5"/>
    <w:rsid w:val="00D94DDC"/>
    <w:rsid w:val="00D9670F"/>
    <w:rsid w:val="00D96A22"/>
    <w:rsid w:val="00DA13F7"/>
    <w:rsid w:val="00DA634C"/>
    <w:rsid w:val="00DB028B"/>
    <w:rsid w:val="00DB62EC"/>
    <w:rsid w:val="00DB7C23"/>
    <w:rsid w:val="00DC2828"/>
    <w:rsid w:val="00DD3E6B"/>
    <w:rsid w:val="00DD63A3"/>
    <w:rsid w:val="00E000FE"/>
    <w:rsid w:val="00E24246"/>
    <w:rsid w:val="00E35416"/>
    <w:rsid w:val="00E43734"/>
    <w:rsid w:val="00E50C48"/>
    <w:rsid w:val="00E527DB"/>
    <w:rsid w:val="00E57D47"/>
    <w:rsid w:val="00E65B2F"/>
    <w:rsid w:val="00E84AA3"/>
    <w:rsid w:val="00E8517C"/>
    <w:rsid w:val="00E85FE6"/>
    <w:rsid w:val="00E969A6"/>
    <w:rsid w:val="00EB0A23"/>
    <w:rsid w:val="00ED1C61"/>
    <w:rsid w:val="00ED66E7"/>
    <w:rsid w:val="00F1133F"/>
    <w:rsid w:val="00F200CF"/>
    <w:rsid w:val="00F232BE"/>
    <w:rsid w:val="00F31926"/>
    <w:rsid w:val="00F359FF"/>
    <w:rsid w:val="00F5557A"/>
    <w:rsid w:val="00F57A27"/>
    <w:rsid w:val="00F636D3"/>
    <w:rsid w:val="00F72304"/>
    <w:rsid w:val="00FA206D"/>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link w:val="ListParagraphChar"/>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ListParagraphChar">
    <w:name w:val="List Paragraph Char"/>
    <w:basedOn w:val="DefaultParagraphFont"/>
    <w:link w:val="ListParagraph"/>
    <w:uiPriority w:val="34"/>
    <w:rsid w:val="00654F21"/>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FA206D"/>
    <w:rPr>
      <w:color w:val="605E5C"/>
      <w:shd w:val="clear" w:color="auto" w:fill="E1DFDD"/>
    </w:rPr>
  </w:style>
  <w:style w:type="paragraph" w:styleId="Revision">
    <w:name w:val="Revision"/>
    <w:hidden/>
    <w:uiPriority w:val="99"/>
    <w:semiHidden/>
    <w:rsid w:val="00031659"/>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607762D-438A-446B-99CA-CB9B9899CED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5-01-Canadian-Specific-Revisions-to-EOP-012-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394BA464859478913A38EF4C2A146" ma:contentTypeVersion="1" ma:contentTypeDescription="Create a new document." ma:contentTypeScope="" ma:versionID="f541ad5537e42857bb5470e32658e135">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_dlc_DocId xmlns="cbf880be-c7c2-4487-81cc-39803b2f2238">V5FEZNQ3RRSY-729300196-6480</_dlc_DocId>
    <_dlc_DocIdUrl xmlns="cbf880be-c7c2-4487-81cc-39803b2f2238">
      <Url>https://departments.internal.nerc.com/StandardsDev/_layouts/15/DocIdRedir.aspx?ID=V5FEZNQ3RRSY-729300196-6480</Url>
      <Description>V5FEZNQ3RRSY-729300196-6480</Description>
    </_dlc_DocIdUrl>
  </documentManagement>
</p:properties>
</file>

<file path=customXml/itemProps1.xml><?xml version="1.0" encoding="utf-8"?>
<ds:datastoreItem xmlns:ds="http://schemas.openxmlformats.org/officeDocument/2006/customXml" ds:itemID="{FE9C750E-748C-4FDF-8F3B-F005C5787FA1}"/>
</file>

<file path=customXml/itemProps2.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3.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4.xml><?xml version="1.0" encoding="utf-8"?>
<ds:datastoreItem xmlns:ds="http://schemas.openxmlformats.org/officeDocument/2006/customXml" ds:itemID="{1D783B2B-0B77-404F-924E-3A4B32A0A4BF}">
  <ds:schemaRefs>
    <ds:schemaRef ds:uri="http://schemas.microsoft.com/sharepoint/events"/>
  </ds:schemaRefs>
</ds:datastoreItem>
</file>

<file path=customXml/itemProps5.xml><?xml version="1.0" encoding="utf-8"?>
<ds:datastoreItem xmlns:ds="http://schemas.openxmlformats.org/officeDocument/2006/customXml" ds:itemID="{DF00840C-1E4E-4A11-A094-937B25826565}"/>
</file>

<file path=customXml/itemProps6.xml><?xml version="1.0" encoding="utf-8"?>
<ds:datastoreItem xmlns:ds="http://schemas.openxmlformats.org/officeDocument/2006/customXml" ds:itemID="{1FA1D400-2C2F-43CE-9427-E3BA39C934FD}">
  <ds:schemaRefs>
    <ds:schemaRef ds:uri="http://schemas.microsoft.com/office/infopath/2007/PartnerControls"/>
    <ds:schemaRef ds:uri="http://www.w3.org/XML/1998/namespace"/>
    <ds:schemaRef ds:uri="http://purl.org/dc/elements/1.1/"/>
    <ds:schemaRef ds:uri="http://schemas.microsoft.com/office/2006/documentManagement/types"/>
    <ds:schemaRef ds:uri="3e1050e7-7faf-40ec-88f1-5bdab33a6ff5"/>
    <ds:schemaRef ds:uri="http://schemas.microsoft.com/sharepoint/v3"/>
    <ds:schemaRef ds:uri="http://schemas.openxmlformats.org/package/2006/metadata/core-properties"/>
    <ds:schemaRef ds:uri="http://purl.org/dc/terms/"/>
    <ds:schemaRef ds:uri="http://schemas.microsoft.com/office/2006/metadata/properties"/>
    <ds:schemaRef ds:uri="be72bb46-7b96-43f6-b3d2-cb56bca42853"/>
    <ds:schemaRef ds:uri="http://schemas.microsoft.com/sharepoint/v4"/>
    <ds:schemaRef ds:uri="http://purl.org/dc/dcmitype/"/>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6981</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Project 2025-01 Nomination Form</vt:lpstr>
    </vt:vector>
  </TitlesOfParts>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2025-01 Nomination Form</dc:title>
  <dc:subject/>
  <dc:creator/>
  <cp:keywords>Unofficial Nomination Form</cp:keywords>
  <cp:lastModifiedBy/>
  <cp:revision>1</cp:revision>
  <dcterms:created xsi:type="dcterms:W3CDTF">2025-07-10T15:44:00Z</dcterms:created>
  <dcterms:modified xsi:type="dcterms:W3CDTF">2025-07-10T15:44:00Z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0x010100619394BA464859478913A38EF4C2A146</vt:lpwstr>
  </property>
  <property fmtid="{D5CDD505-2E9C-101B-9397-08002B2CF9AE}" pid="3" name="_dlc_DocIdItemGuid">
    <vt:lpwstr>3a53f33f-63ea-4a7f-ba5e-3f87b0611cd8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16149;#2025-01|d35fcf03-25ba-4bd8-ae74-66551332acff</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10177;#SAR Comment Period|df8b736d-f3a7-49b1-96f7-38138f4e9980</vt:lpwstr>
  </property>
  <property fmtid="{D5CDD505-2E9C-101B-9397-08002B2CF9AE}" pid="17" name="Standard Number - New">
    <vt:lpwstr/>
  </property>
  <property fmtid="{D5CDD505-2E9C-101B-9397-08002B2CF9AE}" pid="18" name="SD Project Type">
    <vt:lpwstr/>
  </property>
</Properties>
</file>