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55D29FE1"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00583F" w:rsidRPr="0000583F">
        <w:rPr>
          <w:b w:val="0"/>
          <w:sz w:val="32"/>
          <w:szCs w:val="32"/>
        </w:rPr>
        <w:t>Project 2018-01 Canadian-specific Revisions to TPL-007-2</w:t>
      </w:r>
    </w:p>
    <w:p w14:paraId="4338961D" w14:textId="15EE26ED"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2" w:history="1">
        <w:r w:rsidR="00012CED" w:rsidRPr="00012CED">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E858C1">
        <w:rPr>
          <w:rStyle w:val="Strong"/>
          <w:rFonts w:ascii="Calibri" w:hAnsi="Calibri" w:cs="Arial"/>
        </w:rPr>
        <w:t>Thursday, April 12, 2018</w:t>
      </w:r>
      <w:r w:rsidR="00E858C1" w:rsidRPr="00E858C1">
        <w:rPr>
          <w:rStyle w:val="Strong"/>
          <w:rFonts w:ascii="Calibri" w:hAnsi="Calibri" w:cs="Arial"/>
          <w:b w:val="0"/>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68020B3" w:rsidR="004A60CD" w:rsidRPr="00816016" w:rsidRDefault="00F5557A" w:rsidP="00816016">
      <w:pPr>
        <w:rPr>
          <w:rFonts w:cs="Arial"/>
        </w:rPr>
      </w:pPr>
      <w:r>
        <w:t xml:space="preserve">Additional </w:t>
      </w:r>
      <w:r w:rsidR="00833311">
        <w:t xml:space="preserve">information about this project </w:t>
      </w:r>
      <w:r>
        <w:t>is</w:t>
      </w:r>
      <w:r w:rsidR="00E858C1">
        <w:t xml:space="preserve"> available on the </w:t>
      </w:r>
      <w:hyperlink r:id="rId13" w:history="1">
        <w:r w:rsidR="0000583F" w:rsidRPr="00012CED">
          <w:rPr>
            <w:rStyle w:val="Hyperlink"/>
          </w:rPr>
          <w:t>Project 2018-01 Canadian-specific Revisions to TPL-007-2</w:t>
        </w:r>
      </w:hyperlink>
      <w:r>
        <w:t xml:space="preserve"> page</w:t>
      </w:r>
      <w:r w:rsidR="00833311">
        <w:t xml:space="preserve">. </w:t>
      </w:r>
      <w:r w:rsidR="00833311" w:rsidRPr="00786AD7">
        <w:t>If you have questions</w:t>
      </w:r>
      <w:r w:rsidR="00833311">
        <w:t xml:space="preserve">, </w:t>
      </w:r>
      <w:r w:rsidR="0000583F">
        <w:t xml:space="preserve">contact </w:t>
      </w:r>
      <w:r w:rsidR="0000583F" w:rsidRPr="00CE5E77">
        <w:t xml:space="preserve">Standards Developer, </w:t>
      </w:r>
      <w:hyperlink r:id="rId14" w:history="1">
        <w:r w:rsidR="0000583F" w:rsidRPr="009B6A99">
          <w:rPr>
            <w:rStyle w:val="Hyperlink"/>
            <w:sz w:val="22"/>
          </w:rPr>
          <w:t>Mat Bunch</w:t>
        </w:r>
      </w:hyperlink>
      <w:r w:rsidR="0000583F">
        <w:t xml:space="preserve"> (via email) or at</w:t>
      </w:r>
      <w:r w:rsidR="0000583F">
        <w:br/>
        <w:t>(404) 446-9785</w:t>
      </w:r>
      <w:r w:rsidR="0000583F" w:rsidRPr="00CE5E77">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0D1DE93" w14:textId="4E562A81" w:rsidR="0000583F" w:rsidRDefault="0000583F" w:rsidP="0062446B">
      <w:pPr>
        <w:pStyle w:val="default0"/>
        <w:rPr>
          <w:rStyle w:val="BoxText"/>
          <w:rFonts w:ascii="Tahoma" w:hAnsi="Tahoma" w:cs="Tahoma"/>
          <w:sz w:val="22"/>
          <w:szCs w:val="22"/>
        </w:rPr>
      </w:pPr>
      <w:r w:rsidRPr="0000583F">
        <w:rPr>
          <w:rStyle w:val="BoxText"/>
          <w:rFonts w:ascii="Tahoma" w:hAnsi="Tahoma" w:cs="Tahoma"/>
          <w:sz w:val="22"/>
          <w:szCs w:val="22"/>
        </w:rPr>
        <w:t xml:space="preserve">Project 2018-01 Canadian-specific Revisions to </w:t>
      </w:r>
      <w:bookmarkStart w:id="1" w:name="_GoBack"/>
      <w:bookmarkEnd w:id="1"/>
      <w:r w:rsidRPr="0000583F">
        <w:rPr>
          <w:rStyle w:val="BoxText"/>
          <w:rFonts w:ascii="Tahoma" w:hAnsi="Tahoma" w:cs="Tahoma"/>
          <w:sz w:val="22"/>
          <w:szCs w:val="22"/>
        </w:rPr>
        <w:t>TPL-007-2</w:t>
      </w:r>
    </w:p>
    <w:p w14:paraId="44CE2D16" w14:textId="77777777" w:rsidR="0000583F" w:rsidRDefault="0000583F" w:rsidP="0062446B">
      <w:pPr>
        <w:pStyle w:val="default0"/>
        <w:rPr>
          <w:rStyle w:val="BoxText"/>
          <w:rFonts w:asciiTheme="minorHAnsi" w:hAnsiTheme="minorHAnsi" w:cs="Arial"/>
          <w:b w:val="0"/>
          <w:sz w:val="24"/>
        </w:rPr>
      </w:pPr>
      <w:r w:rsidRPr="0000583F">
        <w:rPr>
          <w:rStyle w:val="BoxText"/>
          <w:rFonts w:asciiTheme="minorHAnsi" w:hAnsiTheme="minorHAnsi" w:cs="Arial"/>
          <w:b w:val="0"/>
          <w:sz w:val="24"/>
        </w:rPr>
        <w:t>The purpose of this project is to enable the option for Canadian Registered Entities to leverage operating experience, observed GMD effects, and on-going research efforts for defining alternative Benchmark GMD Events and/or Supplemental GMD Events that appropriately reflect their specific geographical</w:t>
      </w:r>
      <w:r>
        <w:rPr>
          <w:rStyle w:val="BoxText"/>
          <w:rFonts w:asciiTheme="minorHAnsi" w:hAnsiTheme="minorHAnsi" w:cs="Arial"/>
          <w:b w:val="0"/>
          <w:sz w:val="24"/>
        </w:rPr>
        <w:t xml:space="preserve"> and geological characteristics.</w:t>
      </w:r>
    </w:p>
    <w:p w14:paraId="43389627" w14:textId="34A48D85"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77777777" w:rsidR="00476B91" w:rsidRPr="0000583F" w:rsidRDefault="00476B91" w:rsidP="00476B91">
      <w:pPr>
        <w:shd w:val="clear" w:color="auto" w:fill="FFFFFF"/>
        <w:ind w:left="1" w:right="2"/>
        <w:rPr>
          <w:rStyle w:val="BoxText"/>
          <w:rFonts w:ascii="Tahoma" w:eastAsiaTheme="minorHAnsi" w:hAnsi="Tahoma" w:cs="Tahoma"/>
          <w:color w:val="000000"/>
          <w:sz w:val="22"/>
          <w:szCs w:val="22"/>
        </w:rPr>
      </w:pPr>
      <w:r w:rsidRPr="0000583F">
        <w:rPr>
          <w:rStyle w:val="BoxText"/>
          <w:rFonts w:ascii="Tahoma" w:eastAsiaTheme="minorHAnsi" w:hAnsi="Tahoma" w:cs="Tahoma"/>
          <w:color w:val="000000"/>
          <w:sz w:val="22"/>
          <w:szCs w:val="22"/>
        </w:rPr>
        <w:t xml:space="preserve">Standards affected: </w:t>
      </w:r>
    </w:p>
    <w:p w14:paraId="578EE3FD" w14:textId="77777777" w:rsidR="0000583F" w:rsidRPr="0000583F" w:rsidRDefault="00012CED" w:rsidP="0000583F">
      <w:pPr>
        <w:rPr>
          <w:rFonts w:cs="Arial"/>
        </w:rPr>
      </w:pPr>
      <w:hyperlink r:id="rId15" w:history="1">
        <w:r w:rsidR="0000583F" w:rsidRPr="0000583F">
          <w:rPr>
            <w:rStyle w:val="Hyperlink"/>
            <w:rFonts w:cs="Arial"/>
          </w:rPr>
          <w:t>TPL-007-2</w:t>
        </w:r>
      </w:hyperlink>
      <w:r w:rsidR="0000583F" w:rsidRPr="0000583F">
        <w:rPr>
          <w:rFonts w:cs="Arial"/>
        </w:rPr>
        <w:t xml:space="preserve"> – Transmission System Planned Performance for Geomagnetic Disturbance Events</w:t>
      </w:r>
    </w:p>
    <w:p w14:paraId="75FF7DE2" w14:textId="2DD7A008" w:rsidR="00487E9F" w:rsidRPr="0000583F" w:rsidRDefault="00D34F9C" w:rsidP="00631E0B">
      <w:pPr>
        <w:rPr>
          <w:rStyle w:val="BoxText"/>
          <w:rFonts w:asciiTheme="minorHAnsi" w:hAnsiTheme="minorHAnsi" w:cs="Tahoma"/>
          <w:b w:val="0"/>
          <w:color w:val="000000"/>
          <w:sz w:val="24"/>
          <w:szCs w:val="18"/>
          <w:shd w:val="clear" w:color="auto" w:fill="FFFFFF"/>
        </w:rPr>
      </w:pPr>
      <w:r>
        <w:rPr>
          <w:rStyle w:val="BoxText"/>
          <w:rFonts w:asciiTheme="minorHAnsi" w:hAnsiTheme="minorHAnsi" w:cs="Arial"/>
          <w:b w:val="0"/>
          <w:sz w:val="24"/>
        </w:rPr>
        <w:br/>
      </w:r>
      <w:r w:rsidR="0000583F" w:rsidRPr="0000583F">
        <w:rPr>
          <w:rFonts w:cs="Tahoma"/>
          <w:color w:val="000000"/>
          <w:szCs w:val="18"/>
          <w:shd w:val="clear" w:color="auto" w:fill="FFFFFF"/>
        </w:rPr>
        <w:t xml:space="preserve">Reliability Standard TPL-007-2 </w:t>
      </w:r>
      <w:r w:rsidR="0000583F" w:rsidRPr="0000583F">
        <w:rPr>
          <w:rFonts w:cs="Tahoma"/>
          <w:szCs w:val="18"/>
        </w:rPr>
        <w:t>–</w:t>
      </w:r>
      <w:r w:rsidR="0000583F" w:rsidRPr="0000583F">
        <w:rPr>
          <w:rFonts w:cs="Tahoma"/>
          <w:color w:val="000000"/>
          <w:szCs w:val="18"/>
          <w:shd w:val="clear" w:color="auto" w:fill="FFFFFF"/>
        </w:rPr>
        <w:t xml:space="preserve"> Transmission System Planned Performance for Geomagnetic Disturbance Events was approved by industry in 2017 and filed with the Federal Energy Regulatory Commission on January 22, 2018 and the Canadian authorities on February 27, 2018. The first version of the standard, </w:t>
      </w:r>
      <w:hyperlink r:id="rId16" w:history="1">
        <w:r w:rsidR="0000583F" w:rsidRPr="0000583F">
          <w:rPr>
            <w:rStyle w:val="Hyperlink"/>
            <w:rFonts w:cs="Tahoma"/>
            <w:szCs w:val="18"/>
            <w:shd w:val="clear" w:color="auto" w:fill="FFFFFF"/>
          </w:rPr>
          <w:t>TPL-007-1</w:t>
        </w:r>
      </w:hyperlink>
      <w:r w:rsidR="0000583F" w:rsidRPr="0000583F">
        <w:rPr>
          <w:rFonts w:cs="Tahoma"/>
          <w:color w:val="000000"/>
          <w:szCs w:val="18"/>
          <w:shd w:val="clear" w:color="auto" w:fill="FFFFFF"/>
        </w:rPr>
        <w:t xml:space="preserve">, requires entities to assess the impact to their systems from a defined event referred to as the “Benchmark GMD Event.” The second version of the standard adds new Requirements R8, R9, and R10 to require responsible entities to assess the potential implications of a “Supplemental GMD Event” on their equipment and systems in accordance with the FERC’s directives in </w:t>
      </w:r>
      <w:hyperlink r:id="rId17" w:history="1">
        <w:r w:rsidR="0000583F" w:rsidRPr="0000583F">
          <w:rPr>
            <w:rStyle w:val="Hyperlink"/>
            <w:rFonts w:cs="Tahoma"/>
            <w:szCs w:val="18"/>
            <w:shd w:val="clear" w:color="auto" w:fill="FFFFFF"/>
          </w:rPr>
          <w:t>Order No. 830</w:t>
        </w:r>
      </w:hyperlink>
      <w:r w:rsidR="0000583F" w:rsidRPr="0000583F">
        <w:rPr>
          <w:rFonts w:cs="Tahoma"/>
          <w:color w:val="000000"/>
          <w:szCs w:val="18"/>
          <w:shd w:val="clear" w:color="auto" w:fill="FFFFFF"/>
        </w:rPr>
        <w:t xml:space="preserve">. </w:t>
      </w:r>
    </w:p>
    <w:p w14:paraId="3A20ED30" w14:textId="77777777" w:rsidR="00487E9F" w:rsidRDefault="00487E9F" w:rsidP="00816016">
      <w:pPr>
        <w:rPr>
          <w:rStyle w:val="BoxText"/>
          <w:rFonts w:asciiTheme="minorHAnsi" w:hAnsiTheme="minorHAnsi" w:cs="Arial"/>
          <w:b w:val="0"/>
          <w:sz w:val="24"/>
        </w:rPr>
      </w:pPr>
    </w:p>
    <w:p w14:paraId="1C381FB5" w14:textId="7E6CCD00" w:rsidR="00487E9F" w:rsidRDefault="00487E9F" w:rsidP="00487E9F">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4338962B" w14:textId="7E83B98D" w:rsidR="00565AB5" w:rsidRDefault="00240726" w:rsidP="0081601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44232ACC" w:rsidR="00FD1345" w:rsidRPr="00193AE7" w:rsidRDefault="00260BED" w:rsidP="00DB028B">
            <w:pPr>
              <w:spacing w:before="60" w:after="60"/>
              <w:rPr>
                <w:rStyle w:val="BoxText"/>
                <w:rFonts w:asciiTheme="minorHAnsi" w:hAnsiTheme="minorHAnsi" w:cs="Arial"/>
                <w:b w:val="0"/>
                <w:sz w:val="24"/>
              </w:rPr>
            </w:pPr>
            <w:r>
              <w:rPr>
                <w:rFonts w:ascii="Verdana" w:hAnsi="Verdana" w:cs="Arial"/>
                <w:sz w:val="18"/>
                <w:szCs w:val="18"/>
              </w:rPr>
              <w:lastRenderedPageBreak/>
              <w:br w:type="page"/>
            </w:r>
            <w:r w:rsidR="00FD1345" w:rsidRPr="00193AE7">
              <w:rPr>
                <w:rStyle w:val="BoxText"/>
                <w:rFonts w:asciiTheme="minorHAnsi" w:hAnsiTheme="minorHAnsi" w:cs="Arial"/>
                <w:sz w:val="24"/>
              </w:rPr>
              <w:t>Name:</w:t>
            </w:r>
            <w:r w:rsidR="00FD1345"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12CED">
              <w:rPr>
                <w:rFonts w:cs="Arial"/>
              </w:rPr>
            </w:r>
            <w:r w:rsidR="00012CED">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12CED">
              <w:rPr>
                <w:rFonts w:cs="Arial"/>
              </w:rPr>
            </w:r>
            <w:r w:rsidR="00012CED">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12CED">
              <w:rPr>
                <w:rFonts w:cs="Arial"/>
              </w:rPr>
            </w:r>
            <w:r w:rsidR="00012CED">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12CED">
              <w:rPr>
                <w:rFonts w:cs="Arial"/>
              </w:rPr>
            </w:r>
            <w:r w:rsidR="00012CED">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3" w14:textId="444BB0B8"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12CED">
              <w:rPr>
                <w:rStyle w:val="BoxText"/>
                <w:rFonts w:asciiTheme="minorHAnsi" w:hAnsiTheme="minorHAnsi"/>
                <w:b w:val="0"/>
                <w:sz w:val="24"/>
              </w:rPr>
            </w:r>
            <w:r w:rsidR="00012CE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12CED">
              <w:rPr>
                <w:rFonts w:cs="Arial"/>
              </w:rPr>
            </w:r>
            <w:r w:rsidR="00012CED">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12CED">
              <w:rPr>
                <w:rFonts w:ascii="Verdana" w:hAnsi="Verdana" w:cs="Arial"/>
              </w:rPr>
            </w:r>
            <w:r w:rsidR="00012CED">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12CED">
              <w:rPr>
                <w:rStyle w:val="BoxText"/>
                <w:rFonts w:ascii="Verdana" w:hAnsi="Verdana"/>
                <w:b w:val="0"/>
                <w:sz w:val="24"/>
              </w:rPr>
            </w:r>
            <w:r w:rsidR="00012CED">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12CED">
              <w:rPr>
                <w:rStyle w:val="BoxText"/>
                <w:rFonts w:asciiTheme="minorHAnsi" w:hAnsiTheme="minorHAnsi" w:cs="Arial"/>
                <w:b w:val="0"/>
                <w:sz w:val="24"/>
              </w:rPr>
            </w:r>
            <w:r w:rsidR="00012CE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8"/>
      <w:footerReference w:type="default" r:id="rId19"/>
      <w:headerReference w:type="first" r:id="rId20"/>
      <w:footerReference w:type="first" r:id="rId21"/>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96A8" w14:textId="77777777" w:rsidR="002E488B" w:rsidRDefault="002E488B">
      <w:r>
        <w:separator/>
      </w:r>
    </w:p>
  </w:endnote>
  <w:endnote w:type="continuationSeparator" w:id="0">
    <w:p w14:paraId="433896A9" w14:textId="77777777" w:rsidR="002E488B" w:rsidRDefault="002E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2048B7A9" w:rsidR="00896153" w:rsidRPr="00855BA8" w:rsidRDefault="00896153" w:rsidP="0002368A">
    <w:pPr>
      <w:pStyle w:val="Footer"/>
      <w:tabs>
        <w:tab w:val="clear" w:pos="10354"/>
        <w:tab w:val="right" w:pos="10350"/>
      </w:tabs>
      <w:ind w:left="0" w:right="18"/>
    </w:pPr>
    <w:r>
      <w:t>Unofficial Nomination Form</w:t>
    </w:r>
    <w:r w:rsidR="0002368A">
      <w:br/>
    </w:r>
    <w:r w:rsidR="0000583F" w:rsidRPr="0000583F">
      <w:t>Project 2018-01 Canadian-specific Revisions to TPL-007-2</w:t>
    </w:r>
    <w:r w:rsidR="00833311" w:rsidRPr="00833311">
      <w:t xml:space="preserve">| </w:t>
    </w:r>
    <w:r w:rsidR="0000583F">
      <w:t>March 2018</w:t>
    </w:r>
    <w:r>
      <w:tab/>
    </w:r>
    <w:r w:rsidR="001F52FD">
      <w:fldChar w:fldCharType="begin"/>
    </w:r>
    <w:r w:rsidR="001F52FD">
      <w:instrText xml:space="preserve"> PAGE </w:instrText>
    </w:r>
    <w:r w:rsidR="001F52FD">
      <w:fldChar w:fldCharType="separate"/>
    </w:r>
    <w:r w:rsidR="00012CED">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896A6" w14:textId="77777777" w:rsidR="002E488B" w:rsidRDefault="002E488B">
      <w:r>
        <w:separator/>
      </w:r>
    </w:p>
  </w:footnote>
  <w:footnote w:type="continuationSeparator" w:id="0">
    <w:p w14:paraId="433896A7" w14:textId="77777777" w:rsidR="002E488B" w:rsidRDefault="002E488B">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583F"/>
    <w:rsid w:val="000067C8"/>
    <w:rsid w:val="00011D42"/>
    <w:rsid w:val="00012CED"/>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E1C41"/>
    <w:rsid w:val="0040580D"/>
    <w:rsid w:val="0041064C"/>
    <w:rsid w:val="00416DC3"/>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614E63"/>
    <w:rsid w:val="0062446B"/>
    <w:rsid w:val="00631E0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E79B4"/>
    <w:rsid w:val="0080753A"/>
    <w:rsid w:val="00816016"/>
    <w:rsid w:val="00833311"/>
    <w:rsid w:val="00855BA8"/>
    <w:rsid w:val="008866E7"/>
    <w:rsid w:val="00896153"/>
    <w:rsid w:val="008A2272"/>
    <w:rsid w:val="008C572D"/>
    <w:rsid w:val="008F3E6E"/>
    <w:rsid w:val="00905DC1"/>
    <w:rsid w:val="00930D3B"/>
    <w:rsid w:val="00972C26"/>
    <w:rsid w:val="00997A70"/>
    <w:rsid w:val="009A4ED6"/>
    <w:rsid w:val="009E317C"/>
    <w:rsid w:val="00A15C0A"/>
    <w:rsid w:val="00A35DA7"/>
    <w:rsid w:val="00A6738A"/>
    <w:rsid w:val="00AC0C35"/>
    <w:rsid w:val="00AD1865"/>
    <w:rsid w:val="00B146D4"/>
    <w:rsid w:val="00B240FF"/>
    <w:rsid w:val="00B375B5"/>
    <w:rsid w:val="00B62A1A"/>
    <w:rsid w:val="00B86AB0"/>
    <w:rsid w:val="00BA34E0"/>
    <w:rsid w:val="00BE5580"/>
    <w:rsid w:val="00BF7EF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E858C1"/>
    <w:rsid w:val="00F200CF"/>
    <w:rsid w:val="00F31926"/>
    <w:rsid w:val="00F359FF"/>
    <w:rsid w:val="00F5557A"/>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rc.com/pa/Stand/Pages/Project201801CanadianspecificRevisionstoTPL0072.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nerc.net/nercsurvey/Survey.aspx?s=c3ab2bc9b852456e823c31d858fa5491" TargetMode="External"/><Relationship Id="rId17" Type="http://schemas.openxmlformats.org/officeDocument/2006/relationships/hyperlink" Target="http://www.nerc.com/filingsorders/us/FERCOrdersRules/E-4.pdf" TargetMode="External"/><Relationship Id="rId2" Type="http://schemas.openxmlformats.org/officeDocument/2006/relationships/customXml" Target="../customXml/item2.xml"/><Relationship Id="rId16" Type="http://schemas.openxmlformats.org/officeDocument/2006/relationships/hyperlink" Target="http://www.nerc.com/_layouts/PrintStandard.aspx?standardnumber=TPL-007-1&amp;title=Transmission%20System%20Planned%20Performance%20for%20Geomagnetic%20Disturbance%20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_layouts/PrintStandard.aspx?standardnumber=TPL-007-2&amp;title=Transmission%20System%20Planned%20Performance%20for%20Geomagnetic%20Disturbance%20Even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bunch@nerc.ne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FD5DE64EF85E4ABBE07D74B214ABFF" ma:contentTypeVersion="1" ma:contentTypeDescription="Create a new document." ma:contentTypeScope="" ma:versionID="6dbc54d20459345372ee913a3dad899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A1D400-2C2F-43CE-9427-E3BA39C934FD}"/>
</file>

<file path=customXml/itemProps2.xml><?xml version="1.0" encoding="utf-8"?>
<ds:datastoreItem xmlns:ds="http://schemas.openxmlformats.org/officeDocument/2006/customXml" ds:itemID="{23C92238-4D49-464B-8DB9-046B22B4915A}"/>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7FC8B33A-6711-4B15-A0E4-3ACF0E7049AF}"/>
</file>

<file path=customXml/itemProps5.xml><?xml version="1.0" encoding="utf-8"?>
<ds:datastoreItem xmlns:ds="http://schemas.openxmlformats.org/officeDocument/2006/customXml" ds:itemID="{4442FDAE-6FB2-42F0-A41B-BC4844573960}"/>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2018-03-28T15:59:00Z</dcterms:created>
  <dcterms:modified xsi:type="dcterms:W3CDTF">2018-03-28T16:35:00Z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0x010100FBFD5DE64EF85E4ABBE07D74B214ABFF</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ies>
</file>