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304FB" w:rsidR="0039275D" w:rsidP="0091764B" w:rsidRDefault="00A92B1C" w14:paraId="77DF62AD" w14:textId="77777777">
      <w:pPr>
        <w:pStyle w:val="DocumentTitle"/>
        <w:rPr>
          <w:szCs w:val="44"/>
        </w:rPr>
      </w:pPr>
      <w:r w:rsidRPr="000304FB">
        <w:rPr>
          <w:szCs w:val="44"/>
        </w:rPr>
        <w:t>Unoff</w:t>
      </w:r>
      <w:r w:rsidRPr="000304FB" w:rsidR="0073546A">
        <w:rPr>
          <w:szCs w:val="44"/>
        </w:rPr>
        <w:t>i</w:t>
      </w:r>
      <w:r w:rsidRPr="000304FB">
        <w:rPr>
          <w:szCs w:val="44"/>
        </w:rPr>
        <w:t>cial Comment Form</w:t>
      </w:r>
    </w:p>
    <w:p w:rsidR="002D740C" w:rsidP="00806402" w:rsidRDefault="00107332" w14:paraId="15191AE0" w14:textId="4A99AD9F">
      <w:pPr>
        <w:pStyle w:val="DocumentSubtitle"/>
        <w:rPr>
          <w:szCs w:val="32"/>
        </w:rPr>
      </w:pPr>
      <w:bookmarkStart w:name="_Toc195946480" w:id="0"/>
      <w:r>
        <w:rPr>
          <w:szCs w:val="32"/>
        </w:rPr>
        <w:t>Project 2021</w:t>
      </w:r>
      <w:r w:rsidR="002D740C">
        <w:rPr>
          <w:szCs w:val="32"/>
        </w:rPr>
        <w:t>-0</w:t>
      </w:r>
      <w:r>
        <w:rPr>
          <w:szCs w:val="32"/>
        </w:rPr>
        <w:t>7</w:t>
      </w:r>
      <w:r w:rsidR="002D740C">
        <w:rPr>
          <w:szCs w:val="32"/>
        </w:rPr>
        <w:t xml:space="preserve"> </w:t>
      </w:r>
      <w:r>
        <w:rPr>
          <w:szCs w:val="32"/>
        </w:rPr>
        <w:t xml:space="preserve">Extreme Cold Weather Grid Operations, </w:t>
      </w:r>
      <w:r w:rsidR="009247D9">
        <w:rPr>
          <w:szCs w:val="32"/>
        </w:rPr>
        <w:t>Preparedness</w:t>
      </w:r>
      <w:r>
        <w:rPr>
          <w:szCs w:val="32"/>
        </w:rPr>
        <w:t>, and</w:t>
      </w:r>
      <w:r w:rsidR="002D740C">
        <w:rPr>
          <w:szCs w:val="32"/>
        </w:rPr>
        <w:t xml:space="preserve"> </w:t>
      </w:r>
      <w:r>
        <w:rPr>
          <w:szCs w:val="32"/>
        </w:rPr>
        <w:t>Coordination</w:t>
      </w:r>
      <w:r w:rsidR="002861E3">
        <w:rPr>
          <w:szCs w:val="32"/>
        </w:rPr>
        <w:t xml:space="preserve"> | Phase 2</w:t>
      </w:r>
    </w:p>
    <w:p w:rsidR="002F2BFE" w:rsidP="00806402" w:rsidRDefault="002F2BFE" w14:paraId="64EB68D1" w14:textId="77777777">
      <w:pPr>
        <w:pStyle w:val="Heading1"/>
      </w:pPr>
    </w:p>
    <w:p w:rsidRPr="00D24289" w:rsidR="0073546A" w:rsidP="00806402" w:rsidRDefault="00172CE3" w14:paraId="3620FC62" w14:textId="508FCDEE">
      <w:bookmarkStart w:name="_Toc195946481" w:id="1"/>
      <w:bookmarkEnd w:id="0"/>
      <w:r>
        <w:rPr>
          <w:rFonts w:cstheme="minorHAnsi"/>
          <w:b/>
        </w:rPr>
        <w:t>Do not</w:t>
      </w:r>
      <w:r>
        <w:rPr>
          <w:rFonts w:cstheme="minorHAnsi"/>
        </w:rPr>
        <w:t xml:space="preserve"> use this form for submitting comments. Use </w:t>
      </w:r>
      <w:r>
        <w:t xml:space="preserve">the </w:t>
      </w:r>
      <w:hyperlink w:history="1" r:id="rId13">
        <w:r w:rsidRPr="0018520A">
          <w:rPr>
            <w:rStyle w:val="Hyperlink"/>
          </w:rPr>
          <w:t>Standards Balloting and Commenting System (SBS)</w:t>
        </w:r>
      </w:hyperlink>
      <w:r>
        <w:rPr>
          <w:rFonts w:cstheme="minorHAnsi"/>
        </w:rPr>
        <w:t xml:space="preserve"> to submit comments on </w:t>
      </w:r>
      <w:r w:rsidRPr="005C0AFD" w:rsidR="005C0AFD">
        <w:rPr>
          <w:rFonts w:cstheme="minorHAnsi"/>
          <w:b/>
        </w:rPr>
        <w:t xml:space="preserve">Phase 2 of </w:t>
      </w:r>
      <w:r w:rsidRPr="008D3B53" w:rsidR="008D3B53">
        <w:rPr>
          <w:b/>
        </w:rPr>
        <w:t>Project 202</w:t>
      </w:r>
      <w:r w:rsidR="00107332">
        <w:rPr>
          <w:b/>
        </w:rPr>
        <w:t>1-07</w:t>
      </w:r>
      <w:r w:rsidRPr="008D3B53" w:rsidR="00DC3A78">
        <w:rPr>
          <w:b/>
        </w:rPr>
        <w:t xml:space="preserve"> </w:t>
      </w:r>
      <w:r w:rsidR="00107332">
        <w:rPr>
          <w:b/>
        </w:rPr>
        <w:t>Extreme Cold Weather Grid Operations, Preparedness, and Coordination</w:t>
      </w:r>
      <w:r w:rsidRPr="008D3B53">
        <w:rPr>
          <w:b/>
        </w:rPr>
        <w:t xml:space="preserve"> </w:t>
      </w:r>
      <w:r w:rsidRPr="008D3B53">
        <w:rPr>
          <w:rFonts w:cstheme="minorHAnsi"/>
        </w:rPr>
        <w:t>by</w:t>
      </w:r>
      <w:r w:rsidRPr="008D3B53">
        <w:rPr>
          <w:rFonts w:cstheme="minorHAnsi"/>
          <w:b/>
        </w:rPr>
        <w:t xml:space="preserve"> </w:t>
      </w:r>
      <w:r w:rsidRPr="008D3B53">
        <w:rPr>
          <w:b/>
        </w:rPr>
        <w:t xml:space="preserve">8 p.m. Eastern, </w:t>
      </w:r>
      <w:r w:rsidR="002861E3">
        <w:rPr>
          <w:b/>
        </w:rPr>
        <w:t xml:space="preserve">Thursday, </w:t>
      </w:r>
      <w:r w:rsidR="008A0C21">
        <w:rPr>
          <w:b/>
        </w:rPr>
        <w:t>April 1</w:t>
      </w:r>
      <w:r w:rsidR="002861E3">
        <w:rPr>
          <w:b/>
        </w:rPr>
        <w:t>3</w:t>
      </w:r>
      <w:r w:rsidR="008A0C21">
        <w:rPr>
          <w:b/>
        </w:rPr>
        <w:t>, 2023</w:t>
      </w:r>
      <w:r w:rsidRPr="00D504FB">
        <w:rPr>
          <w:b/>
        </w:rPr>
        <w:t>.</w:t>
      </w:r>
      <w:r w:rsidRPr="00733DF8" w:rsidR="00747D75">
        <w:rPr>
          <w:b/>
        </w:rPr>
        <w:t xml:space="preserve"> </w:t>
      </w:r>
      <w:r w:rsidR="00747D75">
        <w:rPr>
          <w:b/>
        </w:rPr>
        <w:br/>
      </w:r>
      <w:r w:rsidRPr="00733DF8" w:rsidR="00747D75">
        <w:rPr>
          <w:b/>
          <w:color w:val="FFFFFF" w:themeColor="text1"/>
        </w:rPr>
        <w:t xml:space="preserve">m. </w:t>
      </w:r>
      <w:r w:rsidR="00747D75">
        <w:rPr>
          <w:b/>
          <w:color w:val="FFFFFF" w:themeColor="text1"/>
        </w:rPr>
        <w:t>Eastern, Thursday, August 20</w:t>
      </w:r>
      <w:r w:rsidRPr="00733DF8" w:rsidR="00747D75">
        <w:rPr>
          <w:b/>
          <w:color w:val="FFFFFF" w:themeColor="text1"/>
        </w:rPr>
        <w:t>, 201</w:t>
      </w:r>
      <w:r w:rsidR="00747D75">
        <w:rPr>
          <w:b/>
          <w:color w:val="FFFFFF" w:themeColor="text1"/>
        </w:rPr>
        <w:t>5</w:t>
      </w:r>
    </w:p>
    <w:p w:rsidRPr="00D24289" w:rsidR="0039275D" w:rsidP="00806402" w:rsidRDefault="00C6538F" w14:paraId="480FED26" w14:textId="5B155191">
      <w:r>
        <w:t xml:space="preserve">Additional </w:t>
      </w:r>
      <w:r w:rsidR="00747D75">
        <w:t xml:space="preserve">information </w:t>
      </w:r>
      <w:r>
        <w:t>is</w:t>
      </w:r>
      <w:r w:rsidR="00747D75">
        <w:t xml:space="preserve"> available on the </w:t>
      </w:r>
      <w:hyperlink w:history="1" r:id="rId14">
        <w:r w:rsidRPr="008A0C21" w:rsidR="008A0C21">
          <w:rPr>
            <w:rStyle w:val="Hyperlink"/>
          </w:rPr>
          <w:t>project page</w:t>
        </w:r>
      </w:hyperlink>
      <w:r w:rsidR="00747D75">
        <w:t xml:space="preserve">. </w:t>
      </w:r>
      <w:r w:rsidRPr="00786AD7" w:rsidR="00747D75">
        <w:t>If you have questions</w:t>
      </w:r>
      <w:r w:rsidR="00747D75">
        <w:t>,</w:t>
      </w:r>
      <w:r w:rsidR="00E308F8">
        <w:t xml:space="preserve"> </w:t>
      </w:r>
      <w:r w:rsidRPr="00C74DBC" w:rsidR="00E308F8">
        <w:t>contact</w:t>
      </w:r>
      <w:r w:rsidR="000304FB">
        <w:t xml:space="preserve"> </w:t>
      </w:r>
      <w:r w:rsidR="00C33C8E">
        <w:t>Senior Standards Developer</w:t>
      </w:r>
      <w:r>
        <w:t xml:space="preserve">, </w:t>
      </w:r>
      <w:hyperlink w:history="1" r:id="rId15">
        <w:r w:rsidRPr="00C33C8E" w:rsidR="00C33C8E">
          <w:rPr>
            <w:rStyle w:val="Hyperlink"/>
          </w:rPr>
          <w:t>Alison Oswald</w:t>
        </w:r>
      </w:hyperlink>
      <w:r w:rsidRPr="00F86A52" w:rsidR="00313BFE">
        <w:t xml:space="preserve"> (via email)</w:t>
      </w:r>
      <w:r w:rsidR="00313BFE">
        <w:t>,</w:t>
      </w:r>
      <w:r w:rsidRPr="00F86A52" w:rsidR="00313BFE">
        <w:t xml:space="preserve"> or at </w:t>
      </w:r>
      <w:r w:rsidR="00C33C8E">
        <w:t>404-446-9668</w:t>
      </w:r>
      <w:r w:rsidR="000304FB">
        <w:t>.</w:t>
      </w:r>
      <w:r w:rsidRPr="00D24289" w:rsidR="00ED5673">
        <w:tab/>
      </w:r>
    </w:p>
    <w:p w:rsidRPr="00D24289" w:rsidR="002F2BFE" w:rsidP="00806402" w:rsidRDefault="002F2BFE" w14:paraId="26099FB3" w14:textId="77777777"/>
    <w:bookmarkEnd w:id="1"/>
    <w:p w:rsidR="00237E29" w:rsidP="00806402" w:rsidRDefault="0073546A" w14:paraId="3B5215FB" w14:textId="77777777">
      <w:pPr>
        <w:pStyle w:val="Heading2"/>
        <w:rPr>
          <w:rFonts w:cs="Tahoma"/>
        </w:rPr>
      </w:pPr>
      <w:r w:rsidRPr="00747D75">
        <w:rPr>
          <w:rFonts w:cs="Tahoma"/>
        </w:rPr>
        <w:t>Background Information</w:t>
      </w:r>
      <w:bookmarkStart w:name="_Toc195946482" w:id="2"/>
    </w:p>
    <w:p w:rsidR="003A1E7B" w:rsidP="00806402" w:rsidRDefault="0014403F" w14:paraId="0E3A12BE" w14:textId="57393A75">
      <w:r>
        <w:t>E</w:t>
      </w:r>
      <w:r w:rsidR="003A1E7B">
        <w:t xml:space="preserve">xtreme cold weather and precipitation </w:t>
      </w:r>
      <w:r w:rsidRPr="0014403F">
        <w:t>affected the south central United States February 8-20, 2021</w:t>
      </w:r>
      <w:r w:rsidRPr="0014403F">
        <w:t xml:space="preserve">. </w:t>
      </w:r>
      <w:r w:rsidRPr="0014403F">
        <w:t>Many generating units experienced outages, derates, or failures to start, resulting in energy and transmission emergencies (referred to as “the Event").</w:t>
      </w:r>
      <w:r w:rsidR="003A1E7B">
        <w:t xml:space="preserve"> The total Event firm Load shed was the largest controlled firm Load shed event in U.S. history and was the third largest in quantity of outaged megawatts (MW) of Load after the August 2003 northeast blackout and the August 1996 west coast blackout. The Event was most severe February 15</w:t>
      </w:r>
      <w:r w:rsidR="00D303D3">
        <w:t>-</w:t>
      </w:r>
      <w:r w:rsidR="003A1E7B">
        <w:t>18, 2021, and it contributed to power outages affecting millions of electricity customers throughout the regions of ERCOT, SPP, and MISO South. Additionally, the February 2021 event is the fourth cold weather event in the past 10 years, which jeopardized bulk-power system reliability. A joint inquiry was conducted to discover reliability-related findings and recommendations from FERC, NERC, and Regional Entity staff. The FERC, NERC, and Regional Entity staff Joint Staff Inquiry into the February 2021 Cold Weather Grid Operations (“Joint Inquiry Report”) was published on November 16, 2021.</w:t>
      </w:r>
    </w:p>
    <w:p w:rsidR="003A1E7B" w:rsidP="00806402" w:rsidRDefault="003A1E7B" w14:paraId="64EDADA8" w14:textId="77777777"/>
    <w:p w:rsidR="003A1E7B" w:rsidP="00806402" w:rsidRDefault="003A1E7B" w14:paraId="0D2BED70" w14:textId="77777777">
      <w:r>
        <w:t xml:space="preserve">The scope of the proposed project is to address the ten recommendations for new or enhanced NERC Reliability Standards proposed by the Joint Inquiry Report. In November 2021, the NERC Board of Trustees (Board) approved a Board Resolution directing that new or revised Reliability Standards addressing these recommendations be completed in accordance with the timelines recommended by the joint inquiry team, as follows: </w:t>
      </w:r>
    </w:p>
    <w:p w:rsidRPr="00453DE6" w:rsidR="003A1E7B" w:rsidP="00806402" w:rsidRDefault="003A1E7B" w14:paraId="69408846" w14:textId="77777777">
      <w:pPr>
        <w:pStyle w:val="ListParagraph"/>
        <w:numPr>
          <w:ilvl w:val="0"/>
          <w:numId w:val="44"/>
        </w:numPr>
        <w:spacing w:before="120"/>
        <w:contextualSpacing w:val="0"/>
        <w:rPr>
          <w:rFonts w:asciiTheme="minorHAnsi" w:hAnsiTheme="minorHAnsi"/>
        </w:rPr>
      </w:pPr>
      <w:r w:rsidRPr="00453DE6">
        <w:rPr>
          <w:rFonts w:asciiTheme="minorHAnsi" w:hAnsiTheme="minorHAnsi"/>
        </w:rPr>
        <w:t>New and revised Reliability Standards to be submitted for regulatory approval before Winter 2022/2023: development completed by September 30, 2022, for the Board’s consideration in October 2022 to address Key Recommendations 1d, 1e, 1f</w:t>
      </w:r>
      <w:r>
        <w:rPr>
          <w:rFonts w:asciiTheme="minorHAnsi" w:hAnsiTheme="minorHAnsi"/>
        </w:rPr>
        <w:t>,</w:t>
      </w:r>
      <w:r w:rsidRPr="00453DE6">
        <w:rPr>
          <w:rFonts w:asciiTheme="minorHAnsi" w:hAnsiTheme="minorHAnsi"/>
        </w:rPr>
        <w:t xml:space="preserve"> and 1j; </w:t>
      </w:r>
    </w:p>
    <w:p w:rsidRPr="00453DE6" w:rsidR="003A1E7B" w:rsidP="00806402" w:rsidRDefault="003A1E7B" w14:paraId="6BB8D42C" w14:textId="77777777">
      <w:pPr>
        <w:pStyle w:val="ListParagraph"/>
        <w:numPr>
          <w:ilvl w:val="0"/>
          <w:numId w:val="44"/>
        </w:numPr>
        <w:spacing w:before="120"/>
        <w:contextualSpacing w:val="0"/>
        <w:rPr>
          <w:rFonts w:asciiTheme="minorHAnsi" w:hAnsiTheme="minorHAnsi"/>
        </w:rPr>
      </w:pPr>
      <w:r w:rsidRPr="00453DE6">
        <w:rPr>
          <w:rFonts w:asciiTheme="minorHAnsi" w:hAnsiTheme="minorHAnsi"/>
        </w:rPr>
        <w:t>New and revised Reliability Standards to be submitted for regulatory approval before Winter 2023/2024: development completed by September 30, 2023, for the Board’s consideration in October 2023 to address Key Recommendations 1a, 1b, 1c, 1g, 1h</w:t>
      </w:r>
      <w:r>
        <w:rPr>
          <w:rFonts w:asciiTheme="minorHAnsi" w:hAnsiTheme="minorHAnsi"/>
        </w:rPr>
        <w:t>,</w:t>
      </w:r>
      <w:r w:rsidRPr="00453DE6">
        <w:rPr>
          <w:rFonts w:asciiTheme="minorHAnsi" w:hAnsiTheme="minorHAnsi"/>
        </w:rPr>
        <w:t xml:space="preserve"> and 1i. </w:t>
      </w:r>
    </w:p>
    <w:p w:rsidR="003632EA" w:rsidP="00806402" w:rsidRDefault="003632EA" w14:paraId="58EE1DD8" w14:textId="77777777">
      <w:pPr>
        <w:rPr>
          <w:rFonts w:ascii="Calibri" w:hAnsi="Calibri"/>
        </w:rPr>
      </w:pPr>
    </w:p>
    <w:bookmarkEnd w:id="2"/>
    <w:p w:rsidR="00101373" w:rsidP="00806402" w:rsidRDefault="00101373" w14:paraId="6250BCA6" w14:textId="77777777">
      <w:pPr>
        <w:rPr>
          <w:rFonts w:ascii="Tahoma" w:hAnsi="Tahoma" w:cs="Tahoma"/>
          <w:b/>
          <w:bCs/>
          <w:sz w:val="22"/>
          <w:szCs w:val="20"/>
        </w:rPr>
      </w:pPr>
      <w:r>
        <w:rPr>
          <w:rFonts w:cs="Tahoma"/>
        </w:rPr>
        <w:br w:type="page"/>
      </w:r>
    </w:p>
    <w:p w:rsidR="0039275D" w:rsidP="00806402" w:rsidRDefault="0073546A" w14:paraId="6F3C8259" w14:textId="11A96470">
      <w:pPr>
        <w:pStyle w:val="Heading2"/>
        <w:rPr>
          <w:rFonts w:cs="Tahoma"/>
        </w:rPr>
      </w:pPr>
      <w:r w:rsidRPr="00747D75">
        <w:rPr>
          <w:rFonts w:cs="Tahoma"/>
        </w:rPr>
        <w:lastRenderedPageBreak/>
        <w:t>Question</w:t>
      </w:r>
      <w:r w:rsidRPr="00747D75" w:rsidR="00747D75">
        <w:rPr>
          <w:rFonts w:cs="Tahoma"/>
        </w:rPr>
        <w:t>s</w:t>
      </w:r>
    </w:p>
    <w:p w:rsidRPr="009D73F4" w:rsidR="00FB137C" w:rsidP="00806402" w:rsidRDefault="00FB137C" w14:paraId="5EFA820A" w14:textId="3186EF8C"/>
    <w:p w:rsidR="00FB137C" w:rsidP="00806402" w:rsidRDefault="00FB137C" w14:paraId="68FFEBB1" w14:textId="08930430">
      <w:pPr>
        <w:pStyle w:val="ListParagraph"/>
        <w:ind w:left="0"/>
        <w:rPr>
          <w:rFonts w:asciiTheme="minorHAnsi" w:hAnsiTheme="minorHAnsi"/>
          <w:b/>
        </w:rPr>
      </w:pPr>
      <w:r w:rsidRPr="00FB137C">
        <w:rPr>
          <w:rFonts w:asciiTheme="minorHAnsi" w:hAnsiTheme="minorHAnsi"/>
          <w:b/>
        </w:rPr>
        <w:t>EOP-011-4</w:t>
      </w:r>
      <w:r w:rsidR="009D73F4">
        <w:rPr>
          <w:rFonts w:asciiTheme="minorHAnsi" w:hAnsiTheme="minorHAnsi"/>
          <w:b/>
        </w:rPr>
        <w:t xml:space="preserve"> (Questions 1-4</w:t>
      </w:r>
      <w:r w:rsidR="00FA4C39">
        <w:rPr>
          <w:rFonts w:asciiTheme="minorHAnsi" w:hAnsiTheme="minorHAnsi"/>
          <w:b/>
        </w:rPr>
        <w:t>)</w:t>
      </w:r>
    </w:p>
    <w:p w:rsidRPr="00FB137C" w:rsidR="00777E50" w:rsidP="00806402" w:rsidRDefault="00777E50" w14:paraId="78898A20" w14:textId="77777777">
      <w:pPr>
        <w:pStyle w:val="ListParagraph"/>
        <w:ind w:left="0"/>
        <w:rPr>
          <w:rFonts w:asciiTheme="minorHAnsi" w:hAnsiTheme="minorHAnsi"/>
          <w:b/>
        </w:rPr>
      </w:pPr>
    </w:p>
    <w:p w:rsidRPr="00FB137C" w:rsidR="00777E50" w:rsidP="00806402" w:rsidRDefault="00FB137C" w14:paraId="6517B273" w14:textId="1AD55ABF">
      <w:pPr>
        <w:pStyle w:val="ListParagraph"/>
        <w:ind w:left="0"/>
        <w:rPr>
          <w:rFonts w:asciiTheme="minorHAnsi" w:hAnsiTheme="minorHAnsi"/>
          <w:b/>
        </w:rPr>
      </w:pPr>
      <w:r w:rsidRPr="00FB137C">
        <w:rPr>
          <w:rFonts w:asciiTheme="minorHAnsi" w:hAnsiTheme="minorHAnsi"/>
          <w:b/>
        </w:rPr>
        <w:t>Recommendation 1h states: To require Balancing Authorities’ operating plans (for contingency reserves and to mitigate capacity and energy emergencies) to prohibit use for demand response of critical natural gas infrastructure loads.</w:t>
      </w:r>
    </w:p>
    <w:p w:rsidR="00FB137C" w:rsidP="00806402" w:rsidRDefault="00FB137C" w14:paraId="1EDBE229" w14:textId="269ABACA">
      <w:pPr>
        <w:pStyle w:val="ListParagraph"/>
        <w:numPr>
          <w:ilvl w:val="0"/>
          <w:numId w:val="33"/>
        </w:numPr>
        <w:spacing w:before="120"/>
        <w:contextualSpacing w:val="0"/>
        <w:rPr>
          <w:rFonts w:asciiTheme="minorHAnsi" w:hAnsiTheme="minorHAnsi"/>
        </w:rPr>
      </w:pPr>
      <w:r>
        <w:rPr>
          <w:rFonts w:asciiTheme="minorHAnsi" w:hAnsiTheme="minorHAnsi"/>
        </w:rPr>
        <w:t xml:space="preserve">Proposed EOP-011-4 Requirement R2 was drafted to address recommendation 1h. </w:t>
      </w:r>
      <w:r w:rsidRPr="00FB137C">
        <w:rPr>
          <w:rFonts w:asciiTheme="minorHAnsi" w:hAnsiTheme="minorHAnsi"/>
        </w:rPr>
        <w:t>Do the changes in EOP-011-4 Requirement R2 provide sufficient clarity in regards to limiting critical natural gas infrastructure participation in demand response?</w:t>
      </w:r>
    </w:p>
    <w:p w:rsidRPr="00FB137C" w:rsidR="00FB137C" w:rsidP="00806402" w:rsidRDefault="00FB137C" w14:paraId="2F0581F4" w14:textId="77777777">
      <w:pPr>
        <w:pStyle w:val="ListParagraph"/>
        <w:keepNext/>
        <w:spacing w:before="120"/>
        <w:contextualSpacing w:val="0"/>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Yes </w:t>
      </w:r>
    </w:p>
    <w:p w:rsidRPr="00FB137C" w:rsidR="00FB137C" w:rsidP="00806402" w:rsidRDefault="00FB137C" w14:paraId="01573068" w14:textId="77777777">
      <w:pPr>
        <w:pStyle w:val="ListParagraph"/>
        <w:keepNext/>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No </w:t>
      </w:r>
    </w:p>
    <w:p w:rsidRPr="00FB137C" w:rsidR="00FB137C" w:rsidP="00806402" w:rsidRDefault="00FB137C" w14:paraId="622F1520" w14:textId="77777777">
      <w:pPr>
        <w:pStyle w:val="ListParagraph"/>
        <w:spacing w:before="120"/>
        <w:contextualSpacing w:val="0"/>
        <w:rPr>
          <w:rFonts w:asciiTheme="minorHAnsi" w:hAnsiTheme="minorHAnsi"/>
        </w:rPr>
      </w:pPr>
      <w:r w:rsidRPr="00FB137C">
        <w:rPr>
          <w:rFonts w:asciiTheme="minorHAnsi" w:hAnsiTheme="minorHAnsi"/>
        </w:rPr>
        <w:t xml:space="preserve">Comments: </w:t>
      </w:r>
      <w:r w:rsidRPr="00FB137C">
        <w:rPr>
          <w:rFonts w:asciiTheme="minorHAnsi" w:hAnsiTheme="minorHAnsi"/>
        </w:rPr>
        <w:fldChar w:fldCharType="begin">
          <w:ffData>
            <w:name w:val="Text12"/>
            <w:enabled/>
            <w:calcOnExit w:val="0"/>
            <w:textInput/>
          </w:ffData>
        </w:fldChar>
      </w:r>
      <w:r w:rsidRPr="00FB137C">
        <w:rPr>
          <w:rFonts w:asciiTheme="minorHAnsi" w:hAnsiTheme="minorHAnsi"/>
        </w:rPr>
        <w:instrText xml:space="preserve"> FORMTEXT </w:instrText>
      </w:r>
      <w:r w:rsidRPr="00FB137C">
        <w:rPr>
          <w:rFonts w:asciiTheme="minorHAnsi" w:hAnsiTheme="minorHAnsi"/>
        </w:rPr>
      </w:r>
      <w:r w:rsidRPr="00FB137C">
        <w:rPr>
          <w:rFonts w:asciiTheme="minorHAnsi" w:hAnsiTheme="minorHAnsi"/>
        </w:rPr>
        <w:fldChar w:fldCharType="separate"/>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fldChar w:fldCharType="end"/>
      </w:r>
    </w:p>
    <w:p w:rsidR="004869BB" w:rsidP="00806402" w:rsidRDefault="004869BB" w14:paraId="421E66FA" w14:textId="77777777">
      <w:pPr>
        <w:rPr>
          <w:b/>
        </w:rPr>
      </w:pPr>
    </w:p>
    <w:p w:rsidR="00FB137C" w:rsidP="00806402" w:rsidRDefault="00FB137C" w14:paraId="5762619A" w14:textId="4C24FD83">
      <w:pPr>
        <w:rPr>
          <w:b/>
        </w:rPr>
      </w:pPr>
      <w:r w:rsidRPr="00FB137C">
        <w:rPr>
          <w:b/>
        </w:rPr>
        <w:t xml:space="preserve">Recommendation 1i states: To protect critical natural gas infrastructure loads from manual and automatic load shedding (to avoid adversely affecting Bulk Electric System reliability): </w:t>
      </w:r>
    </w:p>
    <w:p w:rsidRPr="00FB137C" w:rsidR="00FB137C" w:rsidP="00806402" w:rsidRDefault="00FB137C" w14:paraId="29CF7730" w14:textId="03E036A0">
      <w:pPr>
        <w:pStyle w:val="ListParagraph"/>
        <w:numPr>
          <w:ilvl w:val="0"/>
          <w:numId w:val="41"/>
        </w:numPr>
        <w:spacing w:before="120"/>
        <w:contextualSpacing w:val="0"/>
        <w:rPr>
          <w:rFonts w:asciiTheme="minorHAnsi" w:hAnsiTheme="minorHAnsi"/>
          <w:b/>
        </w:rPr>
      </w:pPr>
      <w:r w:rsidRPr="00FB137C">
        <w:rPr>
          <w:rFonts w:asciiTheme="minorHAnsi" w:hAnsiTheme="minorHAnsi"/>
          <w:b/>
        </w:rPr>
        <w:t>To require Balancing Authorities’ and Transmission Operators’ (TOPs) provisions</w:t>
      </w:r>
      <w:r>
        <w:rPr>
          <w:rFonts w:asciiTheme="minorHAnsi" w:hAnsiTheme="minorHAnsi"/>
          <w:b/>
        </w:rPr>
        <w:t xml:space="preserve"> for operator </w:t>
      </w:r>
      <w:r w:rsidRPr="00FB137C">
        <w:rPr>
          <w:rFonts w:asciiTheme="minorHAnsi" w:hAnsiTheme="minorHAnsi"/>
          <w:b/>
        </w:rPr>
        <w:t xml:space="preserve">controlled manual load shedding to include processes for identifying and protecting critical natural gas infrastructure loads in their respective areas; </w:t>
      </w:r>
    </w:p>
    <w:p w:rsidRPr="00FB137C" w:rsidR="00FB137C" w:rsidP="00806402" w:rsidRDefault="00FB137C" w14:paraId="5052A586" w14:textId="77777777">
      <w:pPr>
        <w:pStyle w:val="ListParagraph"/>
        <w:numPr>
          <w:ilvl w:val="0"/>
          <w:numId w:val="41"/>
        </w:numPr>
        <w:spacing w:before="120"/>
        <w:contextualSpacing w:val="0"/>
        <w:rPr>
          <w:rFonts w:asciiTheme="minorHAnsi" w:hAnsiTheme="minorHAnsi"/>
          <w:b/>
        </w:rPr>
      </w:pPr>
      <w:r w:rsidRPr="00FB137C">
        <w:rPr>
          <w:rFonts w:asciiTheme="minorHAnsi" w:hAnsiTheme="minorHAnsi"/>
          <w:b/>
        </w:rPr>
        <w:t xml:space="preserve">To require Balancing Authorities’, Transmission Operators’, Planning Coordinators’, and Transmission Planners’ respective provisions and programs for manual and automatic (e.g., underfrequency load shedding, undervoltage load shedding) load shedding to protect identified critical natural gas infrastructure loads from manual and automatic load shedding by manual and automatic load shed entities within their footprints; </w:t>
      </w:r>
    </w:p>
    <w:p w:rsidRPr="00FB137C" w:rsidR="00FB137C" w:rsidP="00806402" w:rsidRDefault="00FB137C" w14:paraId="78E95E9A" w14:textId="77777777">
      <w:pPr>
        <w:pStyle w:val="ListParagraph"/>
        <w:numPr>
          <w:ilvl w:val="0"/>
          <w:numId w:val="41"/>
        </w:numPr>
        <w:spacing w:before="120"/>
        <w:contextualSpacing w:val="0"/>
        <w:rPr>
          <w:rFonts w:asciiTheme="minorHAnsi" w:hAnsiTheme="minorHAnsi"/>
          <w:b/>
        </w:rPr>
      </w:pPr>
      <w:r w:rsidRPr="00FB137C">
        <w:rPr>
          <w:rFonts w:asciiTheme="minorHAnsi" w:hAnsiTheme="minorHAnsi"/>
          <w:b/>
        </w:rPr>
        <w:t xml:space="preserve">To require manual and automatic load shed entities to distribute criteria to natural gas infrastructure entities that they serve and request the natural gas infrastructure entities to identify their critical natural gas infrastructure loads; and </w:t>
      </w:r>
    </w:p>
    <w:p w:rsidRPr="00806402" w:rsidR="00FB137C" w:rsidP="00806402" w:rsidRDefault="00FB137C" w14:paraId="2B11D4CC" w14:textId="27C87148">
      <w:pPr>
        <w:pStyle w:val="ListParagraph"/>
        <w:numPr>
          <w:ilvl w:val="0"/>
          <w:numId w:val="41"/>
        </w:numPr>
        <w:spacing w:before="120"/>
        <w:contextualSpacing w:val="0"/>
        <w:rPr>
          <w:b/>
        </w:rPr>
      </w:pPr>
      <w:r w:rsidRPr="00806402">
        <w:rPr>
          <w:rFonts w:asciiTheme="minorHAnsi" w:hAnsiTheme="minorHAnsi"/>
          <w:b/>
        </w:rPr>
        <w:t>To require manual and automatic load shed entities to incorporate the identified critical natural gas infrastructure loads into their plans and procedures for protection against manual and automatic load shedding.</w:t>
      </w:r>
    </w:p>
    <w:p w:rsidRPr="00FB137C" w:rsidR="00FB137C" w:rsidP="00806402" w:rsidRDefault="00FB137C" w14:paraId="43E36D07" w14:textId="32FD6A34">
      <w:pPr>
        <w:pStyle w:val="ListParagraph"/>
        <w:numPr>
          <w:ilvl w:val="0"/>
          <w:numId w:val="33"/>
        </w:numPr>
        <w:spacing w:before="120"/>
        <w:contextualSpacing w:val="0"/>
        <w:rPr>
          <w:rFonts w:asciiTheme="minorHAnsi" w:hAnsiTheme="minorHAnsi"/>
        </w:rPr>
      </w:pPr>
      <w:r w:rsidRPr="00FB137C">
        <w:rPr>
          <w:rFonts w:asciiTheme="minorHAnsi" w:hAnsiTheme="minorHAnsi"/>
        </w:rPr>
        <w:t xml:space="preserve">The </w:t>
      </w:r>
      <w:r w:rsidR="0091764B">
        <w:rPr>
          <w:rFonts w:asciiTheme="minorHAnsi" w:hAnsiTheme="minorHAnsi"/>
        </w:rPr>
        <w:t>standard drafting team (SDT)</w:t>
      </w:r>
      <w:r w:rsidRPr="00FB137C">
        <w:rPr>
          <w:rFonts w:asciiTheme="minorHAnsi" w:hAnsiTheme="minorHAnsi"/>
        </w:rPr>
        <w:t xml:space="preserve"> made changes to the applicability section based on the recommendation above (additional clarity included in the</w:t>
      </w:r>
      <w:r w:rsidR="00D303D3">
        <w:rPr>
          <w:rFonts w:asciiTheme="minorHAnsi" w:hAnsiTheme="minorHAnsi"/>
        </w:rPr>
        <w:t xml:space="preserve"> technical rationale</w:t>
      </w:r>
      <w:r w:rsidRPr="00FB137C">
        <w:rPr>
          <w:rFonts w:asciiTheme="minorHAnsi" w:hAnsiTheme="minorHAnsi"/>
        </w:rPr>
        <w:t xml:space="preserve">). Do you believe these are the correct Functional Entities to include? </w:t>
      </w:r>
      <w:r w:rsidR="00777E50">
        <w:rPr>
          <w:rFonts w:asciiTheme="minorHAnsi" w:hAnsiTheme="minorHAnsi"/>
        </w:rPr>
        <w:t xml:space="preserve">If not, please provide details and </w:t>
      </w:r>
      <w:r w:rsidRPr="00FB137C">
        <w:rPr>
          <w:rFonts w:asciiTheme="minorHAnsi" w:hAnsiTheme="minorHAnsi"/>
        </w:rPr>
        <w:t>any oth</w:t>
      </w:r>
      <w:r w:rsidR="00777E50">
        <w:rPr>
          <w:rFonts w:asciiTheme="minorHAnsi" w:hAnsiTheme="minorHAnsi"/>
        </w:rPr>
        <w:t>er Functional Entities be added with justification.</w:t>
      </w:r>
    </w:p>
    <w:p w:rsidRPr="00FB137C" w:rsidR="00FB137C" w:rsidP="00806402" w:rsidRDefault="00FB137C" w14:paraId="28E213C4" w14:textId="77777777">
      <w:pPr>
        <w:pStyle w:val="ListParagraph"/>
        <w:keepNext/>
        <w:spacing w:before="120"/>
        <w:contextualSpacing w:val="0"/>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Yes </w:t>
      </w:r>
    </w:p>
    <w:p w:rsidRPr="00FB137C" w:rsidR="00FB137C" w:rsidP="00806402" w:rsidRDefault="00FB137C" w14:paraId="041D14F5" w14:textId="77777777">
      <w:pPr>
        <w:pStyle w:val="ListParagraph"/>
        <w:keepNext/>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No </w:t>
      </w:r>
    </w:p>
    <w:p w:rsidR="00806402" w:rsidP="00806402" w:rsidRDefault="00FB137C" w14:paraId="6FDA9CB1" w14:textId="536D034D">
      <w:pPr>
        <w:pStyle w:val="ListParagraph"/>
        <w:spacing w:before="120"/>
        <w:contextualSpacing w:val="0"/>
        <w:rPr>
          <w:rFonts w:asciiTheme="minorHAnsi" w:hAnsiTheme="minorHAnsi"/>
        </w:rPr>
      </w:pPr>
      <w:r w:rsidRPr="00FB137C">
        <w:rPr>
          <w:rFonts w:asciiTheme="minorHAnsi" w:hAnsiTheme="minorHAnsi"/>
        </w:rPr>
        <w:t xml:space="preserve">Comments: </w:t>
      </w:r>
      <w:r w:rsidRPr="00FB137C">
        <w:rPr>
          <w:rFonts w:asciiTheme="minorHAnsi" w:hAnsiTheme="minorHAnsi"/>
        </w:rPr>
        <w:fldChar w:fldCharType="begin">
          <w:ffData>
            <w:name w:val="Text12"/>
            <w:enabled/>
            <w:calcOnExit w:val="0"/>
            <w:textInput/>
          </w:ffData>
        </w:fldChar>
      </w:r>
      <w:r w:rsidRPr="00FB137C">
        <w:rPr>
          <w:rFonts w:asciiTheme="minorHAnsi" w:hAnsiTheme="minorHAnsi"/>
        </w:rPr>
        <w:instrText xml:space="preserve"> FORMTEXT </w:instrText>
      </w:r>
      <w:r w:rsidRPr="00FB137C">
        <w:rPr>
          <w:rFonts w:asciiTheme="minorHAnsi" w:hAnsiTheme="minorHAnsi"/>
        </w:rPr>
      </w:r>
      <w:r w:rsidRPr="00FB137C">
        <w:rPr>
          <w:rFonts w:asciiTheme="minorHAnsi" w:hAnsiTheme="minorHAnsi"/>
        </w:rPr>
        <w:fldChar w:fldCharType="separate"/>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fldChar w:fldCharType="end"/>
      </w:r>
    </w:p>
    <w:p w:rsidR="00806402" w:rsidP="00806402" w:rsidRDefault="00806402" w14:paraId="18247FC2" w14:textId="77777777">
      <w:r>
        <w:br w:type="page"/>
      </w:r>
      <w:bookmarkStart w:name="_GoBack" w:id="3"/>
      <w:bookmarkEnd w:id="3"/>
    </w:p>
    <w:p w:rsidR="00777E50" w:rsidP="00806402" w:rsidRDefault="00777E50" w14:paraId="6FC0A9C2" w14:textId="77777777">
      <w:pPr>
        <w:pStyle w:val="ListParagraph"/>
        <w:numPr>
          <w:ilvl w:val="0"/>
          <w:numId w:val="33"/>
        </w:numPr>
        <w:spacing w:before="120"/>
        <w:contextualSpacing w:val="0"/>
        <w:rPr>
          <w:rFonts w:asciiTheme="minorHAnsi" w:hAnsiTheme="minorHAnsi"/>
        </w:rPr>
      </w:pPr>
      <w:r w:rsidRPr="00FB137C">
        <w:rPr>
          <w:rFonts w:asciiTheme="minorHAnsi" w:hAnsiTheme="minorHAnsi"/>
        </w:rPr>
        <w:lastRenderedPageBreak/>
        <w:t xml:space="preserve">Is the implementation timeframe for EOP-011-4 Requirement R7 reasonable given that it is applicable to Functional Entities who were not previously included in Applicability for EOP-011-3? </w:t>
      </w:r>
    </w:p>
    <w:p w:rsidRPr="00FB137C" w:rsidR="00777E50" w:rsidP="00806402" w:rsidRDefault="00777E50" w14:paraId="4D3D5F40" w14:textId="77777777">
      <w:pPr>
        <w:pStyle w:val="ListParagraph"/>
        <w:keepNext/>
        <w:spacing w:before="120"/>
        <w:contextualSpacing w:val="0"/>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Yes </w:t>
      </w:r>
    </w:p>
    <w:p w:rsidRPr="00FB137C" w:rsidR="00777E50" w:rsidP="00806402" w:rsidRDefault="00777E50" w14:paraId="467C0A1E" w14:textId="77777777">
      <w:pPr>
        <w:pStyle w:val="ListParagraph"/>
        <w:keepNext/>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No </w:t>
      </w:r>
    </w:p>
    <w:p w:rsidRPr="00777E50" w:rsidR="00FB137C" w:rsidP="00806402" w:rsidRDefault="00777E50" w14:paraId="13B190AD" w14:textId="2D1A3E0F">
      <w:pPr>
        <w:pStyle w:val="ListParagraph"/>
        <w:keepNext/>
        <w:spacing w:before="120"/>
        <w:contextualSpacing w:val="0"/>
        <w:rPr>
          <w:rFonts w:asciiTheme="minorHAnsi" w:hAnsiTheme="minorHAnsi"/>
        </w:rPr>
      </w:pPr>
      <w:r w:rsidRPr="00FB137C">
        <w:rPr>
          <w:rFonts w:asciiTheme="minorHAnsi" w:hAnsiTheme="minorHAnsi"/>
        </w:rPr>
        <w:t xml:space="preserve">Comments: </w:t>
      </w:r>
      <w:r w:rsidRPr="00FB137C">
        <w:rPr>
          <w:rFonts w:asciiTheme="minorHAnsi" w:hAnsiTheme="minorHAnsi"/>
        </w:rPr>
        <w:fldChar w:fldCharType="begin">
          <w:ffData>
            <w:name w:val="Text12"/>
            <w:enabled/>
            <w:calcOnExit w:val="0"/>
            <w:textInput/>
          </w:ffData>
        </w:fldChar>
      </w:r>
      <w:r w:rsidRPr="00FB137C">
        <w:rPr>
          <w:rFonts w:asciiTheme="minorHAnsi" w:hAnsiTheme="minorHAnsi"/>
        </w:rPr>
        <w:instrText xml:space="preserve"> FORMTEXT </w:instrText>
      </w:r>
      <w:r w:rsidRPr="00FB137C">
        <w:rPr>
          <w:rFonts w:asciiTheme="minorHAnsi" w:hAnsiTheme="minorHAnsi"/>
        </w:rPr>
      </w:r>
      <w:r w:rsidRPr="00FB137C">
        <w:rPr>
          <w:rFonts w:asciiTheme="minorHAnsi" w:hAnsiTheme="minorHAnsi"/>
        </w:rPr>
        <w:fldChar w:fldCharType="separate"/>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fldChar w:fldCharType="end"/>
      </w:r>
    </w:p>
    <w:p w:rsidRPr="00FB137C" w:rsidR="00FB137C" w:rsidP="00806402" w:rsidRDefault="00FB137C" w14:paraId="2E1CBF34" w14:textId="30BA15CF">
      <w:pPr>
        <w:pStyle w:val="ListParagraph"/>
        <w:numPr>
          <w:ilvl w:val="0"/>
          <w:numId w:val="33"/>
        </w:numPr>
        <w:spacing w:before="120"/>
        <w:contextualSpacing w:val="0"/>
        <w:rPr>
          <w:rFonts w:asciiTheme="minorHAnsi" w:hAnsiTheme="minorHAnsi"/>
        </w:rPr>
      </w:pPr>
      <w:r w:rsidRPr="00FB137C">
        <w:rPr>
          <w:rFonts w:asciiTheme="minorHAnsi" w:hAnsiTheme="minorHAnsi"/>
        </w:rPr>
        <w:t>Do the changes in EOP-011 provide sufficient clarity and flexibility in regards to the treatment of critical natural gas infrastructure in operator-controlled manual Load shedding and automatic load shedding?</w:t>
      </w:r>
    </w:p>
    <w:p w:rsidRPr="00FB137C" w:rsidR="00FB137C" w:rsidP="00806402" w:rsidRDefault="00FB137C" w14:paraId="47360509" w14:textId="77777777">
      <w:pPr>
        <w:pStyle w:val="ListParagraph"/>
        <w:keepNext/>
        <w:spacing w:before="120"/>
        <w:contextualSpacing w:val="0"/>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Yes </w:t>
      </w:r>
    </w:p>
    <w:p w:rsidRPr="00FB137C" w:rsidR="00FB137C" w:rsidP="00806402" w:rsidRDefault="00FB137C" w14:paraId="10ACFA6F" w14:textId="7BA59E5D">
      <w:pPr>
        <w:pStyle w:val="ListParagraph"/>
        <w:keepNext/>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No </w:t>
      </w:r>
    </w:p>
    <w:p w:rsidRPr="002E1D29" w:rsidR="00FB137C" w:rsidP="00806402" w:rsidRDefault="00FB137C" w14:paraId="08E5C95A" w14:textId="5B74EF12">
      <w:pPr>
        <w:spacing w:before="120"/>
        <w:ind w:left="720"/>
      </w:pPr>
      <w:r w:rsidRPr="00FB137C">
        <w:t xml:space="preserve">Comments: </w:t>
      </w:r>
      <w:r w:rsidRPr="00FB137C">
        <w:fldChar w:fldCharType="begin">
          <w:ffData>
            <w:name w:val="Text12"/>
            <w:enabled/>
            <w:calcOnExit w:val="0"/>
            <w:textInput/>
          </w:ffData>
        </w:fldChar>
      </w:r>
      <w:r w:rsidRPr="00FB137C">
        <w:instrText xml:space="preserve"> FORMTEXT </w:instrText>
      </w:r>
      <w:r w:rsidRPr="00FB137C">
        <w:fldChar w:fldCharType="separate"/>
      </w:r>
      <w:r w:rsidRPr="00FB137C">
        <w:t> </w:t>
      </w:r>
      <w:r w:rsidRPr="00FB137C">
        <w:t> </w:t>
      </w:r>
      <w:r w:rsidRPr="00FB137C">
        <w:t> </w:t>
      </w:r>
      <w:r w:rsidRPr="00FB137C">
        <w:t> </w:t>
      </w:r>
      <w:r w:rsidRPr="00FB137C">
        <w:t> </w:t>
      </w:r>
      <w:r w:rsidRPr="00FB137C">
        <w:fldChar w:fldCharType="end"/>
      </w:r>
    </w:p>
    <w:p w:rsidR="00FF493A" w:rsidP="00806402" w:rsidRDefault="00FF493A" w14:paraId="2B62AA74" w14:textId="74B4426D"/>
    <w:p w:rsidR="00FF493A" w:rsidP="00806402" w:rsidRDefault="00FF493A" w14:paraId="42654D2D" w14:textId="58E1D685">
      <w:pPr>
        <w:rPr>
          <w:b/>
        </w:rPr>
      </w:pPr>
      <w:r w:rsidRPr="00FB137C">
        <w:rPr>
          <w:b/>
        </w:rPr>
        <w:t>TOP-002-5</w:t>
      </w:r>
      <w:r w:rsidR="009D73F4">
        <w:rPr>
          <w:b/>
        </w:rPr>
        <w:t xml:space="preserve"> (Questions 5-6</w:t>
      </w:r>
      <w:r w:rsidR="00FA4C39">
        <w:rPr>
          <w:b/>
        </w:rPr>
        <w:t>)</w:t>
      </w:r>
    </w:p>
    <w:p w:rsidRPr="00FB137C" w:rsidR="004869BB" w:rsidP="00806402" w:rsidRDefault="004869BB" w14:paraId="7D806821" w14:textId="77777777">
      <w:pPr>
        <w:rPr>
          <w:b/>
        </w:rPr>
      </w:pPr>
    </w:p>
    <w:p w:rsidR="00EE661C" w:rsidP="00806402" w:rsidRDefault="00FF493A" w14:paraId="2C8FCB0A" w14:textId="2260F980">
      <w:pPr>
        <w:rPr>
          <w:b/>
        </w:rPr>
      </w:pPr>
      <w:r w:rsidRPr="00FB137C">
        <w:rPr>
          <w:b/>
        </w:rPr>
        <w:t>Recommendation 1g of the Report states:</w:t>
      </w:r>
      <w:r w:rsidR="002861E3">
        <w:rPr>
          <w:b/>
        </w:rPr>
        <w:t xml:space="preserve"> </w:t>
      </w:r>
      <w:r w:rsidRPr="00EE661C" w:rsidR="00EE661C">
        <w:rPr>
          <w:b/>
        </w:rPr>
        <w:t>The Reliability Standards should be revised to provide greater specificity about the relative roles of the Generator Owners, Generator Operators</w:t>
      </w:r>
      <w:r w:rsidR="00D24B61">
        <w:rPr>
          <w:b/>
        </w:rPr>
        <w:t>,</w:t>
      </w:r>
      <w:r w:rsidRPr="00EE661C" w:rsidR="00EE661C">
        <w:rPr>
          <w:b/>
        </w:rPr>
        <w:t xml:space="preserve"> and Balancing Authorities in determining the generating unit capacity that can be relied upon during “local forecaste</w:t>
      </w:r>
      <w:r w:rsidR="00EE661C">
        <w:rPr>
          <w:b/>
        </w:rPr>
        <w:t>d cold weather,” in TOP</w:t>
      </w:r>
      <w:r w:rsidR="00D24B61">
        <w:rPr>
          <w:b/>
        </w:rPr>
        <w:t>-</w:t>
      </w:r>
      <w:r w:rsidR="00EE661C">
        <w:rPr>
          <w:b/>
        </w:rPr>
        <w:t>003-5:</w:t>
      </w:r>
    </w:p>
    <w:p w:rsidRPr="00EE661C" w:rsidR="00EE661C" w:rsidP="00806402" w:rsidRDefault="00EE661C" w14:paraId="1C35B199" w14:textId="77777777">
      <w:pPr>
        <w:pStyle w:val="ListParagraph"/>
        <w:numPr>
          <w:ilvl w:val="0"/>
          <w:numId w:val="43"/>
        </w:numPr>
        <w:spacing w:before="120"/>
        <w:contextualSpacing w:val="0"/>
        <w:rPr>
          <w:rFonts w:asciiTheme="minorHAnsi" w:hAnsiTheme="minorHAnsi"/>
          <w:b/>
        </w:rPr>
      </w:pPr>
      <w:r w:rsidRPr="00EE661C">
        <w:rPr>
          <w:rFonts w:asciiTheme="minorHAnsi" w:hAnsiTheme="minorHAnsi"/>
          <w:b/>
        </w:rPr>
        <w:t>Based on its understanding of the “full reliability risks related to the contracts and other arrangements [Generator Owners/Generator Operators] have made to obtain natural gas commodity and transportation for generating units,” each Generator Owner/Generator Operator should be required to provide the Balancing Authority with data on the percentage of the generating unit’s capacity that the Generator Owner/Generator Operator reasonably believes the Balancing Authority can rely upon during the “local forecasted cold weather”.</w:t>
      </w:r>
    </w:p>
    <w:p w:rsidRPr="00EE661C" w:rsidR="00EE661C" w:rsidP="00806402" w:rsidRDefault="00EE661C" w14:paraId="1E5611E1" w14:textId="59A7FA2F">
      <w:pPr>
        <w:pStyle w:val="ListParagraph"/>
        <w:numPr>
          <w:ilvl w:val="0"/>
          <w:numId w:val="43"/>
        </w:numPr>
        <w:spacing w:before="120"/>
        <w:contextualSpacing w:val="0"/>
        <w:rPr>
          <w:rFonts w:asciiTheme="minorHAnsi" w:hAnsiTheme="minorHAnsi"/>
          <w:b/>
        </w:rPr>
      </w:pPr>
      <w:r w:rsidRPr="00EE661C">
        <w:rPr>
          <w:rFonts w:asciiTheme="minorHAnsi" w:hAnsiTheme="minorHAnsi"/>
          <w:b/>
        </w:rPr>
        <w:t>Each Balancing Authority should be required to use the data provided by the Generator Owner/Generator Operator, combined with its evaluation, based on experience, to calculate the percentage of total generating capacity that it can rely upon during the “local forecasted cold weather,” and share its calculation with the Reliability Coordinator.</w:t>
      </w:r>
    </w:p>
    <w:p w:rsidRPr="00EE661C" w:rsidR="00EE661C" w:rsidP="00806402" w:rsidRDefault="00EE661C" w14:paraId="6B6FB694" w14:textId="77777777">
      <w:pPr>
        <w:pStyle w:val="ListParagraph"/>
        <w:numPr>
          <w:ilvl w:val="0"/>
          <w:numId w:val="43"/>
        </w:numPr>
        <w:spacing w:before="120"/>
        <w:contextualSpacing w:val="0"/>
        <w:rPr>
          <w:rFonts w:asciiTheme="minorHAnsi" w:hAnsiTheme="minorHAnsi"/>
          <w:b/>
        </w:rPr>
      </w:pPr>
      <w:r w:rsidRPr="00EE661C">
        <w:rPr>
          <w:rFonts w:asciiTheme="minorHAnsi" w:hAnsiTheme="minorHAnsi"/>
          <w:b/>
        </w:rPr>
        <w:t>Each Balancing Authority should be required to use its calculation of the percentage of total generating capacity that it can rely upon to “prepare its analysis functions and Real-time monitoring,” and to “manag[e] generating resources in its Balancing Authority Area to address . . . fuel supply and inventory concerns” as part of its Capacity and Energy Emergency Operating Plans. (Report Key Recommendation 1g)</w:t>
      </w:r>
    </w:p>
    <w:p w:rsidR="00EE661C" w:rsidP="00806402" w:rsidRDefault="00EE661C" w14:paraId="02912706" w14:textId="77777777">
      <w:pPr>
        <w:rPr>
          <w:b/>
        </w:rPr>
      </w:pPr>
    </w:p>
    <w:p w:rsidR="000A013F" w:rsidP="00806402" w:rsidRDefault="00FF493A" w14:paraId="4E91670C" w14:textId="418A2F7E">
      <w:r w:rsidRPr="00EE661C">
        <w:rPr>
          <w:b/>
        </w:rPr>
        <w:t xml:space="preserve">As explained by the Report on the 2021 event, Key Recommendation 1g was intended to “take the next logical step [after TOP-003-5 and EOP-011-2 changes take effect in April 2023] and eliminate doubt about which entity is responsible to provide information or act on information,” preventing BAs and RCs from being surprised during extreme cold weather events (See Report at pp 189-190).  The SDT would like feedback on the first bulleted subpart of Key Recommendation 1g, which, in essence, </w:t>
      </w:r>
      <w:r w:rsidRPr="00EE661C">
        <w:rPr>
          <w:b/>
        </w:rPr>
        <w:lastRenderedPageBreak/>
        <w:t>recommends a requirement that the GOs/GOPs provide the BA with the generating units MWs, including MWh the GO/GOP reasonably believes that it can rely upon during the local forecasted cold weather.</w:t>
      </w:r>
    </w:p>
    <w:p w:rsidR="00FF493A" w:rsidP="00806402" w:rsidRDefault="00404325" w14:paraId="6542B175" w14:textId="48DDB27A">
      <w:pPr>
        <w:pStyle w:val="ListParagraph"/>
        <w:numPr>
          <w:ilvl w:val="0"/>
          <w:numId w:val="33"/>
        </w:numPr>
        <w:spacing w:before="120"/>
        <w:rPr>
          <w:rFonts w:asciiTheme="minorHAnsi" w:hAnsiTheme="minorHAnsi"/>
        </w:rPr>
      </w:pPr>
      <w:r>
        <w:rPr>
          <w:rFonts w:asciiTheme="minorHAnsi" w:hAnsiTheme="minorHAnsi"/>
        </w:rPr>
        <w:t>P</w:t>
      </w:r>
      <w:r w:rsidRPr="00FF493A" w:rsidR="00FF493A">
        <w:rPr>
          <w:rFonts w:asciiTheme="minorHAnsi" w:hAnsiTheme="minorHAnsi"/>
        </w:rPr>
        <w:t>lease comment on whether information pertaining to the generating unit’s MWs, including MWhs the GO/GOP reasonably believes that the BA can rely upon during local forecasted cold weather</w:t>
      </w:r>
      <w:r w:rsidR="009247D9">
        <w:rPr>
          <w:rFonts w:asciiTheme="minorHAnsi" w:hAnsiTheme="minorHAnsi"/>
        </w:rPr>
        <w:t>,</w:t>
      </w:r>
      <w:r w:rsidRPr="00FF493A" w:rsidR="00FF493A">
        <w:rPr>
          <w:rFonts w:asciiTheme="minorHAnsi" w:hAnsiTheme="minorHAnsi"/>
        </w:rPr>
        <w:t xml:space="preserve"> would be useful to your operations during local forecasted cold weather</w:t>
      </w:r>
      <w:r w:rsidR="009247D9">
        <w:rPr>
          <w:rFonts w:asciiTheme="minorHAnsi" w:hAnsiTheme="minorHAnsi"/>
        </w:rPr>
        <w:t>.</w:t>
      </w:r>
      <w:r w:rsidRPr="00FF493A" w:rsidR="009247D9">
        <w:rPr>
          <w:rFonts w:asciiTheme="minorHAnsi" w:hAnsiTheme="minorHAnsi"/>
        </w:rPr>
        <w:t xml:space="preserve"> </w:t>
      </w:r>
      <w:r w:rsidRPr="00FF493A" w:rsidR="00FF493A">
        <w:rPr>
          <w:rFonts w:asciiTheme="minorHAnsi" w:hAnsiTheme="minorHAnsi"/>
        </w:rPr>
        <w:t xml:space="preserve">Alternatively, is there a better way for the BA to develop assumptions related to cold weather needs to address this specific metric rather than asking for this information from the GO/GOPs? </w:t>
      </w:r>
      <w:r w:rsidR="00696203">
        <w:rPr>
          <w:rFonts w:asciiTheme="minorHAnsi" w:hAnsiTheme="minorHAnsi"/>
        </w:rPr>
        <w:t>Please provide comments and revisions to the draft language.</w:t>
      </w:r>
    </w:p>
    <w:p w:rsidRPr="00237E29" w:rsidR="00696203" w:rsidP="00806402" w:rsidRDefault="00696203" w14:paraId="124B9C7A" w14:textId="77777777">
      <w:pPr>
        <w:pStyle w:val="ListParagraph"/>
        <w:keepNext/>
        <w:spacing w:before="120"/>
        <w:contextualSpacing w:val="0"/>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rsidRPr="00237E29" w:rsidR="00696203" w:rsidP="00806402" w:rsidRDefault="00696203" w14:paraId="79BEA240" w14:textId="7777777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rsidRPr="00FF493A" w:rsidR="00FF493A" w:rsidP="00806402" w:rsidRDefault="00696203" w14:paraId="277CB81F" w14:textId="13338B07">
      <w:pPr>
        <w:pStyle w:val="ListParagraph"/>
        <w:spacing w:before="120"/>
        <w:contextualSpacing w:val="0"/>
        <w:rPr>
          <w:rFonts w:asciiTheme="minorHAnsi" w:hAnsiTheme="minorHAnsi"/>
          <w:sz w:val="22"/>
          <w:szCs w:val="22"/>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rsidRPr="00FF493A" w:rsidR="00FF493A" w:rsidP="00806402" w:rsidRDefault="00FF493A" w14:paraId="74B5E738" w14:textId="28B45099">
      <w:pPr>
        <w:pStyle w:val="ListParagraph"/>
        <w:numPr>
          <w:ilvl w:val="0"/>
          <w:numId w:val="33"/>
        </w:numPr>
        <w:spacing w:before="120"/>
        <w:contextualSpacing w:val="0"/>
        <w:rPr>
          <w:rFonts w:asciiTheme="minorHAnsi" w:hAnsiTheme="minorHAnsi"/>
        </w:rPr>
      </w:pPr>
      <w:r w:rsidRPr="00FF493A">
        <w:rPr>
          <w:rFonts w:asciiTheme="minorHAnsi" w:hAnsiTheme="minorHAnsi"/>
        </w:rPr>
        <w:t>Recommendation 1g</w:t>
      </w:r>
      <w:r w:rsidR="00C6638E">
        <w:rPr>
          <w:rFonts w:asciiTheme="minorHAnsi" w:hAnsiTheme="minorHAnsi"/>
        </w:rPr>
        <w:t>, bullets 2 and 3</w:t>
      </w:r>
      <w:r w:rsidRPr="00FF493A">
        <w:rPr>
          <w:rFonts w:asciiTheme="minorHAnsi" w:hAnsiTheme="minorHAnsi"/>
        </w:rPr>
        <w:t xml:space="preserve"> of the Report suggests that each Balancing Authority should be required to use the data provided by the Generator Owner/Generator Operator to determine total generating capacity that can be relied upon during “local forecasted cold weather,” and utilize such information to “prepare its analysis functions and Real-time monitoring,” and to “manag[e] generating resources in its Balancing Authority Area to address . . . fuel supply and inventory concerns” as part of its Capacity and Energy Emergency Operating Plans.” The S</w:t>
      </w:r>
      <w:r w:rsidR="0091764B">
        <w:rPr>
          <w:rFonts w:asciiTheme="minorHAnsi" w:hAnsiTheme="minorHAnsi"/>
        </w:rPr>
        <w:t>DT</w:t>
      </w:r>
      <w:r w:rsidRPr="00FF493A">
        <w:rPr>
          <w:rFonts w:asciiTheme="minorHAnsi" w:hAnsiTheme="minorHAnsi"/>
        </w:rPr>
        <w:t xml:space="preserve"> proposes a new Requirement R8 in TOP-002 that requires a Balancing Authority to create an extreme cold weather Operating Process within its Operating Plan to formalize the Balancing Authority’s analysis functions and Real-time monitoring of its Balancing Authority Area during extreme cold weather. Do you agree the language in proposed Requirement R8 of TOP-002 addresses the intent of and is the appropriate manner in which to satisfy Recommendation 1g? Please provide the reasoning or justification for your position in the comments.  </w:t>
      </w:r>
    </w:p>
    <w:p w:rsidRPr="00237E29" w:rsidR="00FF493A" w:rsidP="00806402" w:rsidRDefault="00FF493A" w14:paraId="2C725D9D" w14:textId="77777777">
      <w:pPr>
        <w:pStyle w:val="ListParagraph"/>
        <w:keepNext/>
        <w:spacing w:before="120"/>
        <w:contextualSpacing w:val="0"/>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rsidRPr="00237E29" w:rsidR="00FF493A" w:rsidP="00806402" w:rsidRDefault="00FF493A" w14:paraId="1205AB7C" w14:textId="665A193C">
      <w:pPr>
        <w:pStyle w:val="ListParagraph"/>
        <w:keepNext/>
        <w:contextualSpacing w:val="0"/>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rsidRPr="00237E29" w:rsidR="00FF493A" w:rsidP="00806402" w:rsidRDefault="00FF493A" w14:paraId="7E9077B4" w14:textId="77777777">
      <w:pPr>
        <w:pStyle w:val="ListParagraph"/>
        <w:spacing w:before="120"/>
        <w:contextualSpacing w:val="0"/>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rsidRPr="00FF493A" w:rsidR="00FF493A" w:rsidP="00806402" w:rsidRDefault="00FF493A" w14:paraId="3289D12D" w14:textId="77777777">
      <w:pPr>
        <w:pStyle w:val="ListParagraph"/>
        <w:contextualSpacing w:val="0"/>
        <w:rPr>
          <w:rFonts w:asciiTheme="minorHAnsi" w:hAnsiTheme="minorHAnsi"/>
          <w:sz w:val="22"/>
          <w:szCs w:val="22"/>
        </w:rPr>
      </w:pPr>
    </w:p>
    <w:p w:rsidRPr="00FB137C" w:rsidR="008A0C21" w:rsidP="00806402" w:rsidRDefault="00FF493A" w14:paraId="35522EAB" w14:textId="64B0DBCE">
      <w:pPr>
        <w:pStyle w:val="ListParagraph"/>
        <w:widowControl w:val="0"/>
        <w:ind w:left="0"/>
        <w:rPr>
          <w:rFonts w:asciiTheme="minorHAnsi" w:hAnsiTheme="minorHAnsi"/>
          <w:b/>
        </w:rPr>
      </w:pPr>
      <w:r w:rsidRPr="00FB137C">
        <w:rPr>
          <w:rFonts w:asciiTheme="minorHAnsi" w:hAnsiTheme="minorHAnsi"/>
          <w:b/>
        </w:rPr>
        <w:t>General</w:t>
      </w:r>
      <w:r w:rsidR="009D73F4">
        <w:rPr>
          <w:rFonts w:asciiTheme="minorHAnsi" w:hAnsiTheme="minorHAnsi"/>
          <w:b/>
        </w:rPr>
        <w:t xml:space="preserve"> (Questions 7-10</w:t>
      </w:r>
      <w:r w:rsidR="00FA4C39">
        <w:rPr>
          <w:rFonts w:asciiTheme="minorHAnsi" w:hAnsiTheme="minorHAnsi"/>
          <w:b/>
        </w:rPr>
        <w:t>)</w:t>
      </w:r>
    </w:p>
    <w:p w:rsidRPr="00E73B96" w:rsidR="00C25F48" w:rsidP="00806402" w:rsidRDefault="00A203F2" w14:paraId="3C4E2A7A" w14:textId="657B2ACD" w14:noSpellErr="1">
      <w:pPr>
        <w:pStyle w:val="ListParagraph"/>
        <w:widowControl w:val="0"/>
        <w:numPr>
          <w:ilvl w:val="0"/>
          <w:numId w:val="33"/>
        </w:numPr>
        <w:spacing w:before="120"/>
        <w:contextualSpacing w:val="0"/>
        <w:rPr>
          <w:rFonts w:asciiTheme="minorHAnsi" w:hAnsiTheme="minorHAnsi"/>
        </w:rPr>
      </w:pPr>
      <w:r>
        <w:rPr>
          <w:rFonts w:asciiTheme="minorHAnsi" w:hAnsiTheme="minorHAnsi"/>
        </w:rPr>
        <w:t xml:space="preserve">The SDT proposes that the modifications in </w:t>
      </w:r>
      <w:r w:rsidRPr="41ADB141" w:rsidR="007C2981">
        <w:rPr>
          <w:rFonts w:ascii="Calibri" w:hAnsi="Calibri" w:eastAsia="Calibri" w:cs="Calibri" w:asciiTheme="minorAscii" w:hAnsiTheme="minorAscii" w:eastAsiaTheme="minorAscii" w:cstheme="minorAscii"/>
        </w:rPr>
        <w:t>EOP-011-4</w:t>
      </w:r>
      <w:r w:rsidR="00E03475">
        <w:rPr>
          <w:rFonts w:asciiTheme="minorHAnsi" w:hAnsiTheme="minorHAnsi"/>
        </w:rPr>
        <w:t>,</w:t>
      </w:r>
      <w:r w:rsidR="00FB137C">
        <w:rPr>
          <w:rFonts w:asciiTheme="minorHAnsi" w:hAnsiTheme="minorHAnsi"/>
        </w:rPr>
        <w:t xml:space="preserve"> and TOP-002-5</w:t>
      </w:r>
      <w:r w:rsidR="00107332">
        <w:rPr>
          <w:rFonts w:asciiTheme="minorHAnsi" w:hAnsiTheme="minorHAnsi"/>
        </w:rPr>
        <w:t xml:space="preserve"> meet the key </w:t>
      </w:r>
      <w:r w:rsidR="009247D9">
        <w:rPr>
          <w:rFonts w:asciiTheme="minorHAnsi" w:hAnsiTheme="minorHAnsi"/>
        </w:rPr>
        <w:t>recommendations</w:t>
      </w:r>
      <w:r w:rsidR="00107332">
        <w:rPr>
          <w:rFonts w:asciiTheme="minorHAnsi" w:hAnsiTheme="minorHAnsi"/>
        </w:rPr>
        <w:t xml:space="preserve"> in The Report </w:t>
      </w:r>
      <w:r>
        <w:rPr>
          <w:rFonts w:asciiTheme="minorHAnsi" w:hAnsiTheme="minorHAnsi"/>
        </w:rPr>
        <w:t xml:space="preserve">in a cost effective manner. Do you agree? If you do not agree, or if you agree but have suggestions for improvement to enable more cost effective approaches, please provide your recommendation and, if appropriate, technical or </w:t>
      </w:r>
      <w:r w:rsidR="00B20C4F">
        <w:rPr>
          <w:rFonts w:asciiTheme="minorHAnsi" w:hAnsiTheme="minorHAnsi"/>
        </w:rPr>
        <w:t>procedural</w:t>
      </w:r>
      <w:r>
        <w:rPr>
          <w:rFonts w:asciiTheme="minorHAnsi" w:hAnsiTheme="minorHAnsi"/>
        </w:rPr>
        <w:t xml:space="preserve"> justification. </w:t>
      </w:r>
    </w:p>
    <w:p w:rsidRPr="005C2CA7" w:rsidR="00C25F48" w:rsidP="00806402" w:rsidRDefault="00C25F48" w14:paraId="1DC06E6D" w14:textId="77777777">
      <w:pPr>
        <w:widowControl w:val="0"/>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4D0BEF">
        <w:fldChar w:fldCharType="separate"/>
      </w:r>
      <w:r w:rsidRPr="005C2CA7">
        <w:fldChar w:fldCharType="end"/>
      </w:r>
      <w:r w:rsidRPr="005C2CA7">
        <w:t xml:space="preserve"> Yes </w:t>
      </w:r>
    </w:p>
    <w:p w:rsidRPr="005C2CA7" w:rsidR="00C25F48" w:rsidP="00806402" w:rsidRDefault="00C25F48" w14:paraId="7A5918D8" w14:textId="77777777">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4D0BEF">
        <w:fldChar w:fldCharType="separate"/>
      </w:r>
      <w:r w:rsidRPr="005C2CA7">
        <w:fldChar w:fldCharType="end"/>
      </w:r>
      <w:r w:rsidRPr="005C2CA7">
        <w:t xml:space="preserve"> No </w:t>
      </w:r>
    </w:p>
    <w:p w:rsidR="00806402" w:rsidP="00806402" w:rsidRDefault="00EF6F41" w14:paraId="2F6CFFB0" w14:textId="77777777">
      <w:pPr>
        <w:keepNext/>
        <w:spacing w:before="120"/>
        <w:ind w:left="720"/>
      </w:pPr>
      <w:r w:rsidRPr="00D24289">
        <w:t xml:space="preserve">Comments: </w:t>
      </w:r>
      <w:r w:rsidRPr="00D24289" w:rsidR="00091EB1">
        <w:fldChar w:fldCharType="begin">
          <w:ffData>
            <w:name w:val="Text12"/>
            <w:enabled/>
            <w:calcOnExit w:val="0"/>
            <w:textInput/>
          </w:ffData>
        </w:fldChar>
      </w:r>
      <w:r w:rsidRPr="00D24289">
        <w:instrText xml:space="preserve"> FORMTEXT </w:instrText>
      </w:r>
      <w:r w:rsidRPr="00D24289" w:rsidR="00091EB1">
        <w:fldChar w:fldCharType="separate"/>
      </w:r>
      <w:r w:rsidRPr="00D24289">
        <w:t> </w:t>
      </w:r>
      <w:r w:rsidRPr="00D24289">
        <w:t> </w:t>
      </w:r>
      <w:r w:rsidRPr="00D24289">
        <w:t> </w:t>
      </w:r>
      <w:r w:rsidRPr="00D24289">
        <w:t> </w:t>
      </w:r>
      <w:r w:rsidRPr="00D24289">
        <w:t> </w:t>
      </w:r>
      <w:r w:rsidRPr="00D24289" w:rsidR="00091EB1">
        <w:fldChar w:fldCharType="end"/>
      </w:r>
    </w:p>
    <w:p w:rsidR="00806402" w:rsidRDefault="00806402" w14:paraId="3E088EE0" w14:textId="77777777">
      <w:r>
        <w:br w:type="page"/>
      </w:r>
    </w:p>
    <w:p w:rsidR="00A203F2" w:rsidP="00806402" w:rsidRDefault="00FB137C" w14:paraId="23BEAA23" w14:textId="37196321">
      <w:pPr>
        <w:pStyle w:val="ListParagraph"/>
        <w:numPr>
          <w:ilvl w:val="0"/>
          <w:numId w:val="33"/>
        </w:numPr>
        <w:spacing w:before="120"/>
        <w:contextualSpacing w:val="0"/>
        <w:rPr>
          <w:rFonts w:asciiTheme="minorHAnsi" w:hAnsiTheme="minorHAnsi"/>
        </w:rPr>
      </w:pPr>
      <w:r>
        <w:rPr>
          <w:rFonts w:asciiTheme="minorHAnsi" w:hAnsiTheme="minorHAnsi"/>
        </w:rPr>
        <w:lastRenderedPageBreak/>
        <w:t xml:space="preserve">Do you agree with the </w:t>
      </w:r>
      <w:r w:rsidR="00E03475">
        <w:rPr>
          <w:rFonts w:asciiTheme="minorHAnsi" w:hAnsiTheme="minorHAnsi"/>
        </w:rPr>
        <w:t>i</w:t>
      </w:r>
      <w:r w:rsidR="009247D9">
        <w:rPr>
          <w:rFonts w:asciiTheme="minorHAnsi" w:hAnsiTheme="minorHAnsi"/>
        </w:rPr>
        <w:t>mplementation</w:t>
      </w:r>
      <w:r>
        <w:rPr>
          <w:rFonts w:asciiTheme="minorHAnsi" w:hAnsiTheme="minorHAnsi"/>
        </w:rPr>
        <w:t xml:space="preserve"> plan proposed by the </w:t>
      </w:r>
      <w:r w:rsidR="0091764B">
        <w:rPr>
          <w:rFonts w:asciiTheme="minorHAnsi" w:hAnsiTheme="minorHAnsi"/>
        </w:rPr>
        <w:t>SDT</w:t>
      </w:r>
      <w:r w:rsidR="009247D9">
        <w:rPr>
          <w:rFonts w:asciiTheme="minorHAnsi" w:hAnsiTheme="minorHAnsi"/>
        </w:rPr>
        <w:t>?</w:t>
      </w:r>
      <w:r w:rsidR="00A97AB6">
        <w:rPr>
          <w:rFonts w:asciiTheme="minorHAnsi" w:hAnsiTheme="minorHAnsi"/>
        </w:rPr>
        <w:t xml:space="preserve"> </w:t>
      </w:r>
      <w:r w:rsidRPr="00A203F2" w:rsidR="00A203F2">
        <w:rPr>
          <w:rFonts w:asciiTheme="minorHAnsi" w:hAnsiTheme="minorHAnsi"/>
        </w:rPr>
        <w:t>If you think an alternate timeframe is needed, please propose an alternate implementation plan and time period, and provide a detailed explanation of actions planned to meet the implementation deadline.</w:t>
      </w:r>
    </w:p>
    <w:p w:rsidRPr="00FB137C" w:rsidR="00FB137C" w:rsidP="00806402" w:rsidRDefault="00FB137C" w14:paraId="68B4C587" w14:textId="77777777">
      <w:pPr>
        <w:pStyle w:val="ListParagraph"/>
        <w:keepNext/>
        <w:spacing w:before="120"/>
        <w:contextualSpacing w:val="0"/>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Yes </w:t>
      </w:r>
    </w:p>
    <w:p w:rsidR="00FB137C" w:rsidP="00806402" w:rsidRDefault="00FB137C" w14:paraId="0B0E0147" w14:textId="624A3482">
      <w:pPr>
        <w:pStyle w:val="ListParagraph"/>
        <w:keepNext/>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No </w:t>
      </w:r>
    </w:p>
    <w:p w:rsidRPr="00777E50" w:rsidR="004869BB" w:rsidP="00806402" w:rsidRDefault="00FB137C" w14:paraId="61034FD4" w14:textId="48471BE5">
      <w:pPr>
        <w:pStyle w:val="ListParagraph"/>
        <w:keepNext/>
        <w:spacing w:before="120"/>
        <w:contextualSpacing w:val="0"/>
        <w:rPr>
          <w:rFonts w:asciiTheme="minorHAnsi" w:hAnsiTheme="minorHAnsi"/>
        </w:rPr>
      </w:pPr>
      <w:r w:rsidRPr="00FB137C">
        <w:rPr>
          <w:rFonts w:asciiTheme="minorHAnsi" w:hAnsiTheme="minorHAnsi"/>
        </w:rPr>
        <w:t xml:space="preserve">Comments: </w:t>
      </w:r>
      <w:r w:rsidRPr="00FB137C">
        <w:rPr>
          <w:rFonts w:asciiTheme="minorHAnsi" w:hAnsiTheme="minorHAnsi"/>
        </w:rPr>
        <w:fldChar w:fldCharType="begin">
          <w:ffData>
            <w:name w:val="Text12"/>
            <w:enabled/>
            <w:calcOnExit w:val="0"/>
            <w:textInput/>
          </w:ffData>
        </w:fldChar>
      </w:r>
      <w:r w:rsidRPr="00FB137C">
        <w:rPr>
          <w:rFonts w:asciiTheme="minorHAnsi" w:hAnsiTheme="minorHAnsi"/>
        </w:rPr>
        <w:instrText xml:space="preserve"> FORMTEXT </w:instrText>
      </w:r>
      <w:r w:rsidRPr="00FB137C">
        <w:rPr>
          <w:rFonts w:asciiTheme="minorHAnsi" w:hAnsiTheme="minorHAnsi"/>
        </w:rPr>
      </w:r>
      <w:r w:rsidRPr="00FB137C">
        <w:rPr>
          <w:rFonts w:asciiTheme="minorHAnsi" w:hAnsiTheme="minorHAnsi"/>
        </w:rPr>
        <w:fldChar w:fldCharType="separate"/>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fldChar w:fldCharType="end"/>
      </w:r>
    </w:p>
    <w:p w:rsidRPr="000A013F" w:rsidR="00777E50" w:rsidP="00806402" w:rsidRDefault="00777E50" w14:paraId="162CBF89" w14:textId="31FD34AF">
      <w:pPr>
        <w:pStyle w:val="ListParagraph"/>
        <w:numPr>
          <w:ilvl w:val="0"/>
          <w:numId w:val="33"/>
        </w:numPr>
        <w:spacing w:before="120"/>
        <w:contextualSpacing w:val="0"/>
        <w:rPr>
          <w:rFonts w:asciiTheme="minorHAnsi" w:hAnsiTheme="minorHAnsi"/>
        </w:rPr>
      </w:pPr>
      <w:r w:rsidRPr="000A013F">
        <w:rPr>
          <w:rFonts w:asciiTheme="minorHAnsi" w:hAnsiTheme="minorHAnsi"/>
        </w:rPr>
        <w:t xml:space="preserve">Is </w:t>
      </w:r>
      <w:r w:rsidR="00E03475">
        <w:rPr>
          <w:rFonts w:asciiTheme="minorHAnsi" w:hAnsiTheme="minorHAnsi"/>
        </w:rPr>
        <w:t xml:space="preserve">there </w:t>
      </w:r>
      <w:r w:rsidRPr="000A013F">
        <w:rPr>
          <w:rFonts w:asciiTheme="minorHAnsi" w:hAnsiTheme="minorHAnsi"/>
        </w:rPr>
        <w:t xml:space="preserve">any part of the </w:t>
      </w:r>
      <w:r>
        <w:rPr>
          <w:rFonts w:asciiTheme="minorHAnsi" w:hAnsiTheme="minorHAnsi"/>
        </w:rPr>
        <w:t>proposed requirements</w:t>
      </w:r>
      <w:r w:rsidR="00E03475">
        <w:rPr>
          <w:rFonts w:asciiTheme="minorHAnsi" w:hAnsiTheme="minorHAnsi"/>
        </w:rPr>
        <w:t>,</w:t>
      </w:r>
      <w:r w:rsidRPr="000A013F">
        <w:rPr>
          <w:rFonts w:asciiTheme="minorHAnsi" w:hAnsiTheme="minorHAnsi"/>
        </w:rPr>
        <w:t xml:space="preserve"> as currently drafted</w:t>
      </w:r>
      <w:r w:rsidR="00E03475">
        <w:rPr>
          <w:rFonts w:asciiTheme="minorHAnsi" w:hAnsiTheme="minorHAnsi"/>
        </w:rPr>
        <w:t>,</w:t>
      </w:r>
      <w:r w:rsidRPr="000A013F">
        <w:rPr>
          <w:rFonts w:asciiTheme="minorHAnsi" w:hAnsiTheme="minorHAnsi"/>
        </w:rPr>
        <w:t xml:space="preserve"> </w:t>
      </w:r>
      <w:r>
        <w:rPr>
          <w:rFonts w:asciiTheme="minorHAnsi" w:hAnsiTheme="minorHAnsi"/>
        </w:rPr>
        <w:t xml:space="preserve">that </w:t>
      </w:r>
      <w:r w:rsidR="00E03475">
        <w:rPr>
          <w:rFonts w:asciiTheme="minorHAnsi" w:hAnsiTheme="minorHAnsi"/>
        </w:rPr>
        <w:t xml:space="preserve">is </w:t>
      </w:r>
      <w:r>
        <w:rPr>
          <w:rFonts w:asciiTheme="minorHAnsi" w:hAnsiTheme="minorHAnsi"/>
        </w:rPr>
        <w:t>unclear</w:t>
      </w:r>
      <w:r w:rsidRPr="000A013F">
        <w:rPr>
          <w:rFonts w:asciiTheme="minorHAnsi" w:hAnsiTheme="minorHAnsi"/>
        </w:rPr>
        <w:t xml:space="preserve">?  If so, how would you make it </w:t>
      </w:r>
      <w:r w:rsidRPr="000A013F" w:rsidR="009247D9">
        <w:rPr>
          <w:rFonts w:asciiTheme="minorHAnsi" w:hAnsiTheme="minorHAnsi"/>
        </w:rPr>
        <w:t>clearer</w:t>
      </w:r>
      <w:r w:rsidRPr="000A013F">
        <w:rPr>
          <w:rFonts w:asciiTheme="minorHAnsi" w:hAnsiTheme="minorHAnsi"/>
        </w:rPr>
        <w:t>?</w:t>
      </w:r>
    </w:p>
    <w:p w:rsidRPr="00237E29" w:rsidR="00777E50" w:rsidP="00806402" w:rsidRDefault="00777E50" w14:paraId="4DBC9554" w14:textId="77777777">
      <w:pPr>
        <w:pStyle w:val="ListParagraph"/>
        <w:keepNext/>
        <w:spacing w:before="120"/>
        <w:contextualSpacing w:val="0"/>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rsidRPr="00237E29" w:rsidR="00777E50" w:rsidP="00806402" w:rsidRDefault="00777E50" w14:paraId="56B997F3" w14:textId="7777777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004D0BEF">
        <w:rPr>
          <w:rFonts w:asciiTheme="minorHAnsi" w:hAnsiTheme="minorHAnsi"/>
        </w:rPr>
      </w:r>
      <w:r w:rsidR="004D0BEF">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rsidRPr="00777E50" w:rsidR="004869BB" w:rsidP="00806402" w:rsidRDefault="00777E50" w14:paraId="629E7999" w14:textId="217FE6C8">
      <w:pPr>
        <w:pStyle w:val="ListParagraph"/>
        <w:spacing w:before="120"/>
        <w:contextualSpacing w:val="0"/>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rsidRPr="00A203F2" w:rsidR="00A203F2" w:rsidP="00806402" w:rsidRDefault="00A203F2" w14:paraId="13E0B380" w14:textId="1720F0D9">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for the </w:t>
      </w:r>
      <w:r w:rsidR="0091764B">
        <w:rPr>
          <w:rFonts w:asciiTheme="minorHAnsi" w:hAnsiTheme="minorHAnsi"/>
        </w:rPr>
        <w:t>SDT</w:t>
      </w:r>
      <w:r w:rsidRPr="00A203F2">
        <w:rPr>
          <w:rFonts w:asciiTheme="minorHAnsi" w:hAnsiTheme="minorHAnsi"/>
        </w:rPr>
        <w:t xml:space="preserve"> to consider, </w:t>
      </w:r>
      <w:r>
        <w:rPr>
          <w:rFonts w:asciiTheme="minorHAnsi" w:hAnsiTheme="minorHAnsi"/>
        </w:rPr>
        <w:t xml:space="preserve">including the provided technical rationale document, </w:t>
      </w:r>
      <w:r w:rsidRPr="00A203F2">
        <w:rPr>
          <w:rFonts w:asciiTheme="minorHAnsi" w:hAnsiTheme="minorHAnsi"/>
        </w:rPr>
        <w:t>if desired</w:t>
      </w:r>
      <w:r>
        <w:rPr>
          <w:rFonts w:asciiTheme="minorHAnsi" w:hAnsiTheme="minorHAnsi"/>
        </w:rPr>
        <w:t>.</w:t>
      </w:r>
    </w:p>
    <w:p w:rsidRPr="00D24289" w:rsidR="00FE7421" w:rsidP="00806402" w:rsidRDefault="00FE7421" w14:paraId="6A9DD632" w14:textId="7777777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Pr="00D24289" w:rsidR="00E73B96" w:rsidP="00806402" w:rsidRDefault="00E73B96" w14:paraId="3793614C" w14:textId="77777777">
      <w:pPr>
        <w:ind w:firstLine="720"/>
      </w:pPr>
    </w:p>
    <w:p w:rsidRPr="00D24289" w:rsidR="00FE7421" w:rsidP="00806402" w:rsidRDefault="00FE7421" w14:paraId="711BF59F" w14:textId="77777777"/>
    <w:sectPr w:rsidRPr="00D24289" w:rsidR="00FE7421" w:rsidSect="001C2144">
      <w:headerReference w:type="default" r:id="rId16"/>
      <w:footerReference w:type="default" r:id="rId17"/>
      <w:headerReference w:type="first" r:id="rId18"/>
      <w:footerReference w:type="first" r:id="rId19"/>
      <w:pgSz w:w="12240" w:h="15840" w:orient="portrait"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4FB" w:rsidRDefault="00FE64FB" w14:paraId="0779EFAB" w14:textId="77777777">
      <w:r>
        <w:separator/>
      </w:r>
    </w:p>
  </w:endnote>
  <w:endnote w:type="continuationSeparator" w:id="0">
    <w:p w:rsidR="00FE64FB" w:rsidRDefault="00FE64FB" w14:paraId="5BABC3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0D403CD5" w:rsidR="00221129" w:rsidRPr="00855BA8" w:rsidRDefault="004D0BEF" w:rsidP="00575783">
    <w:pPr>
      <w:pStyle w:val="Footer"/>
      <w:tabs>
        <w:tab w:val="clear" w:pos="10354"/>
        <w:tab w:val="right" w:pos="10350"/>
      </w:tabs>
      <w:ind w:left="0" w:right="18"/>
    </w:pPr>
    <w:r w:rsidRPr="000D1B39">
      <w:t xml:space="preserve">Project </w:t>
    </w:r>
    <w:r>
      <w:t>2021-07 Extreme Cold Weather Grid Operations, Preparedness, and Coordination</w:t>
    </w:r>
    <w:r>
      <w:t xml:space="preserve"> </w:t>
    </w:r>
    <w:r w:rsidR="00221129">
      <w:br/>
    </w:r>
    <w:r>
      <w:t>Unofficial Comment Form</w:t>
    </w:r>
    <w:r w:rsidRPr="000D1B39">
      <w:t xml:space="preserve"> </w:t>
    </w:r>
    <w:r w:rsidR="00221129" w:rsidRPr="000D1B39">
      <w:t xml:space="preserve">| </w:t>
    </w:r>
    <w:r w:rsidR="007C2981">
      <w:t>February</w:t>
    </w:r>
    <w:r>
      <w:t>-April,</w:t>
    </w:r>
    <w:r w:rsidR="007C2981">
      <w:t xml:space="preserve"> 2023</w:t>
    </w:r>
    <w:r w:rsidR="00806402">
      <w:tab/>
    </w:r>
    <w:r w:rsidR="00806402">
      <w:fldChar w:fldCharType="begin"/>
    </w:r>
    <w:r w:rsidR="00806402">
      <w:instrText xml:space="preserve"> PAGE   \* MERGEFORMAT </w:instrText>
    </w:r>
    <w:r w:rsidR="00806402">
      <w:fldChar w:fldCharType="separate"/>
    </w:r>
    <w:r>
      <w:rPr>
        <w:noProof/>
      </w:rPr>
      <w:t>5</w:t>
    </w:r>
    <w:r w:rsidR="0080640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4FB" w:rsidRDefault="00FE64FB" w14:paraId="480F10D0" w14:textId="77777777">
      <w:r>
        <w:separator/>
      </w:r>
    </w:p>
  </w:footnote>
  <w:footnote w:type="continuationSeparator" w:id="0">
    <w:p w:rsidR="00FE64FB" w:rsidRDefault="00FE64FB" w14:paraId="27502D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hint="default" w:ascii="Symbol" w:hAnsi="Symbol"/>
      </w:rPr>
    </w:lvl>
    <w:lvl w:ilvl="1">
      <w:start w:val="186"/>
      <w:numFmt w:val="bullet"/>
      <w:lvlText w:val=""/>
      <w:lvlJc w:val="left"/>
      <w:pPr>
        <w:tabs>
          <w:tab w:val="num" w:pos="2520"/>
        </w:tabs>
        <w:ind w:left="2520" w:hanging="360"/>
      </w:pPr>
      <w:rPr>
        <w:rFonts w:hint="default" w:ascii="Wingdings" w:hAnsi="Wingdings"/>
      </w:rPr>
    </w:lvl>
    <w:lvl w:ilvl="2">
      <w:start w:val="186"/>
      <w:numFmt w:val="bullet"/>
      <w:lvlText w:val="o"/>
      <w:lvlJc w:val="left"/>
      <w:pPr>
        <w:tabs>
          <w:tab w:val="num" w:pos="3240"/>
        </w:tabs>
        <w:ind w:left="3240" w:hanging="360"/>
      </w:pPr>
      <w:rPr>
        <w:rFonts w:hint="default" w:ascii="Courier New" w:hAnsi="Courier New"/>
      </w:rPr>
    </w:lvl>
    <w:lvl w:ilvl="3">
      <w:start w:val="1"/>
      <w:numFmt w:val="bullet"/>
      <w:lvlText w:val="–"/>
      <w:lvlJc w:val="left"/>
      <w:pPr>
        <w:tabs>
          <w:tab w:val="num" w:pos="3960"/>
        </w:tabs>
        <w:ind w:left="3960" w:hanging="360"/>
      </w:pPr>
      <w:rPr>
        <w:rFonts w:hint="default" w:ascii="Tahoma" w:hAnsi="Tahoma"/>
      </w:rPr>
    </w:lvl>
    <w:lvl w:ilvl="4">
      <w:start w:val="1"/>
      <w:numFmt w:val="bullet"/>
      <w:lvlText w:val="•"/>
      <w:lvlJc w:val="left"/>
      <w:pPr>
        <w:tabs>
          <w:tab w:val="num" w:pos="4680"/>
        </w:tabs>
        <w:ind w:left="4680" w:hanging="360"/>
      </w:pPr>
      <w:rPr>
        <w:rFonts w:hint="default" w:ascii="Tahoma" w:hAnsi="Tahoma"/>
      </w:rPr>
    </w:lvl>
    <w:lvl w:ilvl="5">
      <w:start w:val="1"/>
      <w:numFmt w:val="bullet"/>
      <w:lvlText w:val=""/>
      <w:lvlJc w:val="left"/>
      <w:pPr>
        <w:tabs>
          <w:tab w:val="num" w:pos="5400"/>
        </w:tabs>
        <w:ind w:left="5400" w:hanging="360"/>
      </w:pPr>
      <w:rPr>
        <w:rFonts w:hint="default" w:ascii="Wingdings" w:hAnsi="Wingdings"/>
      </w:rPr>
    </w:lvl>
    <w:lvl w:ilvl="6">
      <w:start w:val="1"/>
      <w:numFmt w:val="bullet"/>
      <w:lvlText w:val="o"/>
      <w:lvlJc w:val="left"/>
      <w:pPr>
        <w:tabs>
          <w:tab w:val="num" w:pos="6120"/>
        </w:tabs>
        <w:ind w:left="6120" w:hanging="360"/>
      </w:pPr>
      <w:rPr>
        <w:rFonts w:hint="default" w:ascii="Courier New" w:hAnsi="Courier New"/>
      </w:rPr>
    </w:lvl>
    <w:lvl w:ilvl="7">
      <w:start w:val="1"/>
      <w:numFmt w:val="bullet"/>
      <w:lvlText w:val="–"/>
      <w:lvlJc w:val="left"/>
      <w:pPr>
        <w:tabs>
          <w:tab w:val="num" w:pos="6840"/>
        </w:tabs>
        <w:ind w:left="6840" w:hanging="360"/>
      </w:pPr>
      <w:rPr>
        <w:rFonts w:hint="default" w:ascii="Tahoma" w:hAnsi="Tahoma"/>
      </w:rPr>
    </w:lvl>
    <w:lvl w:ilvl="8">
      <w:start w:val="1"/>
      <w:numFmt w:val="bullet"/>
      <w:lvlText w:val="•"/>
      <w:lvlJc w:val="left"/>
      <w:pPr>
        <w:tabs>
          <w:tab w:val="num" w:pos="7560"/>
        </w:tabs>
        <w:ind w:left="7560" w:hanging="360"/>
      </w:pPr>
      <w:rPr>
        <w:rFonts w:hint="default" w:ascii="Tahoma" w:hAnsi="Tahoma"/>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Wingdings"/>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Wingdings"/>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Wingdings"/>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770C0B"/>
    <w:multiLevelType w:val="hybridMultilevel"/>
    <w:tmpl w:val="6100B086"/>
    <w:lvl w:ilvl="0" w:tplc="A82E5C7A">
      <w:start w:val="1"/>
      <w:numFmt w:val="decimal"/>
      <w:lvlText w:val="%1."/>
      <w:lvlJc w:val="left"/>
      <w:pPr>
        <w:ind w:left="720" w:hanging="360"/>
      </w:pPr>
      <w:rPr>
        <w:rFonts w:hint="default" w:asciiTheme="minorHAnsi" w:hAnsi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E34A69"/>
    <w:multiLevelType w:val="hybridMultilevel"/>
    <w:tmpl w:val="19A65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6EC1F41"/>
    <w:multiLevelType w:val="hybridMultilevel"/>
    <w:tmpl w:val="4896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9D07DDE"/>
    <w:multiLevelType w:val="multilevel"/>
    <w:tmpl w:val="E98C51B8"/>
    <w:lvl w:ilvl="0">
      <w:start w:val="1"/>
      <w:numFmt w:val="bullet"/>
      <w:lvlText w:val=""/>
      <w:lvlJc w:val="left"/>
      <w:pPr>
        <w:tabs>
          <w:tab w:val="num" w:pos="720"/>
        </w:tabs>
        <w:ind w:left="720" w:hanging="360"/>
      </w:pPr>
      <w:rPr>
        <w:rFonts w:hint="default" w:ascii="Symbol" w:hAnsi="Symbol"/>
      </w:rPr>
    </w:lvl>
    <w:lvl w:ilvl="1">
      <w:start w:val="186"/>
      <w:numFmt w:val="bullet"/>
      <w:lvlText w:val=""/>
      <w:lvlJc w:val="left"/>
      <w:pPr>
        <w:tabs>
          <w:tab w:val="num" w:pos="1440"/>
        </w:tabs>
        <w:ind w:left="1440" w:hanging="360"/>
      </w:pPr>
      <w:rPr>
        <w:rFonts w:hint="default" w:ascii="Wingdings" w:hAnsi="Wingdings"/>
      </w:rPr>
    </w:lvl>
    <w:lvl w:ilvl="2">
      <w:start w:val="186"/>
      <w:numFmt w:val="bullet"/>
      <w:lvlText w:val="o"/>
      <w:lvlJc w:val="left"/>
      <w:pPr>
        <w:tabs>
          <w:tab w:val="num" w:pos="2160"/>
        </w:tabs>
        <w:ind w:left="2160" w:hanging="360"/>
      </w:pPr>
      <w:rPr>
        <w:rFonts w:hint="default" w:ascii="Courier New" w:hAnsi="Courier New"/>
      </w:rPr>
    </w:lvl>
    <w:lvl w:ilvl="3">
      <w:start w:val="1"/>
      <w:numFmt w:val="bullet"/>
      <w:lvlText w:val="–"/>
      <w:lvlJc w:val="left"/>
      <w:pPr>
        <w:tabs>
          <w:tab w:val="num" w:pos="2880"/>
        </w:tabs>
        <w:ind w:left="2880" w:hanging="360"/>
      </w:pPr>
      <w:rPr>
        <w:rFonts w:hint="default" w:ascii="Tahoma" w:hAnsi="Tahoma"/>
      </w:rPr>
    </w:lvl>
    <w:lvl w:ilvl="4">
      <w:start w:val="1"/>
      <w:numFmt w:val="bullet"/>
      <w:lvlText w:val="•"/>
      <w:lvlJc w:val="left"/>
      <w:pPr>
        <w:tabs>
          <w:tab w:val="num" w:pos="3600"/>
        </w:tabs>
        <w:ind w:left="3600" w:hanging="360"/>
      </w:pPr>
      <w:rPr>
        <w:rFonts w:hint="default" w:ascii="Tahoma" w:hAnsi="Tahoma"/>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o"/>
      <w:lvlJc w:val="left"/>
      <w:pPr>
        <w:tabs>
          <w:tab w:val="num" w:pos="5040"/>
        </w:tabs>
        <w:ind w:left="5040" w:hanging="360"/>
      </w:pPr>
      <w:rPr>
        <w:rFonts w:hint="default" w:ascii="Courier New" w:hAnsi="Courier New"/>
      </w:rPr>
    </w:lvl>
    <w:lvl w:ilvl="7">
      <w:start w:val="1"/>
      <w:numFmt w:val="bullet"/>
      <w:lvlText w:val="–"/>
      <w:lvlJc w:val="left"/>
      <w:pPr>
        <w:tabs>
          <w:tab w:val="num" w:pos="5760"/>
        </w:tabs>
        <w:ind w:left="5760" w:hanging="360"/>
      </w:pPr>
      <w:rPr>
        <w:rFonts w:hint="default" w:ascii="Tahoma" w:hAnsi="Tahoma"/>
      </w:rPr>
    </w:lvl>
    <w:lvl w:ilvl="8">
      <w:start w:val="1"/>
      <w:numFmt w:val="bullet"/>
      <w:lvlText w:val="•"/>
      <w:lvlJc w:val="left"/>
      <w:pPr>
        <w:tabs>
          <w:tab w:val="num" w:pos="6480"/>
        </w:tabs>
        <w:ind w:left="6480" w:hanging="360"/>
      </w:pPr>
      <w:rPr>
        <w:rFonts w:hint="default" w:ascii="Tahoma" w:hAnsi="Tahoma"/>
      </w:rPr>
    </w:lvl>
  </w:abstractNum>
  <w:abstractNum w:abstractNumId="19" w15:restartNumberingAfterBreak="0">
    <w:nsid w:val="1BDD33A2"/>
    <w:multiLevelType w:val="multilevel"/>
    <w:tmpl w:val="E410D42C"/>
    <w:numStyleLink w:val="NERCListBullets"/>
  </w:abstractNum>
  <w:abstractNum w:abstractNumId="20" w15:restartNumberingAfterBreak="0">
    <w:nsid w:val="234959E4"/>
    <w:multiLevelType w:val="hybridMultilevel"/>
    <w:tmpl w:val="857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6C2A19"/>
    <w:multiLevelType w:val="hybridMultilevel"/>
    <w:tmpl w:val="963E6B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4E65355"/>
    <w:multiLevelType w:val="hybridMultilevel"/>
    <w:tmpl w:val="6C3835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81B504B"/>
    <w:multiLevelType w:val="hybridMultilevel"/>
    <w:tmpl w:val="D3E80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AD32C91"/>
    <w:multiLevelType w:val="multilevel"/>
    <w:tmpl w:val="142A0238"/>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Wingdings"/>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Wingdings"/>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Wingdings"/>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6"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35EF3DDC"/>
    <w:multiLevelType w:val="hybridMultilevel"/>
    <w:tmpl w:val="CF9887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00C4772"/>
    <w:multiLevelType w:val="hybridMultilevel"/>
    <w:tmpl w:val="4C6085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1175F6B"/>
    <w:multiLevelType w:val="hybridMultilevel"/>
    <w:tmpl w:val="6100B086"/>
    <w:lvl w:ilvl="0" w:tplc="A82E5C7A">
      <w:start w:val="1"/>
      <w:numFmt w:val="decimal"/>
      <w:lvlText w:val="%1."/>
      <w:lvlJc w:val="left"/>
      <w:pPr>
        <w:ind w:left="720" w:hanging="360"/>
      </w:pPr>
      <w:rPr>
        <w:rFonts w:hint="default" w:asciiTheme="minorHAnsi" w:hAnsi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F123C3"/>
    <w:multiLevelType w:val="multilevel"/>
    <w:tmpl w:val="E410D42C"/>
    <w:styleLink w:val="NERCListBullets"/>
    <w:lvl w:ilvl="0">
      <w:start w:val="1"/>
      <w:numFmt w:val="bullet"/>
      <w:pStyle w:val="ListBullet"/>
      <w:lvlText w:val=""/>
      <w:lvlJc w:val="left"/>
      <w:pPr>
        <w:ind w:left="720" w:hanging="360"/>
      </w:pPr>
      <w:rPr>
        <w:rFonts w:hint="default" w:ascii="Symbol" w:hAnsi="Symbol"/>
      </w:rPr>
    </w:lvl>
    <w:lvl w:ilvl="1">
      <w:start w:val="1"/>
      <w:numFmt w:val="bullet"/>
      <w:pStyle w:val="ListBullet2"/>
      <w:lvlText w:val=""/>
      <w:lvlJc w:val="left"/>
      <w:pPr>
        <w:ind w:left="1080" w:hanging="360"/>
      </w:pPr>
      <w:rPr>
        <w:rFonts w:hint="default" w:ascii="Wingdings" w:hAnsi="Wingdings"/>
      </w:rPr>
    </w:lvl>
    <w:lvl w:ilvl="2">
      <w:start w:val="1"/>
      <w:numFmt w:val="bullet"/>
      <w:pStyle w:val="ListBullet3"/>
      <w:lvlText w:val="o"/>
      <w:lvlJc w:val="left"/>
      <w:pPr>
        <w:ind w:left="1440" w:hanging="360"/>
      </w:pPr>
      <w:rPr>
        <w:rFonts w:hint="default" w:ascii="Courier New" w:hAnsi="Courier New"/>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4" w15:restartNumberingAfterBreak="0">
    <w:nsid w:val="4C104F08"/>
    <w:multiLevelType w:val="hybridMultilevel"/>
    <w:tmpl w:val="7878F8B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5"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22755E"/>
    <w:multiLevelType w:val="hybridMultilevel"/>
    <w:tmpl w:val="C206F424"/>
    <w:lvl w:ilvl="0" w:tplc="04090001">
      <w:start w:val="1"/>
      <w:numFmt w:val="bullet"/>
      <w:lvlText w:val=""/>
      <w:lvlJc w:val="left"/>
      <w:pPr>
        <w:ind w:left="758" w:hanging="360"/>
      </w:pPr>
      <w:rPr>
        <w:rFonts w:hint="default" w:ascii="Symbol" w:hAnsi="Symbol"/>
      </w:rPr>
    </w:lvl>
    <w:lvl w:ilvl="1" w:tplc="04090003" w:tentative="1">
      <w:start w:val="1"/>
      <w:numFmt w:val="bullet"/>
      <w:lvlText w:val="o"/>
      <w:lvlJc w:val="left"/>
      <w:pPr>
        <w:ind w:left="1478" w:hanging="360"/>
      </w:pPr>
      <w:rPr>
        <w:rFonts w:hint="default" w:ascii="Courier New" w:hAnsi="Courier New" w:cs="Courier New"/>
      </w:rPr>
    </w:lvl>
    <w:lvl w:ilvl="2" w:tplc="04090005" w:tentative="1">
      <w:start w:val="1"/>
      <w:numFmt w:val="bullet"/>
      <w:lvlText w:val=""/>
      <w:lvlJc w:val="left"/>
      <w:pPr>
        <w:ind w:left="2198" w:hanging="360"/>
      </w:pPr>
      <w:rPr>
        <w:rFonts w:hint="default" w:ascii="Wingdings" w:hAnsi="Wingdings"/>
      </w:rPr>
    </w:lvl>
    <w:lvl w:ilvl="3" w:tplc="04090001" w:tentative="1">
      <w:start w:val="1"/>
      <w:numFmt w:val="bullet"/>
      <w:lvlText w:val=""/>
      <w:lvlJc w:val="left"/>
      <w:pPr>
        <w:ind w:left="2918" w:hanging="360"/>
      </w:pPr>
      <w:rPr>
        <w:rFonts w:hint="default" w:ascii="Symbol" w:hAnsi="Symbol"/>
      </w:rPr>
    </w:lvl>
    <w:lvl w:ilvl="4" w:tplc="04090003" w:tentative="1">
      <w:start w:val="1"/>
      <w:numFmt w:val="bullet"/>
      <w:lvlText w:val="o"/>
      <w:lvlJc w:val="left"/>
      <w:pPr>
        <w:ind w:left="3638" w:hanging="360"/>
      </w:pPr>
      <w:rPr>
        <w:rFonts w:hint="default" w:ascii="Courier New" w:hAnsi="Courier New" w:cs="Courier New"/>
      </w:rPr>
    </w:lvl>
    <w:lvl w:ilvl="5" w:tplc="04090005" w:tentative="1">
      <w:start w:val="1"/>
      <w:numFmt w:val="bullet"/>
      <w:lvlText w:val=""/>
      <w:lvlJc w:val="left"/>
      <w:pPr>
        <w:ind w:left="4358" w:hanging="360"/>
      </w:pPr>
      <w:rPr>
        <w:rFonts w:hint="default" w:ascii="Wingdings" w:hAnsi="Wingdings"/>
      </w:rPr>
    </w:lvl>
    <w:lvl w:ilvl="6" w:tplc="04090001" w:tentative="1">
      <w:start w:val="1"/>
      <w:numFmt w:val="bullet"/>
      <w:lvlText w:val=""/>
      <w:lvlJc w:val="left"/>
      <w:pPr>
        <w:ind w:left="5078" w:hanging="360"/>
      </w:pPr>
      <w:rPr>
        <w:rFonts w:hint="default" w:ascii="Symbol" w:hAnsi="Symbol"/>
      </w:rPr>
    </w:lvl>
    <w:lvl w:ilvl="7" w:tplc="04090003" w:tentative="1">
      <w:start w:val="1"/>
      <w:numFmt w:val="bullet"/>
      <w:lvlText w:val="o"/>
      <w:lvlJc w:val="left"/>
      <w:pPr>
        <w:ind w:left="5798" w:hanging="360"/>
      </w:pPr>
      <w:rPr>
        <w:rFonts w:hint="default" w:ascii="Courier New" w:hAnsi="Courier New" w:cs="Courier New"/>
      </w:rPr>
    </w:lvl>
    <w:lvl w:ilvl="8" w:tplc="04090005" w:tentative="1">
      <w:start w:val="1"/>
      <w:numFmt w:val="bullet"/>
      <w:lvlText w:val=""/>
      <w:lvlJc w:val="left"/>
      <w:pPr>
        <w:ind w:left="6518" w:hanging="360"/>
      </w:pPr>
      <w:rPr>
        <w:rFonts w:hint="default" w:ascii="Wingdings" w:hAnsi="Wingdings"/>
      </w:rPr>
    </w:lvl>
  </w:abstractNum>
  <w:abstractNum w:abstractNumId="37" w15:restartNumberingAfterBreak="0">
    <w:nsid w:val="6553628A"/>
    <w:multiLevelType w:val="hybridMultilevel"/>
    <w:tmpl w:val="DB109D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1B92337"/>
    <w:multiLevelType w:val="hybridMultilevel"/>
    <w:tmpl w:val="6A4C4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669CA"/>
    <w:multiLevelType w:val="hybridMultilevel"/>
    <w:tmpl w:val="64EA0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Wingdings"/>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Wingdings"/>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Wingdings"/>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2" w15:restartNumberingAfterBreak="0">
    <w:nsid w:val="76735E9A"/>
    <w:multiLevelType w:val="hybridMultilevel"/>
    <w:tmpl w:val="173A9286"/>
    <w:lvl w:ilvl="0" w:tplc="8A102B6A">
      <w:start w:val="1"/>
      <w:numFmt w:val="bullet"/>
      <w:lvlText w:val=""/>
      <w:lvlJc w:val="left"/>
      <w:pPr>
        <w:tabs>
          <w:tab w:val="num" w:pos="720"/>
        </w:tabs>
        <w:ind w:left="720" w:hanging="360"/>
      </w:pPr>
      <w:rPr>
        <w:rFonts w:hint="default" w:ascii="Wingdings" w:hAnsi="Wingdings"/>
        <w:sz w:val="22"/>
        <w:szCs w:val="22"/>
      </w:rPr>
    </w:lvl>
    <w:lvl w:ilvl="1" w:tplc="4E2C40E0" w:tentative="1">
      <w:start w:val="1"/>
      <w:numFmt w:val="bullet"/>
      <w:lvlText w:val="o"/>
      <w:lvlJc w:val="left"/>
      <w:pPr>
        <w:tabs>
          <w:tab w:val="num" w:pos="1440"/>
        </w:tabs>
        <w:ind w:left="1440" w:hanging="360"/>
      </w:pPr>
      <w:rPr>
        <w:rFonts w:hint="default" w:ascii="Courier New" w:hAnsi="Courier New" w:cs="Wingdings"/>
      </w:rPr>
    </w:lvl>
    <w:lvl w:ilvl="2" w:tplc="5686D050" w:tentative="1">
      <w:start w:val="1"/>
      <w:numFmt w:val="bullet"/>
      <w:lvlText w:val=""/>
      <w:lvlJc w:val="left"/>
      <w:pPr>
        <w:tabs>
          <w:tab w:val="num" w:pos="2160"/>
        </w:tabs>
        <w:ind w:left="2160" w:hanging="360"/>
      </w:pPr>
      <w:rPr>
        <w:rFonts w:hint="default" w:ascii="Wingdings" w:hAnsi="Wingdings"/>
      </w:rPr>
    </w:lvl>
    <w:lvl w:ilvl="3" w:tplc="453C9DFA" w:tentative="1">
      <w:start w:val="1"/>
      <w:numFmt w:val="bullet"/>
      <w:lvlText w:val=""/>
      <w:lvlJc w:val="left"/>
      <w:pPr>
        <w:tabs>
          <w:tab w:val="num" w:pos="2880"/>
        </w:tabs>
        <w:ind w:left="2880" w:hanging="360"/>
      </w:pPr>
      <w:rPr>
        <w:rFonts w:hint="default" w:ascii="Symbol" w:hAnsi="Symbol"/>
      </w:rPr>
    </w:lvl>
    <w:lvl w:ilvl="4" w:tplc="08700056" w:tentative="1">
      <w:start w:val="1"/>
      <w:numFmt w:val="bullet"/>
      <w:lvlText w:val="o"/>
      <w:lvlJc w:val="left"/>
      <w:pPr>
        <w:tabs>
          <w:tab w:val="num" w:pos="3600"/>
        </w:tabs>
        <w:ind w:left="3600" w:hanging="360"/>
      </w:pPr>
      <w:rPr>
        <w:rFonts w:hint="default" w:ascii="Courier New" w:hAnsi="Courier New" w:cs="Wingdings"/>
      </w:rPr>
    </w:lvl>
    <w:lvl w:ilvl="5" w:tplc="4580AE5A" w:tentative="1">
      <w:start w:val="1"/>
      <w:numFmt w:val="bullet"/>
      <w:lvlText w:val=""/>
      <w:lvlJc w:val="left"/>
      <w:pPr>
        <w:tabs>
          <w:tab w:val="num" w:pos="4320"/>
        </w:tabs>
        <w:ind w:left="4320" w:hanging="360"/>
      </w:pPr>
      <w:rPr>
        <w:rFonts w:hint="default" w:ascii="Wingdings" w:hAnsi="Wingdings"/>
      </w:rPr>
    </w:lvl>
    <w:lvl w:ilvl="6" w:tplc="49826EFA" w:tentative="1">
      <w:start w:val="1"/>
      <w:numFmt w:val="bullet"/>
      <w:lvlText w:val=""/>
      <w:lvlJc w:val="left"/>
      <w:pPr>
        <w:tabs>
          <w:tab w:val="num" w:pos="5040"/>
        </w:tabs>
        <w:ind w:left="5040" w:hanging="360"/>
      </w:pPr>
      <w:rPr>
        <w:rFonts w:hint="default" w:ascii="Symbol" w:hAnsi="Symbol"/>
      </w:rPr>
    </w:lvl>
    <w:lvl w:ilvl="7" w:tplc="023C3312" w:tentative="1">
      <w:start w:val="1"/>
      <w:numFmt w:val="bullet"/>
      <w:lvlText w:val="o"/>
      <w:lvlJc w:val="left"/>
      <w:pPr>
        <w:tabs>
          <w:tab w:val="num" w:pos="5760"/>
        </w:tabs>
        <w:ind w:left="5760" w:hanging="360"/>
      </w:pPr>
      <w:rPr>
        <w:rFonts w:hint="default" w:ascii="Courier New" w:hAnsi="Courier New" w:cs="Wingdings"/>
      </w:rPr>
    </w:lvl>
    <w:lvl w:ilvl="8" w:tplc="A292349E"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99805E3"/>
    <w:multiLevelType w:val="hybridMultilevel"/>
    <w:tmpl w:val="18061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5"/>
  </w:num>
  <w:num w:numId="2">
    <w:abstractNumId w:val="13"/>
  </w:num>
  <w:num w:numId="3">
    <w:abstractNumId w:val="41"/>
  </w:num>
  <w:num w:numId="4">
    <w:abstractNumId w:val="25"/>
  </w:num>
  <w:num w:numId="5">
    <w:abstractNumId w:val="4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7"/>
  </w:num>
  <w:num w:numId="17">
    <w:abstractNumId w:val="18"/>
  </w:num>
  <w:num w:numId="18">
    <w:abstractNumId w:val="24"/>
  </w:num>
  <w:num w:numId="19">
    <w:abstractNumId w:val="11"/>
  </w:num>
  <w:num w:numId="20">
    <w:abstractNumId w:val="33"/>
  </w:num>
  <w:num w:numId="21">
    <w:abstractNumId w:val="19"/>
  </w:num>
  <w:num w:numId="22">
    <w:abstractNumId w:val="10"/>
  </w:num>
  <w:num w:numId="23">
    <w:abstractNumId w:val="16"/>
  </w:num>
  <w:num w:numId="24">
    <w:abstractNumId w:val="28"/>
  </w:num>
  <w:num w:numId="25">
    <w:abstractNumId w:val="29"/>
  </w:num>
  <w:num w:numId="26">
    <w:abstractNumId w:val="43"/>
  </w:num>
  <w:num w:numId="27">
    <w:abstractNumId w:val="12"/>
  </w:num>
  <w:num w:numId="28">
    <w:abstractNumId w:val="36"/>
  </w:num>
  <w:num w:numId="29">
    <w:abstractNumId w:val="32"/>
  </w:num>
  <w:num w:numId="30">
    <w:abstractNumId w:val="39"/>
  </w:num>
  <w:num w:numId="31">
    <w:abstractNumId w:val="26"/>
  </w:num>
  <w:num w:numId="32">
    <w:abstractNumId w:val="31"/>
  </w:num>
  <w:num w:numId="33">
    <w:abstractNumId w:val="30"/>
  </w:num>
  <w:num w:numId="34">
    <w:abstractNumId w:val="14"/>
  </w:num>
  <w:num w:numId="35">
    <w:abstractNumId w:val="2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8"/>
  </w:num>
  <w:num w:numId="41">
    <w:abstractNumId w:val="40"/>
  </w:num>
  <w:num w:numId="42">
    <w:abstractNumId w:val="15"/>
  </w:num>
  <w:num w:numId="43">
    <w:abstractNumId w:val="2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013F"/>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07332"/>
    <w:rsid w:val="00132E88"/>
    <w:rsid w:val="001346AA"/>
    <w:rsid w:val="00136931"/>
    <w:rsid w:val="0014382A"/>
    <w:rsid w:val="0014403F"/>
    <w:rsid w:val="00154798"/>
    <w:rsid w:val="00154F98"/>
    <w:rsid w:val="001574EA"/>
    <w:rsid w:val="00162ACA"/>
    <w:rsid w:val="00164376"/>
    <w:rsid w:val="00172CE3"/>
    <w:rsid w:val="0018514C"/>
    <w:rsid w:val="001859A9"/>
    <w:rsid w:val="001A6FC8"/>
    <w:rsid w:val="001A7B2D"/>
    <w:rsid w:val="001C2144"/>
    <w:rsid w:val="001D47FD"/>
    <w:rsid w:val="001E6782"/>
    <w:rsid w:val="001E7AF6"/>
    <w:rsid w:val="001F6F01"/>
    <w:rsid w:val="002027E9"/>
    <w:rsid w:val="002038BA"/>
    <w:rsid w:val="00212C02"/>
    <w:rsid w:val="00221129"/>
    <w:rsid w:val="00237E29"/>
    <w:rsid w:val="00262A2F"/>
    <w:rsid w:val="00262F32"/>
    <w:rsid w:val="00283FB4"/>
    <w:rsid w:val="002861E3"/>
    <w:rsid w:val="002B58D5"/>
    <w:rsid w:val="002C11E1"/>
    <w:rsid w:val="002C6E45"/>
    <w:rsid w:val="002D48A8"/>
    <w:rsid w:val="002D740C"/>
    <w:rsid w:val="002E1D29"/>
    <w:rsid w:val="002F2BFE"/>
    <w:rsid w:val="003075F3"/>
    <w:rsid w:val="003134D1"/>
    <w:rsid w:val="00313BFE"/>
    <w:rsid w:val="003447B5"/>
    <w:rsid w:val="003632EA"/>
    <w:rsid w:val="00366A96"/>
    <w:rsid w:val="003764E1"/>
    <w:rsid w:val="00385F2F"/>
    <w:rsid w:val="0038676B"/>
    <w:rsid w:val="0039275D"/>
    <w:rsid w:val="003A039D"/>
    <w:rsid w:val="003A07DE"/>
    <w:rsid w:val="003A1E7B"/>
    <w:rsid w:val="003A2C17"/>
    <w:rsid w:val="003C0FD0"/>
    <w:rsid w:val="003C2871"/>
    <w:rsid w:val="003C40A4"/>
    <w:rsid w:val="003E1C41"/>
    <w:rsid w:val="003F78BD"/>
    <w:rsid w:val="00404325"/>
    <w:rsid w:val="0040795F"/>
    <w:rsid w:val="00411B23"/>
    <w:rsid w:val="004126D5"/>
    <w:rsid w:val="004204D3"/>
    <w:rsid w:val="004204FE"/>
    <w:rsid w:val="0042088D"/>
    <w:rsid w:val="00433A9B"/>
    <w:rsid w:val="00433C7C"/>
    <w:rsid w:val="004430FF"/>
    <w:rsid w:val="00456B99"/>
    <w:rsid w:val="004631BF"/>
    <w:rsid w:val="004739A3"/>
    <w:rsid w:val="004800C7"/>
    <w:rsid w:val="004859C6"/>
    <w:rsid w:val="004869BB"/>
    <w:rsid w:val="00487B7F"/>
    <w:rsid w:val="004937E7"/>
    <w:rsid w:val="004A7BAA"/>
    <w:rsid w:val="004B6719"/>
    <w:rsid w:val="004B6A0A"/>
    <w:rsid w:val="004B7DE3"/>
    <w:rsid w:val="004D0BEF"/>
    <w:rsid w:val="004D3EC5"/>
    <w:rsid w:val="004E7B5C"/>
    <w:rsid w:val="0050270C"/>
    <w:rsid w:val="005052E3"/>
    <w:rsid w:val="00510652"/>
    <w:rsid w:val="005240B5"/>
    <w:rsid w:val="005316C6"/>
    <w:rsid w:val="005316F3"/>
    <w:rsid w:val="00540E51"/>
    <w:rsid w:val="00545613"/>
    <w:rsid w:val="00554CD1"/>
    <w:rsid w:val="00555F79"/>
    <w:rsid w:val="005659F3"/>
    <w:rsid w:val="00573832"/>
    <w:rsid w:val="00575783"/>
    <w:rsid w:val="00584F6D"/>
    <w:rsid w:val="00591CE2"/>
    <w:rsid w:val="00597D63"/>
    <w:rsid w:val="005A2920"/>
    <w:rsid w:val="005A721A"/>
    <w:rsid w:val="005B7382"/>
    <w:rsid w:val="005C0AFD"/>
    <w:rsid w:val="005C2683"/>
    <w:rsid w:val="005C2CA7"/>
    <w:rsid w:val="005D3F72"/>
    <w:rsid w:val="005E6F5D"/>
    <w:rsid w:val="005F574F"/>
    <w:rsid w:val="00610B5B"/>
    <w:rsid w:val="00626C73"/>
    <w:rsid w:val="00631174"/>
    <w:rsid w:val="00642BF1"/>
    <w:rsid w:val="00652754"/>
    <w:rsid w:val="00676409"/>
    <w:rsid w:val="00677F97"/>
    <w:rsid w:val="00685D35"/>
    <w:rsid w:val="00692F16"/>
    <w:rsid w:val="006935E7"/>
    <w:rsid w:val="00694CD1"/>
    <w:rsid w:val="00696203"/>
    <w:rsid w:val="006B3EC7"/>
    <w:rsid w:val="006C1F78"/>
    <w:rsid w:val="006E4ED6"/>
    <w:rsid w:val="006E67B7"/>
    <w:rsid w:val="006F6DD1"/>
    <w:rsid w:val="00712B28"/>
    <w:rsid w:val="00723EC7"/>
    <w:rsid w:val="007254EA"/>
    <w:rsid w:val="00733724"/>
    <w:rsid w:val="0073546A"/>
    <w:rsid w:val="00743BEA"/>
    <w:rsid w:val="0074626C"/>
    <w:rsid w:val="00747D75"/>
    <w:rsid w:val="00760B1C"/>
    <w:rsid w:val="0076518B"/>
    <w:rsid w:val="00777E50"/>
    <w:rsid w:val="00784EFD"/>
    <w:rsid w:val="00791651"/>
    <w:rsid w:val="007A332A"/>
    <w:rsid w:val="007A5C7E"/>
    <w:rsid w:val="007C07B0"/>
    <w:rsid w:val="007C12E8"/>
    <w:rsid w:val="007C1AEF"/>
    <w:rsid w:val="007C2981"/>
    <w:rsid w:val="007C3728"/>
    <w:rsid w:val="007E0028"/>
    <w:rsid w:val="00806402"/>
    <w:rsid w:val="00844209"/>
    <w:rsid w:val="008542FC"/>
    <w:rsid w:val="00855BA8"/>
    <w:rsid w:val="00861E94"/>
    <w:rsid w:val="00866E63"/>
    <w:rsid w:val="008770BA"/>
    <w:rsid w:val="008866E7"/>
    <w:rsid w:val="00893106"/>
    <w:rsid w:val="00894267"/>
    <w:rsid w:val="008A0C21"/>
    <w:rsid w:val="008C1A0A"/>
    <w:rsid w:val="008C2858"/>
    <w:rsid w:val="008D3B53"/>
    <w:rsid w:val="008D3FCD"/>
    <w:rsid w:val="008D532D"/>
    <w:rsid w:val="008F7B39"/>
    <w:rsid w:val="00900513"/>
    <w:rsid w:val="00905A97"/>
    <w:rsid w:val="00905DC1"/>
    <w:rsid w:val="00914DCD"/>
    <w:rsid w:val="0091530F"/>
    <w:rsid w:val="0091764B"/>
    <w:rsid w:val="009218CA"/>
    <w:rsid w:val="009247D9"/>
    <w:rsid w:val="00964CB8"/>
    <w:rsid w:val="00973784"/>
    <w:rsid w:val="00974257"/>
    <w:rsid w:val="009838D6"/>
    <w:rsid w:val="00986E64"/>
    <w:rsid w:val="00990DAF"/>
    <w:rsid w:val="009A3624"/>
    <w:rsid w:val="009A4DFE"/>
    <w:rsid w:val="009C211C"/>
    <w:rsid w:val="009C777F"/>
    <w:rsid w:val="009D73F4"/>
    <w:rsid w:val="00A159B9"/>
    <w:rsid w:val="00A203F2"/>
    <w:rsid w:val="00A31945"/>
    <w:rsid w:val="00A35DA7"/>
    <w:rsid w:val="00A42C67"/>
    <w:rsid w:val="00A53159"/>
    <w:rsid w:val="00A6738A"/>
    <w:rsid w:val="00A8535E"/>
    <w:rsid w:val="00A90B26"/>
    <w:rsid w:val="00A91FB4"/>
    <w:rsid w:val="00A92B1C"/>
    <w:rsid w:val="00A97AB6"/>
    <w:rsid w:val="00A97CE4"/>
    <w:rsid w:val="00AA1292"/>
    <w:rsid w:val="00AA13DB"/>
    <w:rsid w:val="00AB3716"/>
    <w:rsid w:val="00AC075B"/>
    <w:rsid w:val="00AC0C35"/>
    <w:rsid w:val="00AC36AD"/>
    <w:rsid w:val="00AC42DA"/>
    <w:rsid w:val="00AD1865"/>
    <w:rsid w:val="00AD3B11"/>
    <w:rsid w:val="00AD744A"/>
    <w:rsid w:val="00AE1FAF"/>
    <w:rsid w:val="00AF23C2"/>
    <w:rsid w:val="00B146D4"/>
    <w:rsid w:val="00B20C4F"/>
    <w:rsid w:val="00B21462"/>
    <w:rsid w:val="00B36D07"/>
    <w:rsid w:val="00B375B5"/>
    <w:rsid w:val="00B67A92"/>
    <w:rsid w:val="00B8313A"/>
    <w:rsid w:val="00B90D2E"/>
    <w:rsid w:val="00B95513"/>
    <w:rsid w:val="00BA34E0"/>
    <w:rsid w:val="00BD4BFB"/>
    <w:rsid w:val="00BD77DE"/>
    <w:rsid w:val="00BE5580"/>
    <w:rsid w:val="00C0478B"/>
    <w:rsid w:val="00C06FBE"/>
    <w:rsid w:val="00C13E1C"/>
    <w:rsid w:val="00C25F48"/>
    <w:rsid w:val="00C31EA1"/>
    <w:rsid w:val="00C33C8E"/>
    <w:rsid w:val="00C36317"/>
    <w:rsid w:val="00C36DA2"/>
    <w:rsid w:val="00C64E95"/>
    <w:rsid w:val="00C6538F"/>
    <w:rsid w:val="00C6638E"/>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068D"/>
    <w:rsid w:val="00D225E0"/>
    <w:rsid w:val="00D228D6"/>
    <w:rsid w:val="00D24289"/>
    <w:rsid w:val="00D24B61"/>
    <w:rsid w:val="00D303D3"/>
    <w:rsid w:val="00D31B2F"/>
    <w:rsid w:val="00D33514"/>
    <w:rsid w:val="00D35D48"/>
    <w:rsid w:val="00D504FB"/>
    <w:rsid w:val="00D56EBF"/>
    <w:rsid w:val="00D5715F"/>
    <w:rsid w:val="00D57EDC"/>
    <w:rsid w:val="00D61BBD"/>
    <w:rsid w:val="00D71B57"/>
    <w:rsid w:val="00D730C8"/>
    <w:rsid w:val="00D7715A"/>
    <w:rsid w:val="00D8646B"/>
    <w:rsid w:val="00D9120D"/>
    <w:rsid w:val="00D92883"/>
    <w:rsid w:val="00D933A3"/>
    <w:rsid w:val="00D9670F"/>
    <w:rsid w:val="00D96A22"/>
    <w:rsid w:val="00DA634C"/>
    <w:rsid w:val="00DB62EC"/>
    <w:rsid w:val="00DB7C23"/>
    <w:rsid w:val="00DC3755"/>
    <w:rsid w:val="00DC3A78"/>
    <w:rsid w:val="00DC4D2B"/>
    <w:rsid w:val="00DC63DB"/>
    <w:rsid w:val="00DC6B8D"/>
    <w:rsid w:val="00DE6954"/>
    <w:rsid w:val="00DF61CE"/>
    <w:rsid w:val="00E00283"/>
    <w:rsid w:val="00E03475"/>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E661C"/>
    <w:rsid w:val="00EF6F41"/>
    <w:rsid w:val="00F006EF"/>
    <w:rsid w:val="00F073C5"/>
    <w:rsid w:val="00F07493"/>
    <w:rsid w:val="00F21B75"/>
    <w:rsid w:val="00F31926"/>
    <w:rsid w:val="00F35196"/>
    <w:rsid w:val="00F5146D"/>
    <w:rsid w:val="00F55DCC"/>
    <w:rsid w:val="00F6052D"/>
    <w:rsid w:val="00F655D5"/>
    <w:rsid w:val="00F6772B"/>
    <w:rsid w:val="00F7187A"/>
    <w:rsid w:val="00F7641D"/>
    <w:rsid w:val="00F8146F"/>
    <w:rsid w:val="00F82125"/>
    <w:rsid w:val="00F84F32"/>
    <w:rsid w:val="00F93544"/>
    <w:rsid w:val="00F96776"/>
    <w:rsid w:val="00FA4BE5"/>
    <w:rsid w:val="00FA4C39"/>
    <w:rsid w:val="00FA5D71"/>
    <w:rsid w:val="00FB137C"/>
    <w:rsid w:val="00FB4FB6"/>
    <w:rsid w:val="00FB5404"/>
    <w:rsid w:val="00FC2038"/>
    <w:rsid w:val="00FC2075"/>
    <w:rsid w:val="00FC3D2E"/>
    <w:rsid w:val="00FC72E9"/>
    <w:rsid w:val="00FC7B36"/>
    <w:rsid w:val="00FD74B7"/>
    <w:rsid w:val="00FE5DAD"/>
    <w:rsid w:val="00FE64FB"/>
    <w:rsid w:val="00FE7421"/>
    <w:rsid w:val="00FF1E1F"/>
    <w:rsid w:val="00FF2DF8"/>
    <w:rsid w:val="00FF493A"/>
    <w:rsid w:val="00FF6BE1"/>
    <w:rsid w:val="41ADB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Title" w:customStyle="1">
    <w:name w:val="Document Title"/>
    <w:basedOn w:val="Normal"/>
    <w:qFormat/>
    <w:rsid w:val="002F2BFE"/>
    <w:rPr>
      <w:rFonts w:ascii="Tahoma" w:hAnsi="Tahoma"/>
      <w:b/>
      <w:bCs/>
      <w:color w:val="204C81"/>
      <w:sz w:val="44"/>
      <w:szCs w:val="20"/>
    </w:rPr>
  </w:style>
  <w:style w:type="paragraph" w:styleId="Default" w:customStyle="1">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styleId="Heading3Char" w:customStyle="1">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semiHidden/>
    <w:rsid w:val="00D91334"/>
    <w:rPr>
      <w:b/>
      <w:bCs/>
    </w:rPr>
  </w:style>
  <w:style w:type="character" w:styleId="Heading1Char" w:customStyle="1">
    <w:name w:val="Heading 1 Char"/>
    <w:basedOn w:val="DefaultParagraphFont"/>
    <w:link w:val="Heading1"/>
    <w:uiPriority w:val="9"/>
    <w:rsid w:val="002F2BFE"/>
    <w:rPr>
      <w:rFonts w:ascii="Tahoma" w:hAnsi="Tahoma"/>
      <w:b/>
      <w:bCs/>
      <w:sz w:val="28"/>
    </w:rPr>
  </w:style>
  <w:style w:type="character" w:styleId="Heading2Char" w:customStyle="1">
    <w:name w:val="Heading 2 Char"/>
    <w:basedOn w:val="DefaultParagraphFont"/>
    <w:link w:val="Heading2"/>
    <w:uiPriority w:val="9"/>
    <w:rsid w:val="002F2BFE"/>
    <w:rPr>
      <w:rFonts w:ascii="Tahoma" w:hAnsi="Tahoma"/>
      <w:b/>
      <w:bCs/>
      <w:sz w:val="22"/>
    </w:rPr>
  </w:style>
  <w:style w:type="paragraph" w:styleId="DocumentSubtitle" w:customStyle="1">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styleId="HeaderChar" w:customStyle="1">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color="204C81" w:sz="18" w:space="1"/>
      </w:pBdr>
      <w:tabs>
        <w:tab w:val="left" w:pos="0"/>
        <w:tab w:val="right" w:pos="10354"/>
      </w:tabs>
      <w:ind w:left="-547" w:right="-547"/>
    </w:pPr>
    <w:rPr>
      <w:b/>
      <w:color w:val="204C81"/>
      <w:sz w:val="18"/>
    </w:rPr>
  </w:style>
  <w:style w:type="character" w:styleId="FooterChar" w:customStyle="1">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styleId="FootnoteTextChar" w:customStyle="1">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styleId="NERCListBullets" w:customStyle="1">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styleId="BodyCopy" w:customStyle="1">
    <w:name w:val="Body Copy"/>
    <w:basedOn w:val="DefaultParagraphFont"/>
    <w:rsid w:val="00964CB8"/>
    <w:rPr>
      <w:rFonts w:asciiTheme="minorHAnsi" w:hAnsiTheme="minorHAnsi"/>
    </w:rPr>
  </w:style>
  <w:style w:type="character" w:styleId="ms-rtefontsize-2" w:customStyle="1">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styleId="CommentTextChar" w:customStyle="1">
    <w:name w:val="Comment Text Char"/>
    <w:basedOn w:val="DefaultParagraphFont"/>
    <w:link w:val="CommentText"/>
    <w:uiPriority w:val="99"/>
    <w:semiHidden/>
    <w:rsid w:val="00FF493A"/>
    <w:rPr>
      <w:rFonts w:asciiTheme="minorHAnsi" w:hAnsiTheme="minorHAnsi"/>
    </w:rPr>
  </w:style>
  <w:style w:type="character" w:styleId="ListParagraphChar" w:customStyle="1">
    <w:name w:val="List Paragraph Char"/>
    <w:basedOn w:val="DefaultParagraphFont"/>
    <w:link w:val="ListParagraph"/>
    <w:uiPriority w:val="34"/>
    <w:rsid w:val="003A1E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72417">
      <w:bodyDiv w:val="1"/>
      <w:marLeft w:val="0"/>
      <w:marRight w:val="0"/>
      <w:marTop w:val="0"/>
      <w:marBottom w:val="0"/>
      <w:divBdr>
        <w:top w:val="none" w:sz="0" w:space="0" w:color="auto"/>
        <w:left w:val="none" w:sz="0" w:space="0" w:color="auto"/>
        <w:bottom w:val="none" w:sz="0" w:space="0" w:color="auto"/>
        <w:right w:val="none" w:sz="0" w:space="0" w:color="auto"/>
      </w:divBdr>
    </w:div>
    <w:div w:id="501966344">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511512">
      <w:bodyDiv w:val="1"/>
      <w:marLeft w:val="0"/>
      <w:marRight w:val="0"/>
      <w:marTop w:val="0"/>
      <w:marBottom w:val="0"/>
      <w:divBdr>
        <w:top w:val="none" w:sz="0" w:space="0" w:color="auto"/>
        <w:left w:val="none" w:sz="0" w:space="0" w:color="auto"/>
        <w:bottom w:val="none" w:sz="0" w:space="0" w:color="auto"/>
        <w:right w:val="none" w:sz="0" w:space="0" w:color="auto"/>
      </w:divBdr>
    </w:div>
    <w:div w:id="716248507">
      <w:bodyDiv w:val="1"/>
      <w:marLeft w:val="0"/>
      <w:marRight w:val="0"/>
      <w:marTop w:val="0"/>
      <w:marBottom w:val="0"/>
      <w:divBdr>
        <w:top w:val="none" w:sz="0" w:space="0" w:color="auto"/>
        <w:left w:val="none" w:sz="0" w:space="0" w:color="auto"/>
        <w:bottom w:val="none" w:sz="0" w:space="0" w:color="auto"/>
        <w:right w:val="none" w:sz="0" w:space="0" w:color="auto"/>
      </w:divBdr>
    </w:div>
    <w:div w:id="897862958">
      <w:bodyDiv w:val="1"/>
      <w:marLeft w:val="0"/>
      <w:marRight w:val="0"/>
      <w:marTop w:val="0"/>
      <w:marBottom w:val="0"/>
      <w:divBdr>
        <w:top w:val="none" w:sz="0" w:space="0" w:color="auto"/>
        <w:left w:val="none" w:sz="0" w:space="0" w:color="auto"/>
        <w:bottom w:val="none" w:sz="0" w:space="0" w:color="auto"/>
        <w:right w:val="none" w:sz="0" w:space="0" w:color="auto"/>
      </w:divBdr>
    </w:div>
    <w:div w:id="18659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1-07-ExtremeColdWeather.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BAD312F785A48815759D1249D0956" ma:contentTypeVersion="1" ma:contentTypeDescription="Create a new document." ma:contentTypeScope="" ma:versionID="e0e608ade4b67248e0b583981c169a6e">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cbf880be-c7c2-4487-81cc-39803b2f2238">V5FEZNQ3RRSY-729300196-3298</_dlc_DocId>
    <_dlc_DocIdUrl xmlns="cbf880be-c7c2-4487-81cc-39803b2f2238">
      <Url>http://departments.internal.nerc.com/StandardsDev/_layouts/15/DocIdRedir.aspx?ID=V5FEZNQ3RRSY-729300196-3298</Url>
      <Description>V5FEZNQ3RRSY-729300196-3298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46364-EC7B-4381-81E9-8352855F9105}"/>
</file>

<file path=customXml/itemProps2.xml><?xml version="1.0" encoding="utf-8"?>
<ds:datastoreItem xmlns:ds="http://schemas.openxmlformats.org/officeDocument/2006/customXml" ds:itemID="{3AADE751-F4AA-46F9-8BA7-3253CC583788}">
  <ds:schemaRefs>
    <ds:schemaRef ds:uri="http://schemas.microsoft.com/office/2006/documentManagement/types"/>
    <ds:schemaRef ds:uri="http://schemas.microsoft.com/sharepoint/v3"/>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be72bb46-7b96-43f6-b3d2-cb56bca42853"/>
    <ds:schemaRef ds:uri="http://purl.org/dc/elements/1.1/"/>
    <ds:schemaRef ds:uri="3e1050e7-7faf-40ec-88f1-5bdab33a6ff5"/>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4.xml><?xml version="1.0" encoding="utf-8"?>
<ds:datastoreItem xmlns:ds="http://schemas.openxmlformats.org/officeDocument/2006/customXml" ds:itemID="{0236C614-A9BE-47F3-A531-477C9AC6315E}">
  <ds:schemaRefs>
    <ds:schemaRef ds:uri="http://schemas.microsoft.com/sharepoint/events"/>
  </ds:schemaRefs>
</ds:datastoreItem>
</file>

<file path=customXml/itemProps5.xml><?xml version="1.0" encoding="utf-8"?>
<ds:datastoreItem xmlns:ds="http://schemas.openxmlformats.org/officeDocument/2006/customXml" ds:itemID="{E2E38C09-E76B-4DE8-B14E-E6BA8A47A4F9}"/>
</file>

<file path=customXml/itemProps6.xml><?xml version="1.0" encoding="utf-8"?>
<ds:datastoreItem xmlns:ds="http://schemas.openxmlformats.org/officeDocument/2006/customXml" ds:itemID="{FBA066B7-A859-4B72-8C80-43FFA2D449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Alison Oswald</cp:lastModifiedBy>
  <cp:revision>2</cp:revision>
  <dcterms:created xsi:type="dcterms:W3CDTF">2023-01-31T15:48:00Z</dcterms:created>
  <dcterms:modified xsi:type="dcterms:W3CDTF">2023-02-28T17:07:40Z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0x0101005F5BAD312F785A48815759D1249D0956</vt:lpwstr>
  </property>
  <property fmtid="{D5CDD505-2E9C-101B-9397-08002B2CF9AE}" pid="3" name="Document Category">
    <vt:lpwstr>Template</vt:lpwstr>
  </property>
  <property fmtid="{D5CDD505-2E9C-101B-9397-08002B2CF9AE}" pid="4" name="_dlc_DocIdItemGuid">
    <vt:lpwstr>bed64043-3b17-4285-a87f-ca43d59a2441</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13118;#2021-07|8a7bbc55-ab47-4229-8e1c-2d41c03c03b8</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10174;#Initial Ballot|6ca4aab5-e7d0-4cc9-b491-4c7af91f8c2b</vt:lpwstr>
  </property>
  <property fmtid="{D5CDD505-2E9C-101B-9397-08002B2CF9AE}" pid="19" name="Standard Number - New">
    <vt:lpwstr/>
  </property>
  <property fmtid="{D5CDD505-2E9C-101B-9397-08002B2CF9AE}" pid="20" name="SD Project Type">
    <vt:lpwstr/>
  </property>
</Properties>
</file>