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5191AE0" w14:textId="33F18AAC" w:rsidR="002D740C" w:rsidRDefault="00107332" w:rsidP="00C33C8E">
      <w:pPr>
        <w:pStyle w:val="DocumentSubtitle"/>
        <w:rPr>
          <w:szCs w:val="32"/>
        </w:rPr>
      </w:pPr>
      <w:bookmarkStart w:id="0" w:name="_Toc195946480"/>
      <w:r>
        <w:rPr>
          <w:szCs w:val="32"/>
        </w:rPr>
        <w:t>Project 2021</w:t>
      </w:r>
      <w:r w:rsidR="002D740C">
        <w:rPr>
          <w:szCs w:val="32"/>
        </w:rPr>
        <w:t>-0</w:t>
      </w:r>
      <w:r>
        <w:rPr>
          <w:szCs w:val="32"/>
        </w:rPr>
        <w:t>7</w:t>
      </w:r>
      <w:r w:rsidR="002D740C">
        <w:rPr>
          <w:szCs w:val="32"/>
        </w:rPr>
        <w:t xml:space="preserve"> </w:t>
      </w:r>
      <w:r>
        <w:rPr>
          <w:szCs w:val="32"/>
        </w:rPr>
        <w:t xml:space="preserve">Extreme Cold Weather Grid Operations, </w:t>
      </w:r>
      <w:r w:rsidR="00592B13">
        <w:rPr>
          <w:szCs w:val="32"/>
        </w:rPr>
        <w:t>Preparedness</w:t>
      </w:r>
      <w:r>
        <w:rPr>
          <w:szCs w:val="32"/>
        </w:rPr>
        <w:t>, and</w:t>
      </w:r>
      <w:r w:rsidR="002D740C">
        <w:rPr>
          <w:szCs w:val="32"/>
        </w:rPr>
        <w:t xml:space="preserve"> </w:t>
      </w:r>
      <w:r>
        <w:rPr>
          <w:szCs w:val="32"/>
        </w:rPr>
        <w:t>Coordination</w:t>
      </w:r>
      <w:r w:rsidR="00E45D6F">
        <w:rPr>
          <w:szCs w:val="32"/>
        </w:rPr>
        <w:t xml:space="preserve"> | Phase 2</w:t>
      </w:r>
    </w:p>
    <w:p w14:paraId="64EB68D1" w14:textId="77777777" w:rsidR="002F2BFE" w:rsidRPr="00A126FA" w:rsidRDefault="002F2BFE" w:rsidP="00102A01">
      <w:pPr>
        <w:pStyle w:val="Heading1"/>
        <w:rPr>
          <w:sz w:val="16"/>
          <w:szCs w:val="16"/>
        </w:rPr>
      </w:pPr>
    </w:p>
    <w:p w14:paraId="3620FC62" w14:textId="22294367" w:rsidR="0073546A" w:rsidRPr="00A126FA" w:rsidRDefault="00172CE3" w:rsidP="0073546A">
      <w:pPr>
        <w:rPr>
          <w:sz w:val="22"/>
          <w:szCs w:val="22"/>
        </w:rPr>
      </w:pPr>
      <w:bookmarkStart w:id="1" w:name="_Toc195946481"/>
      <w:bookmarkEnd w:id="0"/>
      <w:r w:rsidRPr="00A126FA">
        <w:rPr>
          <w:rFonts w:cstheme="minorHAnsi"/>
          <w:b/>
          <w:sz w:val="22"/>
          <w:szCs w:val="22"/>
        </w:rPr>
        <w:t>Do not</w:t>
      </w:r>
      <w:r w:rsidRPr="00A126FA">
        <w:rPr>
          <w:rFonts w:cstheme="minorHAnsi"/>
          <w:sz w:val="22"/>
          <w:szCs w:val="22"/>
        </w:rPr>
        <w:t xml:space="preserve"> use this form for submitting comments. Use </w:t>
      </w:r>
      <w:r w:rsidRPr="00A126FA">
        <w:rPr>
          <w:sz w:val="22"/>
          <w:szCs w:val="22"/>
        </w:rPr>
        <w:t xml:space="preserve">the </w:t>
      </w:r>
      <w:hyperlink r:id="rId13" w:history="1">
        <w:r w:rsidRPr="00A126FA">
          <w:rPr>
            <w:rStyle w:val="Hyperlink"/>
            <w:sz w:val="22"/>
            <w:szCs w:val="22"/>
          </w:rPr>
          <w:t>Standards Balloting and Commenting System (SBS)</w:t>
        </w:r>
      </w:hyperlink>
      <w:r w:rsidRPr="00A126FA">
        <w:rPr>
          <w:rFonts w:cstheme="minorHAnsi"/>
          <w:sz w:val="22"/>
          <w:szCs w:val="22"/>
        </w:rPr>
        <w:t xml:space="preserve"> to submit comments on</w:t>
      </w:r>
      <w:r w:rsidR="00E45D6F" w:rsidRPr="00A126FA">
        <w:rPr>
          <w:rFonts w:cstheme="minorHAnsi"/>
          <w:b/>
          <w:sz w:val="22"/>
          <w:szCs w:val="22"/>
        </w:rPr>
        <w:t xml:space="preserve"> </w:t>
      </w:r>
      <w:r w:rsidR="00E45D6F" w:rsidRPr="00A126FA">
        <w:rPr>
          <w:b/>
          <w:sz w:val="22"/>
          <w:szCs w:val="22"/>
        </w:rPr>
        <w:t>Project 2021-07 Extreme Cold Weather Grid Operations, Preparedness, and Coordination</w:t>
      </w:r>
      <w:r w:rsidR="00592B13" w:rsidRPr="00A126FA">
        <w:rPr>
          <w:b/>
          <w:sz w:val="22"/>
          <w:szCs w:val="22"/>
        </w:rPr>
        <w:t xml:space="preserve"> | </w:t>
      </w:r>
      <w:r w:rsidR="00592B13" w:rsidRPr="00A126FA">
        <w:rPr>
          <w:rFonts w:cstheme="minorHAnsi"/>
          <w:b/>
          <w:sz w:val="22"/>
          <w:szCs w:val="22"/>
        </w:rPr>
        <w:t>Phase 2</w:t>
      </w:r>
      <w:r w:rsidR="00E45D6F" w:rsidRPr="00A126FA">
        <w:rPr>
          <w:b/>
          <w:sz w:val="22"/>
          <w:szCs w:val="22"/>
        </w:rPr>
        <w:t xml:space="preserve"> </w:t>
      </w:r>
      <w:r w:rsidRPr="00A126FA">
        <w:rPr>
          <w:rFonts w:cstheme="minorHAnsi"/>
          <w:sz w:val="22"/>
          <w:szCs w:val="22"/>
        </w:rPr>
        <w:t>by</w:t>
      </w:r>
      <w:r w:rsidRPr="00A126FA">
        <w:rPr>
          <w:rFonts w:cstheme="minorHAnsi"/>
          <w:b/>
          <w:sz w:val="22"/>
          <w:szCs w:val="22"/>
        </w:rPr>
        <w:t xml:space="preserve"> </w:t>
      </w:r>
      <w:r w:rsidRPr="00A126FA">
        <w:rPr>
          <w:b/>
          <w:sz w:val="22"/>
          <w:szCs w:val="22"/>
        </w:rPr>
        <w:t xml:space="preserve">8 p.m. Eastern, </w:t>
      </w:r>
      <w:r w:rsidR="00592B13" w:rsidRPr="00A126FA">
        <w:rPr>
          <w:b/>
          <w:sz w:val="22"/>
          <w:szCs w:val="22"/>
        </w:rPr>
        <w:t xml:space="preserve">Thursday, </w:t>
      </w:r>
      <w:r w:rsidR="00D677C2">
        <w:rPr>
          <w:b/>
          <w:sz w:val="22"/>
          <w:szCs w:val="22"/>
        </w:rPr>
        <w:t>November 30</w:t>
      </w:r>
      <w:r w:rsidR="00592B13" w:rsidRPr="00A126FA">
        <w:rPr>
          <w:b/>
          <w:sz w:val="22"/>
          <w:szCs w:val="22"/>
        </w:rPr>
        <w:t>, 2023</w:t>
      </w:r>
      <w:r w:rsidRPr="00A126FA">
        <w:rPr>
          <w:b/>
          <w:sz w:val="22"/>
          <w:szCs w:val="22"/>
        </w:rPr>
        <w:t>.</w:t>
      </w:r>
      <w:r w:rsidR="00747D75" w:rsidRPr="00A126FA">
        <w:rPr>
          <w:b/>
          <w:sz w:val="22"/>
          <w:szCs w:val="22"/>
        </w:rPr>
        <w:t xml:space="preserve"> </w:t>
      </w:r>
      <w:r w:rsidR="00747D75" w:rsidRPr="00A126FA">
        <w:rPr>
          <w:b/>
          <w:sz w:val="22"/>
          <w:szCs w:val="22"/>
        </w:rPr>
        <w:br/>
      </w:r>
      <w:r w:rsidR="00747D75" w:rsidRPr="00A126FA">
        <w:rPr>
          <w:b/>
          <w:color w:val="FFFFFF" w:themeColor="text1"/>
          <w:sz w:val="22"/>
          <w:szCs w:val="22"/>
        </w:rPr>
        <w:t>m. Eastern, Thursday, August 20, 2015</w:t>
      </w:r>
    </w:p>
    <w:p w14:paraId="480FED26" w14:textId="5C8894AF" w:rsidR="0039275D" w:rsidRPr="00A126FA" w:rsidRDefault="00C6538F" w:rsidP="0073546A">
      <w:pPr>
        <w:rPr>
          <w:sz w:val="22"/>
          <w:szCs w:val="22"/>
        </w:rPr>
      </w:pPr>
      <w:r w:rsidRPr="00A126FA">
        <w:rPr>
          <w:sz w:val="22"/>
          <w:szCs w:val="22"/>
        </w:rPr>
        <w:t xml:space="preserve">Additional </w:t>
      </w:r>
      <w:r w:rsidR="00747D75" w:rsidRPr="00A126FA">
        <w:rPr>
          <w:sz w:val="22"/>
          <w:szCs w:val="22"/>
        </w:rPr>
        <w:t xml:space="preserve">information </w:t>
      </w:r>
      <w:r w:rsidRPr="00A126FA">
        <w:rPr>
          <w:sz w:val="22"/>
          <w:szCs w:val="22"/>
        </w:rPr>
        <w:t>is</w:t>
      </w:r>
      <w:r w:rsidR="00747D75" w:rsidRPr="00A126FA">
        <w:rPr>
          <w:sz w:val="22"/>
          <w:szCs w:val="22"/>
        </w:rPr>
        <w:t xml:space="preserve"> available on the </w:t>
      </w:r>
      <w:hyperlink r:id="rId14" w:history="1">
        <w:r w:rsidR="00592B13" w:rsidRPr="00A126FA">
          <w:rPr>
            <w:rStyle w:val="Hyperlink"/>
            <w:sz w:val="22"/>
            <w:szCs w:val="22"/>
          </w:rPr>
          <w:t>project page</w:t>
        </w:r>
      </w:hyperlink>
      <w:r w:rsidR="00747D75" w:rsidRPr="00A126FA">
        <w:rPr>
          <w:sz w:val="22"/>
          <w:szCs w:val="22"/>
        </w:rPr>
        <w:t>. If you have questions,</w:t>
      </w:r>
      <w:r w:rsidR="00E308F8" w:rsidRPr="00A126FA">
        <w:rPr>
          <w:sz w:val="22"/>
          <w:szCs w:val="22"/>
        </w:rPr>
        <w:t xml:space="preserve"> contact</w:t>
      </w:r>
      <w:r w:rsidR="000304FB" w:rsidRPr="00A126FA">
        <w:rPr>
          <w:sz w:val="22"/>
          <w:szCs w:val="22"/>
        </w:rPr>
        <w:t xml:space="preserve"> </w:t>
      </w:r>
      <w:r w:rsidR="00D677C2" w:rsidRPr="00D677C2">
        <w:rPr>
          <w:sz w:val="22"/>
          <w:szCs w:val="22"/>
        </w:rPr>
        <w:t>Manager of Standards Development</w:t>
      </w:r>
      <w:r w:rsidRPr="00A126FA">
        <w:rPr>
          <w:sz w:val="22"/>
          <w:szCs w:val="22"/>
        </w:rPr>
        <w:t xml:space="preserve">, </w:t>
      </w:r>
      <w:hyperlink r:id="rId15" w:history="1">
        <w:r w:rsidR="00C33C8E" w:rsidRPr="00A126FA">
          <w:rPr>
            <w:rStyle w:val="Hyperlink"/>
            <w:sz w:val="22"/>
            <w:szCs w:val="22"/>
          </w:rPr>
          <w:t>Alison Oswald</w:t>
        </w:r>
      </w:hyperlink>
      <w:r w:rsidR="00313BFE" w:rsidRPr="00A126FA">
        <w:rPr>
          <w:sz w:val="22"/>
          <w:szCs w:val="22"/>
        </w:rPr>
        <w:t xml:space="preserve"> (via email), or at </w:t>
      </w:r>
      <w:r w:rsidR="00C33C8E" w:rsidRPr="00A126FA">
        <w:rPr>
          <w:sz w:val="22"/>
          <w:szCs w:val="22"/>
        </w:rPr>
        <w:t>404-446-9668</w:t>
      </w:r>
      <w:r w:rsidR="000304FB" w:rsidRPr="00A126FA">
        <w:rPr>
          <w:sz w:val="22"/>
          <w:szCs w:val="22"/>
        </w:rPr>
        <w:t>.</w:t>
      </w:r>
      <w:r w:rsidR="00ED5673" w:rsidRPr="00A126FA">
        <w:rPr>
          <w:sz w:val="22"/>
          <w:szCs w:val="22"/>
        </w:rPr>
        <w:tab/>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2" w:name="_Toc195946482"/>
    </w:p>
    <w:p w14:paraId="7D29A54B" w14:textId="27A6882E" w:rsidR="00E45D6F" w:rsidRDefault="00E45D6F" w:rsidP="00A126FA">
      <w:pPr>
        <w:rPr>
          <w:sz w:val="22"/>
          <w:szCs w:val="22"/>
        </w:rPr>
      </w:pPr>
      <w:r w:rsidRPr="00A126FA">
        <w:rPr>
          <w:sz w:val="22"/>
          <w:szCs w:val="22"/>
        </w:rPr>
        <w:t xml:space="preserve">Extreme cold weather and precipitation affected the </w:t>
      </w:r>
      <w:r w:rsidR="00A126FA" w:rsidRPr="00A126FA">
        <w:rPr>
          <w:sz w:val="22"/>
          <w:szCs w:val="22"/>
        </w:rPr>
        <w:t>south-central</w:t>
      </w:r>
      <w:r w:rsidRPr="00A126FA">
        <w:rPr>
          <w:sz w:val="22"/>
          <w:szCs w:val="22"/>
        </w:rPr>
        <w:t xml:space="preserve"> United States February 8-20, 2021. Many generating units experienced outages, derates, or failures to start, resulting in energy and transmission emergencies (referred to as “the Event"). The total Event firm Load shed was the largest controlled firm Load shed event in U.S. history and was the third largest in quantity of </w:t>
      </w:r>
      <w:r w:rsidR="00A126FA" w:rsidRPr="00A126FA">
        <w:rPr>
          <w:sz w:val="22"/>
          <w:szCs w:val="22"/>
        </w:rPr>
        <w:t>outage</w:t>
      </w:r>
      <w:r w:rsidRPr="00A126FA">
        <w:rPr>
          <w:sz w:val="22"/>
          <w:szCs w:val="22"/>
        </w:rPr>
        <w:t xml:space="preserve"> megawatts (MW) of Load after the August 2003 northeast blackout and the August 1996 west coast blackout. The Event was most severe February 15-18, 2021, and it contributed to power outages affecting millions of electricity customers throughout the regions of ERCOT, SPP, and MISO South. Additionally, the February 2021 event is the fourth cold weather event in the past 10 years, which jeopardized bulk-power system reliability. A joint inquiry was conducted to discover reliability-related findings and recommendations from FERC, NERC, and Regional Entity staff. The FERC, NERC, and Regional Entity staff Joint Staff Inquiry into the February 2021 Cold Weather Grid Operations (“Joint Inquiry Report”) was published on November 16, 2021.</w:t>
      </w:r>
    </w:p>
    <w:p w14:paraId="19E6BAF8" w14:textId="77777777" w:rsidR="00A126FA" w:rsidRPr="00A126FA" w:rsidRDefault="00A126FA" w:rsidP="00A126FA">
      <w:pPr>
        <w:rPr>
          <w:sz w:val="22"/>
          <w:szCs w:val="22"/>
        </w:rPr>
      </w:pPr>
    </w:p>
    <w:p w14:paraId="41B72D2D" w14:textId="77777777" w:rsidR="00E45D6F" w:rsidRPr="00A126FA" w:rsidRDefault="00E45D6F" w:rsidP="00A126FA">
      <w:pPr>
        <w:rPr>
          <w:sz w:val="22"/>
          <w:szCs w:val="22"/>
        </w:rPr>
      </w:pPr>
      <w:r w:rsidRPr="00A126FA">
        <w:rPr>
          <w:sz w:val="22"/>
          <w:szCs w:val="22"/>
        </w:rPr>
        <w:t xml:space="preserve">The scope of the proposed project is to address the ten recommendations for new or enhanced NERC Reliability Standards proposed by the Joint Inquiry Report. In November 2021, the NERC Board of Trustees (Board) approved a Board Resolution directing that new or revised Reliability Standards addressing these recommendations be completed in accordance with the timelines recommended by the joint inquiry team, as follows: </w:t>
      </w:r>
    </w:p>
    <w:p w14:paraId="2B4CE5CD" w14:textId="77777777" w:rsidR="00E45D6F" w:rsidRPr="00A126FA" w:rsidRDefault="00E45D6F" w:rsidP="00A126FA">
      <w:pPr>
        <w:pStyle w:val="ListParagraph"/>
        <w:numPr>
          <w:ilvl w:val="0"/>
          <w:numId w:val="37"/>
        </w:numPr>
        <w:spacing w:before="120"/>
        <w:contextualSpacing w:val="0"/>
        <w:rPr>
          <w:rFonts w:asciiTheme="minorHAnsi" w:hAnsiTheme="minorHAnsi"/>
          <w:sz w:val="22"/>
          <w:szCs w:val="22"/>
        </w:rPr>
      </w:pPr>
      <w:r w:rsidRPr="00A126FA">
        <w:rPr>
          <w:rFonts w:asciiTheme="minorHAnsi" w:hAnsiTheme="minorHAnsi"/>
          <w:sz w:val="22"/>
          <w:szCs w:val="22"/>
        </w:rPr>
        <w:t xml:space="preserve">New and revised Reliability Standards to be submitted for regulatory approval before Winter 2022/2023: development completed by September 30, 2022, for the Board’s consideration in October 2022 to address Key Recommendations 1d, 1e, 1f, and 1j; </w:t>
      </w:r>
    </w:p>
    <w:p w14:paraId="4018A3C4" w14:textId="77777777" w:rsidR="00E45D6F" w:rsidRPr="00A126FA" w:rsidRDefault="00E45D6F" w:rsidP="00A126FA">
      <w:pPr>
        <w:pStyle w:val="ListParagraph"/>
        <w:numPr>
          <w:ilvl w:val="0"/>
          <w:numId w:val="37"/>
        </w:numPr>
        <w:spacing w:before="120"/>
        <w:contextualSpacing w:val="0"/>
        <w:rPr>
          <w:rFonts w:asciiTheme="minorHAnsi" w:hAnsiTheme="minorHAnsi"/>
          <w:sz w:val="22"/>
          <w:szCs w:val="22"/>
        </w:rPr>
      </w:pPr>
      <w:r w:rsidRPr="00A126FA">
        <w:rPr>
          <w:rFonts w:asciiTheme="minorHAnsi" w:hAnsiTheme="minorHAnsi"/>
          <w:sz w:val="22"/>
          <w:szCs w:val="22"/>
        </w:rPr>
        <w:t xml:space="preserve">New and revised Reliability Standards to be submitted for regulatory approval before Winter 2023/2024: development completed by September 30, 2023, for the Board’s consideration in October 2023 to address Key Recommendations 1a, 1b, 1c, 1g, 1h, and 1i. </w:t>
      </w:r>
    </w:p>
    <w:bookmarkEnd w:id="2"/>
    <w:p w14:paraId="30095BD9" w14:textId="77777777" w:rsidR="00A126FA" w:rsidRDefault="00A126FA" w:rsidP="00A126FA">
      <w:pPr>
        <w:autoSpaceDE w:val="0"/>
        <w:autoSpaceDN w:val="0"/>
        <w:adjustRightInd w:val="0"/>
        <w:rPr>
          <w:rFonts w:ascii="Calibri" w:hAnsi="Calibri" w:cs="Calibri"/>
          <w:sz w:val="22"/>
          <w:szCs w:val="22"/>
        </w:rPr>
      </w:pPr>
    </w:p>
    <w:p w14:paraId="6250BCA6" w14:textId="045445E0" w:rsidR="00101373" w:rsidRPr="00A126FA" w:rsidRDefault="002E6E21" w:rsidP="00A126FA">
      <w:pPr>
        <w:autoSpaceDE w:val="0"/>
        <w:autoSpaceDN w:val="0"/>
        <w:adjustRightInd w:val="0"/>
        <w:rPr>
          <w:rFonts w:ascii="Calibri" w:hAnsi="Calibri" w:cs="Calibri"/>
          <w:sz w:val="22"/>
          <w:szCs w:val="22"/>
        </w:rPr>
      </w:pPr>
      <w:r w:rsidRPr="00A126FA">
        <w:rPr>
          <w:rFonts w:ascii="Calibri" w:hAnsi="Calibri" w:cs="Calibri"/>
          <w:sz w:val="22"/>
          <w:szCs w:val="22"/>
        </w:rPr>
        <w:t xml:space="preserve">On February 16, 2023, the Commission issued an order approving proposed Reliability Standards EOP‐011‐3 and EOP‐012‐1. </w:t>
      </w:r>
      <w:r w:rsidR="006E7594" w:rsidRPr="00A126FA">
        <w:rPr>
          <w:rFonts w:ascii="Calibri" w:hAnsi="Calibri" w:cs="Calibri"/>
          <w:sz w:val="22"/>
          <w:szCs w:val="22"/>
        </w:rPr>
        <w:t xml:space="preserve">The order directed changes in five areas of the standard. </w:t>
      </w:r>
      <w:r w:rsidRPr="00A126FA">
        <w:rPr>
          <w:sz w:val="22"/>
          <w:szCs w:val="22"/>
        </w:rPr>
        <w:t>Reliability Standard EOP-012-2 was revised to address Recommendations 1a, 1b, and 1c as well as the Federal Energy Regulatory Commission (“FERC”) directives in the February 2023 order approving the Phase 1 standards EOP-011-3 and EOP-012-2.</w:t>
      </w:r>
      <w:r w:rsidRPr="00A126FA">
        <w:rPr>
          <w:rStyle w:val="FootnoteReference"/>
          <w:sz w:val="22"/>
          <w:szCs w:val="22"/>
        </w:rPr>
        <w:footnoteReference w:id="1"/>
      </w:r>
      <w:r w:rsidRPr="00A126FA">
        <w:rPr>
          <w:sz w:val="22"/>
          <w:szCs w:val="22"/>
        </w:rPr>
        <w:t xml:space="preserve"> </w:t>
      </w:r>
      <w:r w:rsidR="00101373" w:rsidRPr="00A126FA">
        <w:rPr>
          <w:rFonts w:cs="Tahoma"/>
          <w:sz w:val="22"/>
          <w:szCs w:val="22"/>
        </w:rPr>
        <w:br w:type="page"/>
      </w:r>
    </w:p>
    <w:p w14:paraId="6F3C8259" w14:textId="193DE37B"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3731FE4B" w14:textId="77777777" w:rsidR="00A126FA" w:rsidRDefault="00A126FA" w:rsidP="00FC63D8">
      <w:pPr>
        <w:rPr>
          <w:i/>
        </w:rPr>
      </w:pPr>
    </w:p>
    <w:p w14:paraId="7FFF6D5C" w14:textId="72155385" w:rsidR="00FC63D8" w:rsidRPr="002E6E21" w:rsidRDefault="00FC63D8" w:rsidP="00FC63D8">
      <w:pPr>
        <w:rPr>
          <w:i/>
        </w:rPr>
      </w:pPr>
      <w:r w:rsidRPr="00EB6E20">
        <w:rPr>
          <w:i/>
        </w:rPr>
        <w:t>In Paragraph 6</w:t>
      </w:r>
      <w:r>
        <w:rPr>
          <w:i/>
        </w:rPr>
        <w:t>6</w:t>
      </w:r>
      <w:r w:rsidRPr="00EB6E20">
        <w:rPr>
          <w:i/>
        </w:rPr>
        <w:t xml:space="preserve"> of the FERC order, the Commission directed </w:t>
      </w:r>
      <w:r>
        <w:rPr>
          <w:i/>
        </w:rPr>
        <w:t xml:space="preserve">NERC to </w:t>
      </w:r>
      <w:r w:rsidRPr="00FC63D8">
        <w:rPr>
          <w:i/>
        </w:rPr>
        <w:t>address concerns related to the ambiguity of generator-defined declarations of technical, commercial, or operational constraints</w:t>
      </w:r>
      <w:r>
        <w:rPr>
          <w:i/>
        </w:rPr>
        <w:t xml:space="preserve"> in EOP-012-1</w:t>
      </w:r>
      <w:r w:rsidRPr="002E6E21">
        <w:rPr>
          <w:i/>
        </w:rPr>
        <w:t>.</w:t>
      </w:r>
    </w:p>
    <w:p w14:paraId="764CB81A" w14:textId="77777777" w:rsidR="002E6E21" w:rsidRPr="002E6E21" w:rsidRDefault="002E6E21" w:rsidP="002E6E21"/>
    <w:p w14:paraId="5A89B059" w14:textId="775CE2E7" w:rsidR="00E73B96" w:rsidRPr="00E50BE1" w:rsidRDefault="00E50BE1" w:rsidP="00E50BE1">
      <w:pPr>
        <w:pStyle w:val="ListParagraph"/>
        <w:numPr>
          <w:ilvl w:val="0"/>
          <w:numId w:val="39"/>
        </w:numPr>
        <w:tabs>
          <w:tab w:val="left" w:pos="990"/>
        </w:tabs>
        <w:ind w:left="720"/>
        <w:rPr>
          <w:rFonts w:asciiTheme="minorHAnsi" w:hAnsiTheme="minorHAnsi"/>
        </w:rPr>
      </w:pPr>
      <w:r>
        <w:rPr>
          <w:rFonts w:asciiTheme="minorHAnsi" w:hAnsiTheme="minorHAnsi"/>
        </w:rPr>
        <w:t>To address the P66 directive, t</w:t>
      </w:r>
      <w:r w:rsidRPr="00E50BE1">
        <w:rPr>
          <w:rFonts w:asciiTheme="minorHAnsi" w:hAnsiTheme="minorHAnsi"/>
        </w:rPr>
        <w:t>he SDT removed the three examples contained in the proposed definition</w:t>
      </w:r>
      <w:r>
        <w:rPr>
          <w:rFonts w:asciiTheme="minorHAnsi" w:hAnsiTheme="minorHAnsi"/>
        </w:rPr>
        <w:t xml:space="preserve"> of Generator Cold Weather Constraint</w:t>
      </w:r>
      <w:r w:rsidRPr="00E50BE1">
        <w:rPr>
          <w:rFonts w:asciiTheme="minorHAnsi" w:hAnsiTheme="minorHAnsi"/>
        </w:rPr>
        <w:t xml:space="preserve"> and revised the definition to utilize “good utility practice” which has a common understanding as used in the pro forma OATT as approved by FERC. Good utility practice encompasses the three examples previously proposed and additional context is provided in the Technical Rationale. </w:t>
      </w:r>
      <w:r w:rsidR="009F6F17" w:rsidRPr="00E50BE1">
        <w:rPr>
          <w:rFonts w:asciiTheme="minorHAnsi" w:hAnsiTheme="minorHAnsi"/>
        </w:rPr>
        <w:t xml:space="preserve">Do you agree that the </w:t>
      </w:r>
      <w:r w:rsidR="00FC63D8" w:rsidRPr="00E50BE1">
        <w:rPr>
          <w:rFonts w:asciiTheme="minorHAnsi" w:hAnsiTheme="minorHAnsi"/>
        </w:rPr>
        <w:t>revised</w:t>
      </w:r>
      <w:r w:rsidR="009F6F17" w:rsidRPr="00E50BE1">
        <w:rPr>
          <w:rFonts w:asciiTheme="minorHAnsi" w:hAnsiTheme="minorHAnsi"/>
        </w:rPr>
        <w:t xml:space="preserve"> definition of Gener</w:t>
      </w:r>
      <w:r w:rsidR="001F063B" w:rsidRPr="00E50BE1">
        <w:rPr>
          <w:rFonts w:asciiTheme="minorHAnsi" w:hAnsiTheme="minorHAnsi"/>
        </w:rPr>
        <w:t xml:space="preserve">ator Cold Weather Constraint </w:t>
      </w:r>
      <w:r w:rsidR="009F6F17" w:rsidRPr="00E50BE1">
        <w:rPr>
          <w:rFonts w:asciiTheme="minorHAnsi" w:hAnsiTheme="minorHAnsi"/>
        </w:rPr>
        <w:t xml:space="preserve">provides </w:t>
      </w:r>
      <w:r w:rsidR="00FC63D8" w:rsidRPr="00E50BE1">
        <w:rPr>
          <w:rFonts w:asciiTheme="minorHAnsi" w:hAnsiTheme="minorHAnsi"/>
        </w:rPr>
        <w:t>sufficient</w:t>
      </w:r>
      <w:r w:rsidR="009F6F17" w:rsidRPr="00E50BE1">
        <w:rPr>
          <w:rFonts w:asciiTheme="minorHAnsi" w:hAnsiTheme="minorHAnsi"/>
        </w:rPr>
        <w:t xml:space="preserve"> clarity to the requirements </w:t>
      </w:r>
      <w:r w:rsidR="00FC63D8" w:rsidRPr="00E50BE1">
        <w:rPr>
          <w:rFonts w:asciiTheme="minorHAnsi" w:hAnsiTheme="minorHAnsi"/>
        </w:rPr>
        <w:t>in</w:t>
      </w:r>
      <w:r w:rsidR="009F6F17" w:rsidRPr="00E50BE1">
        <w:rPr>
          <w:rFonts w:asciiTheme="minorHAnsi" w:hAnsiTheme="minorHAnsi"/>
        </w:rPr>
        <w:t xml:space="preserve"> EOP-012-2</w:t>
      </w:r>
      <w:r w:rsidR="001F063B" w:rsidRPr="00E50BE1">
        <w:rPr>
          <w:rFonts w:asciiTheme="minorHAnsi" w:hAnsiTheme="minorHAnsi"/>
        </w:rPr>
        <w:t xml:space="preserve">, </w:t>
      </w:r>
      <w:r w:rsidR="00FC63D8" w:rsidRPr="00E50BE1">
        <w:rPr>
          <w:rFonts w:asciiTheme="minorHAnsi" w:hAnsiTheme="minorHAnsi"/>
        </w:rPr>
        <w:t xml:space="preserve">and </w:t>
      </w:r>
      <w:r w:rsidR="001F063B" w:rsidRPr="00E50BE1">
        <w:rPr>
          <w:rFonts w:asciiTheme="minorHAnsi" w:hAnsiTheme="minorHAnsi"/>
        </w:rPr>
        <w:t>is auditable</w:t>
      </w:r>
      <w:r w:rsidR="00FC63D8" w:rsidRPr="00E50BE1">
        <w:rPr>
          <w:rFonts w:asciiTheme="minorHAnsi" w:hAnsiTheme="minorHAnsi"/>
        </w:rPr>
        <w:t>?</w:t>
      </w:r>
      <w:r w:rsidR="001F063B" w:rsidRPr="00E50BE1">
        <w:rPr>
          <w:rFonts w:asciiTheme="minorHAnsi" w:hAnsiTheme="minorHAnsi"/>
        </w:rPr>
        <w:t xml:space="preserve"> </w:t>
      </w:r>
      <w:r w:rsidR="009F6F17" w:rsidRPr="00E50BE1">
        <w:rPr>
          <w:rFonts w:asciiTheme="minorHAnsi" w:hAnsiTheme="minorHAnsi"/>
        </w:rPr>
        <w:t xml:space="preserve">If you do not agree, please provide your </w:t>
      </w:r>
      <w:r w:rsidR="00FC63D8" w:rsidRPr="00E50BE1">
        <w:rPr>
          <w:rFonts w:asciiTheme="minorHAnsi" w:hAnsiTheme="minorHAnsi"/>
        </w:rPr>
        <w:t>recommended language</w:t>
      </w:r>
      <w:r w:rsidR="00083C2A" w:rsidRPr="00E50BE1">
        <w:rPr>
          <w:rFonts w:asciiTheme="minorHAnsi" w:hAnsiTheme="minorHAnsi"/>
        </w:rPr>
        <w:t>.</w:t>
      </w:r>
    </w:p>
    <w:p w14:paraId="5A549C9F" w14:textId="77777777" w:rsidR="00101671" w:rsidRPr="002E1D29" w:rsidRDefault="00101671" w:rsidP="00FE7421">
      <w:pPr>
        <w:keepNext/>
        <w:ind w:firstLine="720"/>
      </w:pPr>
    </w:p>
    <w:p w14:paraId="2026CE76"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274B25">
        <w:fldChar w:fldCharType="separate"/>
      </w:r>
      <w:r w:rsidRPr="002E1D29">
        <w:fldChar w:fldCharType="end"/>
      </w:r>
      <w:r w:rsidR="0073546A" w:rsidRPr="002E1D29">
        <w:t xml:space="preserve"> Yes </w:t>
      </w:r>
    </w:p>
    <w:p w14:paraId="0BCB5592"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274B25">
        <w:fldChar w:fldCharType="separate"/>
      </w:r>
      <w:r w:rsidRPr="002E1D29">
        <w:fldChar w:fldCharType="end"/>
      </w:r>
      <w:r w:rsidR="0073546A" w:rsidRPr="002E1D29">
        <w:t xml:space="preserve"> No </w:t>
      </w:r>
    </w:p>
    <w:p w14:paraId="129E6735" w14:textId="77777777" w:rsidR="00D9120D" w:rsidRPr="002E1D29" w:rsidRDefault="00D9120D" w:rsidP="0073546A">
      <w:pPr>
        <w:keepNext/>
      </w:pPr>
    </w:p>
    <w:p w14:paraId="363BDDB4" w14:textId="0FBAF4A4" w:rsidR="00083C2A" w:rsidRPr="0099757F" w:rsidRDefault="0073546A" w:rsidP="0099757F">
      <w:pPr>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1BBE2A6B" w14:textId="77777777" w:rsidR="009F6F17" w:rsidRPr="00237E29" w:rsidRDefault="009F6F17" w:rsidP="009F6F17">
      <w:pPr>
        <w:pStyle w:val="ListParagraph"/>
        <w:keepNext/>
        <w:rPr>
          <w:rFonts w:asciiTheme="minorHAnsi" w:hAnsiTheme="minorHAnsi"/>
        </w:rPr>
      </w:pPr>
    </w:p>
    <w:p w14:paraId="047906FD" w14:textId="2B7A2E2C" w:rsidR="00510C5E" w:rsidRDefault="00652B15" w:rsidP="00FC0BC0">
      <w:pPr>
        <w:pStyle w:val="ListParagraph"/>
        <w:numPr>
          <w:ilvl w:val="0"/>
          <w:numId w:val="39"/>
        </w:numPr>
        <w:tabs>
          <w:tab w:val="left" w:pos="990"/>
        </w:tabs>
        <w:ind w:left="720"/>
        <w:rPr>
          <w:rFonts w:asciiTheme="minorHAnsi" w:hAnsiTheme="minorHAnsi"/>
        </w:rPr>
      </w:pPr>
      <w:r w:rsidRPr="00FC0BC0">
        <w:rPr>
          <w:rFonts w:asciiTheme="minorHAnsi" w:hAnsiTheme="minorHAnsi"/>
        </w:rPr>
        <w:t>Based upon industry comments received, t</w:t>
      </w:r>
      <w:r w:rsidR="00510C5E" w:rsidRPr="00FC0BC0">
        <w:rPr>
          <w:rFonts w:asciiTheme="minorHAnsi" w:hAnsiTheme="minorHAnsi"/>
        </w:rPr>
        <w:t xml:space="preserve">he SDT </w:t>
      </w:r>
      <w:r w:rsidRPr="00FC0BC0">
        <w:rPr>
          <w:rFonts w:asciiTheme="minorHAnsi" w:hAnsiTheme="minorHAnsi"/>
        </w:rPr>
        <w:t>has re-</w:t>
      </w:r>
      <w:r w:rsidR="00510C5E" w:rsidRPr="00FC0BC0">
        <w:rPr>
          <w:rFonts w:asciiTheme="minorHAnsi" w:hAnsiTheme="minorHAnsi"/>
        </w:rPr>
        <w:t>structured R2</w:t>
      </w:r>
      <w:r w:rsidR="00F547FB">
        <w:rPr>
          <w:rFonts w:asciiTheme="minorHAnsi" w:hAnsiTheme="minorHAnsi"/>
        </w:rPr>
        <w:t xml:space="preserve"> to require generating units to either implement appropriate freeze protection measures or develop a CAP</w:t>
      </w:r>
      <w:r w:rsidRPr="00FC0BC0">
        <w:rPr>
          <w:rFonts w:asciiTheme="minorHAnsi" w:hAnsiTheme="minorHAnsi"/>
        </w:rPr>
        <w:t>.</w:t>
      </w:r>
      <w:r w:rsidR="00510C5E" w:rsidRPr="00FC0BC0">
        <w:rPr>
          <w:rFonts w:asciiTheme="minorHAnsi" w:hAnsiTheme="minorHAnsi"/>
        </w:rPr>
        <w:t xml:space="preserve"> </w:t>
      </w:r>
      <w:r w:rsidRPr="00FC0BC0">
        <w:rPr>
          <w:rFonts w:asciiTheme="minorHAnsi" w:hAnsiTheme="minorHAnsi"/>
        </w:rPr>
        <w:t>Do you agree that the revised language provides sufficient clarity</w:t>
      </w:r>
      <w:r w:rsidR="00A126FA" w:rsidRPr="00FC0BC0">
        <w:rPr>
          <w:rFonts w:asciiTheme="minorHAnsi" w:hAnsiTheme="minorHAnsi"/>
        </w:rPr>
        <w:t xml:space="preserve">? </w:t>
      </w:r>
      <w:r w:rsidR="00510C5E" w:rsidRPr="00FC0BC0">
        <w:rPr>
          <w:rFonts w:asciiTheme="minorHAnsi" w:hAnsiTheme="minorHAnsi"/>
        </w:rPr>
        <w:t>If not, please provide suggested clarifying language</w:t>
      </w:r>
      <w:r w:rsidR="00A126FA" w:rsidRPr="00FC0BC0">
        <w:rPr>
          <w:rFonts w:asciiTheme="minorHAnsi" w:hAnsiTheme="minorHAnsi"/>
        </w:rPr>
        <w:t xml:space="preserve">. </w:t>
      </w:r>
    </w:p>
    <w:p w14:paraId="7A9E3A78" w14:textId="77777777" w:rsidR="00FC0BC0" w:rsidRPr="00FC0BC0" w:rsidRDefault="00FC0BC0" w:rsidP="00FC0BC0">
      <w:pPr>
        <w:pStyle w:val="ListParagraph"/>
        <w:tabs>
          <w:tab w:val="left" w:pos="990"/>
        </w:tabs>
        <w:rPr>
          <w:rFonts w:asciiTheme="minorHAnsi" w:hAnsiTheme="minorHAnsi"/>
        </w:rPr>
      </w:pPr>
    </w:p>
    <w:p w14:paraId="2FA61592" w14:textId="77777777" w:rsidR="00510C5E" w:rsidRPr="00237E29" w:rsidRDefault="00510C5E" w:rsidP="00510C5E">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274B25">
        <w:rPr>
          <w:rFonts w:asciiTheme="minorHAnsi" w:hAnsiTheme="minorHAnsi"/>
        </w:rPr>
      </w:r>
      <w:r w:rsidR="00274B25">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1964BD9" w14:textId="77777777" w:rsidR="00510C5E" w:rsidRPr="00237E29" w:rsidRDefault="00510C5E" w:rsidP="00510C5E">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274B25">
        <w:rPr>
          <w:rFonts w:asciiTheme="minorHAnsi" w:hAnsiTheme="minorHAnsi"/>
        </w:rPr>
      </w:r>
      <w:r w:rsidR="00274B25">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DE87416" w14:textId="77777777" w:rsidR="00510C5E" w:rsidRPr="00237E29" w:rsidRDefault="00510C5E" w:rsidP="00510C5E">
      <w:pPr>
        <w:pStyle w:val="ListParagraph"/>
        <w:keepNext/>
        <w:rPr>
          <w:rFonts w:asciiTheme="minorHAnsi" w:hAnsiTheme="minorHAnsi"/>
        </w:rPr>
      </w:pPr>
    </w:p>
    <w:p w14:paraId="69BA48EE" w14:textId="77777777" w:rsidR="00510C5E" w:rsidRPr="00237E29" w:rsidRDefault="00510C5E" w:rsidP="00510C5E">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3181965E" w14:textId="77777777" w:rsidR="0099757F" w:rsidRPr="0099757F" w:rsidRDefault="0099757F" w:rsidP="0099757F">
      <w:pPr>
        <w:pStyle w:val="ListParagraph"/>
        <w:ind w:left="0"/>
        <w:rPr>
          <w:rFonts w:asciiTheme="minorHAnsi" w:hAnsiTheme="minorHAnsi"/>
          <w:i/>
          <w:iCs/>
        </w:rPr>
      </w:pPr>
    </w:p>
    <w:p w14:paraId="049DF126" w14:textId="4080FEF6" w:rsidR="00510C5E" w:rsidRPr="0099757F" w:rsidRDefault="0099757F" w:rsidP="0099757F">
      <w:pPr>
        <w:pStyle w:val="ListParagraph"/>
        <w:ind w:left="0"/>
        <w:rPr>
          <w:rFonts w:asciiTheme="minorHAnsi" w:hAnsiTheme="minorHAnsi"/>
          <w:i/>
          <w:iCs/>
        </w:rPr>
      </w:pPr>
      <w:r w:rsidRPr="0099757F">
        <w:rPr>
          <w:rFonts w:asciiTheme="minorHAnsi" w:hAnsiTheme="minorHAnsi"/>
          <w:i/>
          <w:iCs/>
        </w:rPr>
        <w:t>Paragraph 88 directed NERC to revise EOP-012 to require a shorter implementation period and staggered implementation for unit(s) in a generator owner’s fleet</w:t>
      </w:r>
      <w:r w:rsidR="00A126FA" w:rsidRPr="0099757F">
        <w:rPr>
          <w:rFonts w:asciiTheme="minorHAnsi" w:hAnsiTheme="minorHAnsi"/>
          <w:i/>
          <w:iCs/>
        </w:rPr>
        <w:t xml:space="preserve">. </w:t>
      </w:r>
      <w:r w:rsidRPr="0099757F">
        <w:rPr>
          <w:rFonts w:asciiTheme="minorHAnsi" w:hAnsiTheme="minorHAnsi"/>
          <w:i/>
          <w:iCs/>
        </w:rPr>
        <w:t>Such an approach will reduce reliability risks more quickly</w:t>
      </w:r>
      <w:r w:rsidR="00A126FA" w:rsidRPr="0099757F">
        <w:rPr>
          <w:rFonts w:asciiTheme="minorHAnsi" w:hAnsiTheme="minorHAnsi"/>
          <w:i/>
          <w:iCs/>
        </w:rPr>
        <w:t xml:space="preserve">. </w:t>
      </w:r>
    </w:p>
    <w:p w14:paraId="5AB63DB7" w14:textId="77777777" w:rsidR="00510C5E" w:rsidRDefault="00510C5E" w:rsidP="00510C5E">
      <w:pPr>
        <w:pStyle w:val="ListParagraph"/>
        <w:keepNext/>
        <w:spacing w:before="120"/>
        <w:rPr>
          <w:rFonts w:asciiTheme="minorHAnsi" w:hAnsiTheme="minorHAnsi"/>
        </w:rPr>
      </w:pPr>
    </w:p>
    <w:p w14:paraId="79138F4B" w14:textId="569A21BA" w:rsidR="008D3B53" w:rsidRPr="0099757F" w:rsidRDefault="0099757F" w:rsidP="00FC0BC0">
      <w:pPr>
        <w:pStyle w:val="ListParagraph"/>
        <w:numPr>
          <w:ilvl w:val="0"/>
          <w:numId w:val="39"/>
        </w:numPr>
        <w:tabs>
          <w:tab w:val="left" w:pos="990"/>
        </w:tabs>
        <w:ind w:left="720"/>
        <w:rPr>
          <w:rFonts w:asciiTheme="minorHAnsi" w:hAnsiTheme="minorHAnsi"/>
        </w:rPr>
      </w:pPr>
      <w:r>
        <w:rPr>
          <w:rFonts w:asciiTheme="minorHAnsi" w:hAnsiTheme="minorHAnsi"/>
        </w:rPr>
        <w:t>In order to meet the FERC directive and reduce reliability risks more quickly, the SDT added new Requirement R7 Part 7.1.</w:t>
      </w:r>
      <w:r w:rsidR="009C28E9">
        <w:rPr>
          <w:rFonts w:asciiTheme="minorHAnsi" w:hAnsiTheme="minorHAnsi"/>
        </w:rPr>
        <w:t>4.</w:t>
      </w:r>
      <w:r>
        <w:rPr>
          <w:rFonts w:asciiTheme="minorHAnsi" w:hAnsiTheme="minorHAnsi"/>
        </w:rPr>
        <w:t xml:space="preserve"> </w:t>
      </w:r>
      <w:r w:rsidRPr="00FC0BC0">
        <w:rPr>
          <w:rFonts w:asciiTheme="minorHAnsi" w:hAnsiTheme="minorHAnsi"/>
          <w:i/>
          <w:iCs/>
        </w:rPr>
        <w:t>“For one or more Corrective Action Plan(s) that address multiple units in a fleet, the Corrective Action Plan shall stagger implementation across those generating units.”</w:t>
      </w:r>
      <w:r w:rsidRPr="00FC0BC0">
        <w:rPr>
          <w:rFonts w:asciiTheme="minorHAnsi" w:hAnsiTheme="minorHAnsi"/>
        </w:rPr>
        <w:t xml:space="preserve"> Do you agree with this proposed language? </w:t>
      </w:r>
      <w:r w:rsidRPr="00E50BE1">
        <w:rPr>
          <w:rFonts w:asciiTheme="minorHAnsi" w:hAnsiTheme="minorHAnsi"/>
        </w:rPr>
        <w:t>If you do not agree, please provide your recommended language.</w:t>
      </w:r>
    </w:p>
    <w:p w14:paraId="1EB0F3CD" w14:textId="77777777" w:rsidR="00D87DB2" w:rsidRPr="002E1D29" w:rsidRDefault="00D87DB2" w:rsidP="00510C5E">
      <w:pPr>
        <w:pStyle w:val="ListParagraph"/>
        <w:keepNext/>
        <w:spacing w:before="120"/>
        <w:rPr>
          <w:rFonts w:asciiTheme="minorHAnsi" w:hAnsiTheme="minorHAnsi"/>
        </w:rPr>
      </w:pPr>
    </w:p>
    <w:p w14:paraId="0077EA83"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274B25">
        <w:rPr>
          <w:rFonts w:asciiTheme="minorHAnsi" w:hAnsiTheme="minorHAnsi"/>
        </w:rPr>
      </w:r>
      <w:r w:rsidR="00274B25">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36C5306"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274B25">
        <w:rPr>
          <w:rFonts w:asciiTheme="minorHAnsi" w:hAnsiTheme="minorHAnsi"/>
        </w:rPr>
      </w:r>
      <w:r w:rsidR="00274B25">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3DB9BFD5" w14:textId="77777777" w:rsidR="00712B28" w:rsidRPr="00237E29" w:rsidRDefault="00712B28" w:rsidP="00712B28">
      <w:pPr>
        <w:pStyle w:val="ListParagraph"/>
        <w:keepNext/>
        <w:rPr>
          <w:rFonts w:asciiTheme="minorHAnsi" w:hAnsiTheme="minorHAnsi"/>
        </w:rPr>
      </w:pPr>
    </w:p>
    <w:p w14:paraId="6A1C4F19" w14:textId="3B44187D" w:rsidR="00B8313A" w:rsidRPr="009F6F17" w:rsidRDefault="00712B28"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0E5F3A0C" w14:textId="36408852" w:rsidR="009F6F17" w:rsidRPr="009F6F17" w:rsidRDefault="009F6F17" w:rsidP="009F6F17">
      <w:pPr>
        <w:pStyle w:val="FERCparanumber"/>
        <w:widowControl w:val="0"/>
        <w:numPr>
          <w:ilvl w:val="0"/>
          <w:numId w:val="0"/>
        </w:numPr>
        <w:suppressLineNumbers/>
        <w:rPr>
          <w:rFonts w:asciiTheme="minorHAnsi" w:eastAsia="Times New Roman" w:hAnsiTheme="minorHAnsi"/>
          <w:i/>
          <w:sz w:val="24"/>
          <w:szCs w:val="24"/>
        </w:rPr>
      </w:pPr>
      <w:r w:rsidRPr="009F6F17">
        <w:rPr>
          <w:rFonts w:asciiTheme="minorHAnsi" w:eastAsia="Times New Roman" w:hAnsiTheme="minorHAnsi"/>
          <w:i/>
          <w:sz w:val="24"/>
          <w:szCs w:val="24"/>
        </w:rPr>
        <w:lastRenderedPageBreak/>
        <w:t xml:space="preserve">In P 64 of the FERC order, the Commission expressed concern that a generator owner may make a constraint declaration without informing planning and operational entities (e.g., the balancing authority) that are expecting the reliable operation of the generating unit to its Extreme Cold Weather Temperature. To address this concern, the SDT has developed R8 to require the GO to update the generating unit’s data specification regarding operational limitations to the generator unit’s capability and availability under R1. </w:t>
      </w:r>
    </w:p>
    <w:p w14:paraId="738C2728" w14:textId="494D9BE2" w:rsidR="009F6F17" w:rsidRDefault="009F6F17" w:rsidP="00406039">
      <w:pPr>
        <w:pStyle w:val="ListParagraph"/>
        <w:numPr>
          <w:ilvl w:val="0"/>
          <w:numId w:val="39"/>
        </w:numPr>
        <w:tabs>
          <w:tab w:val="left" w:pos="990"/>
        </w:tabs>
        <w:ind w:left="720"/>
        <w:rPr>
          <w:rFonts w:asciiTheme="minorHAnsi" w:hAnsiTheme="minorHAnsi"/>
        </w:rPr>
      </w:pPr>
      <w:r w:rsidRPr="009F6F17">
        <w:rPr>
          <w:rFonts w:asciiTheme="minorHAnsi" w:hAnsiTheme="minorHAnsi"/>
        </w:rPr>
        <w:t xml:space="preserve">Do you agree </w:t>
      </w:r>
      <w:r>
        <w:rPr>
          <w:rFonts w:asciiTheme="minorHAnsi" w:hAnsiTheme="minorHAnsi"/>
        </w:rPr>
        <w:t>that</w:t>
      </w:r>
      <w:r w:rsidRPr="009F6F17">
        <w:rPr>
          <w:rFonts w:asciiTheme="minorHAnsi" w:hAnsiTheme="minorHAnsi"/>
        </w:rPr>
        <w:t xml:space="preserve"> </w:t>
      </w:r>
      <w:r>
        <w:rPr>
          <w:rFonts w:asciiTheme="minorHAnsi" w:hAnsiTheme="minorHAnsi"/>
        </w:rPr>
        <w:t>R</w:t>
      </w:r>
      <w:r w:rsidRPr="009F6F17">
        <w:rPr>
          <w:rFonts w:asciiTheme="minorHAnsi" w:hAnsiTheme="minorHAnsi"/>
        </w:rPr>
        <w:t xml:space="preserve">equirement </w:t>
      </w:r>
      <w:r>
        <w:rPr>
          <w:rFonts w:asciiTheme="minorHAnsi" w:hAnsiTheme="minorHAnsi"/>
        </w:rPr>
        <w:t xml:space="preserve">R8 </w:t>
      </w:r>
      <w:r w:rsidRPr="009F6F17">
        <w:rPr>
          <w:rFonts w:asciiTheme="minorHAnsi" w:hAnsiTheme="minorHAnsi"/>
        </w:rPr>
        <w:t xml:space="preserve">is sufficient to </w:t>
      </w:r>
      <w:r w:rsidR="00FC0BC0">
        <w:rPr>
          <w:rFonts w:asciiTheme="minorHAnsi" w:hAnsiTheme="minorHAnsi"/>
        </w:rPr>
        <w:t>update the generating unit’s data specifications that are available to the Balancing Authority thereby providing the</w:t>
      </w:r>
      <w:r w:rsidRPr="009F6F17">
        <w:rPr>
          <w:rFonts w:asciiTheme="minorHAnsi" w:hAnsiTheme="minorHAnsi"/>
        </w:rPr>
        <w:t xml:space="preserve"> potential impacts a constraint declaration may have on the generating unit’s performance to its Extreme Cold Weather Temperature? If you do not agree, or if you do agree but have an alternative approach that will more effectively address the concern, </w:t>
      </w:r>
      <w:r>
        <w:rPr>
          <w:rFonts w:asciiTheme="minorHAnsi" w:hAnsiTheme="minorHAnsi"/>
        </w:rPr>
        <w:t xml:space="preserve">please provide your </w:t>
      </w:r>
      <w:r w:rsidRPr="00266EE1">
        <w:rPr>
          <w:rFonts w:asciiTheme="minorHAnsi" w:hAnsiTheme="minorHAnsi"/>
        </w:rPr>
        <w:t xml:space="preserve">recommendation and, if appropriate, </w:t>
      </w:r>
      <w:r w:rsidR="00A126FA" w:rsidRPr="00266EE1">
        <w:rPr>
          <w:rFonts w:asciiTheme="minorHAnsi" w:hAnsiTheme="minorHAnsi"/>
        </w:rPr>
        <w:t>technical,</w:t>
      </w:r>
      <w:r w:rsidRPr="00266EE1">
        <w:rPr>
          <w:rFonts w:asciiTheme="minorHAnsi" w:hAnsiTheme="minorHAnsi"/>
        </w:rPr>
        <w:t xml:space="preserve"> or procedural justification.</w:t>
      </w:r>
    </w:p>
    <w:p w14:paraId="73D90655" w14:textId="77777777" w:rsidR="00574611" w:rsidRDefault="00574611" w:rsidP="009F6F17">
      <w:pPr>
        <w:pStyle w:val="ListParagraph"/>
        <w:keepNext/>
        <w:rPr>
          <w:rFonts w:asciiTheme="minorHAnsi" w:hAnsiTheme="minorHAnsi"/>
        </w:rPr>
      </w:pPr>
    </w:p>
    <w:p w14:paraId="5E7C572E" w14:textId="5DD9492C"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274B25">
        <w:rPr>
          <w:rFonts w:asciiTheme="minorHAnsi" w:hAnsiTheme="minorHAnsi"/>
        </w:rPr>
      </w:r>
      <w:r w:rsidR="00274B25">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632959A0"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274B25">
        <w:rPr>
          <w:rFonts w:asciiTheme="minorHAnsi" w:hAnsiTheme="minorHAnsi"/>
        </w:rPr>
      </w:r>
      <w:r w:rsidR="00274B25">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46027C4" w14:textId="77777777" w:rsidR="009F6F17" w:rsidRPr="00237E29" w:rsidRDefault="009F6F17" w:rsidP="009F6F17">
      <w:pPr>
        <w:pStyle w:val="ListParagraph"/>
        <w:keepNext/>
        <w:rPr>
          <w:rFonts w:asciiTheme="minorHAnsi" w:hAnsiTheme="minorHAnsi"/>
        </w:rPr>
      </w:pPr>
    </w:p>
    <w:p w14:paraId="54F88E6A" w14:textId="50F52E2C" w:rsidR="009F6F17" w:rsidRPr="009F6F17" w:rsidRDefault="009F6F17"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E1C2CDB" w14:textId="033589F9" w:rsidR="009F6F17" w:rsidRPr="00D24289" w:rsidRDefault="009F6F17" w:rsidP="006E7594">
      <w:pPr>
        <w:keepNext/>
      </w:pPr>
    </w:p>
    <w:p w14:paraId="23BEAA23" w14:textId="494AAE68" w:rsidR="00A203F2" w:rsidRDefault="00266EE1" w:rsidP="00406039">
      <w:pPr>
        <w:pStyle w:val="ListParagraph"/>
        <w:numPr>
          <w:ilvl w:val="0"/>
          <w:numId w:val="39"/>
        </w:numPr>
        <w:tabs>
          <w:tab w:val="left" w:pos="990"/>
        </w:tabs>
        <w:spacing w:after="120"/>
        <w:ind w:left="720"/>
        <w:contextualSpacing w:val="0"/>
        <w:rPr>
          <w:rFonts w:asciiTheme="minorHAnsi" w:hAnsiTheme="minorHAnsi"/>
        </w:rPr>
      </w:pPr>
      <w:r>
        <w:rPr>
          <w:rFonts w:asciiTheme="minorHAnsi" w:hAnsiTheme="minorHAnsi"/>
        </w:rPr>
        <w:t xml:space="preserve">Per the FERC directive to </w:t>
      </w:r>
      <w:r w:rsidR="002E6E21">
        <w:rPr>
          <w:rFonts w:asciiTheme="minorHAnsi" w:hAnsiTheme="minorHAnsi"/>
        </w:rPr>
        <w:t xml:space="preserve">shorten the timeframe to implement freeze </w:t>
      </w:r>
      <w:r w:rsidR="00592B13">
        <w:rPr>
          <w:rFonts w:asciiTheme="minorHAnsi" w:hAnsiTheme="minorHAnsi"/>
        </w:rPr>
        <w:t>protection</w:t>
      </w:r>
      <w:r w:rsidR="002E6E21">
        <w:rPr>
          <w:rFonts w:asciiTheme="minorHAnsi" w:hAnsiTheme="minorHAnsi"/>
        </w:rPr>
        <w:t xml:space="preserve"> measures on existing units</w:t>
      </w:r>
      <w:r>
        <w:rPr>
          <w:rFonts w:asciiTheme="minorHAnsi" w:hAnsiTheme="minorHAnsi"/>
        </w:rPr>
        <w:t>, t</w:t>
      </w:r>
      <w:r w:rsidR="00E45D6F">
        <w:rPr>
          <w:rFonts w:asciiTheme="minorHAnsi" w:hAnsiTheme="minorHAnsi"/>
        </w:rPr>
        <w:t xml:space="preserve">he SDT proposes an implementation plan where all requirements of EOP-012-2 go into effect on the effective date of the standard except Requirement R3 which has a </w:t>
      </w:r>
      <w:r w:rsidR="00EB6E20">
        <w:rPr>
          <w:rFonts w:asciiTheme="minorHAnsi" w:hAnsiTheme="minorHAnsi"/>
        </w:rPr>
        <w:t>12</w:t>
      </w:r>
      <w:r w:rsidR="00592B13">
        <w:rPr>
          <w:rFonts w:asciiTheme="minorHAnsi" w:hAnsiTheme="minorHAnsi"/>
        </w:rPr>
        <w:t>-</w:t>
      </w:r>
      <w:r w:rsidR="00E45D6F">
        <w:rPr>
          <w:rFonts w:asciiTheme="minorHAnsi" w:hAnsiTheme="minorHAnsi"/>
        </w:rPr>
        <w:t xml:space="preserve">month implementation time frame. The chart </w:t>
      </w:r>
      <w:r>
        <w:rPr>
          <w:rFonts w:asciiTheme="minorHAnsi" w:hAnsiTheme="minorHAnsi"/>
        </w:rPr>
        <w:t xml:space="preserve">below </w:t>
      </w:r>
      <w:r w:rsidR="00E45D6F">
        <w:rPr>
          <w:rFonts w:asciiTheme="minorHAnsi" w:hAnsiTheme="minorHAnsi"/>
        </w:rPr>
        <w:t>is included to compare the EOP-012-1 and EOP-012-2 IPs</w:t>
      </w:r>
      <w:r w:rsidR="009F6F17">
        <w:rPr>
          <w:rFonts w:asciiTheme="minorHAnsi" w:hAnsiTheme="minorHAnsi"/>
        </w:rPr>
        <w:t xml:space="preserve"> for this requirement which requires GOs to have the capability to operate at the ECWT or a CAP written by the effective date of the requirement</w:t>
      </w:r>
      <w:r w:rsidR="00A126FA">
        <w:rPr>
          <w:rFonts w:asciiTheme="minorHAnsi" w:hAnsiTheme="minorHAnsi"/>
        </w:rPr>
        <w:t>.</w:t>
      </w:r>
      <w:r w:rsidR="00406039">
        <w:rPr>
          <w:rFonts w:asciiTheme="minorHAnsi" w:hAnsiTheme="minorHAnsi"/>
        </w:rPr>
        <w:t xml:space="preserve"> </w:t>
      </w:r>
      <w:r w:rsidR="00406039" w:rsidRPr="00FC0BC0">
        <w:rPr>
          <w:rFonts w:asciiTheme="minorHAnsi" w:hAnsiTheme="minorHAnsi"/>
        </w:rPr>
        <w:t xml:space="preserve">Do you agree with this proposed </w:t>
      </w:r>
      <w:r w:rsidR="00406039">
        <w:rPr>
          <w:rFonts w:asciiTheme="minorHAnsi" w:hAnsiTheme="minorHAnsi"/>
        </w:rPr>
        <w:t>timeframe</w:t>
      </w:r>
      <w:r w:rsidR="00406039" w:rsidRPr="00FC0BC0">
        <w:rPr>
          <w:rFonts w:asciiTheme="minorHAnsi" w:hAnsiTheme="minorHAnsi"/>
        </w:rPr>
        <w:t xml:space="preserve">? </w:t>
      </w:r>
      <w:r w:rsidR="00A203F2" w:rsidRPr="00A203F2">
        <w:rPr>
          <w:rFonts w:asciiTheme="minorHAnsi" w:hAnsiTheme="minorHAnsi"/>
        </w:rPr>
        <w:t>If you think an alternate timeframe is needed, please propose an alternate implementation plan and time period, and provide a detailed explanation of actions planned to meet the implementation deadline.</w:t>
      </w:r>
    </w:p>
    <w:tbl>
      <w:tblPr>
        <w:tblW w:w="9950" w:type="dxa"/>
        <w:tblInd w:w="450" w:type="dxa"/>
        <w:tblLook w:val="04A0" w:firstRow="1" w:lastRow="0" w:firstColumn="1" w:lastColumn="0" w:noHBand="0" w:noVBand="1"/>
      </w:tblPr>
      <w:tblGrid>
        <w:gridCol w:w="2830"/>
        <w:gridCol w:w="2570"/>
        <w:gridCol w:w="4550"/>
      </w:tblGrid>
      <w:tr w:rsidR="00950868" w:rsidRPr="009F6F17" w14:paraId="7980491B" w14:textId="77777777" w:rsidTr="00406039">
        <w:trPr>
          <w:trHeight w:val="300"/>
        </w:trPr>
        <w:tc>
          <w:tcPr>
            <w:tcW w:w="2830" w:type="dxa"/>
            <w:tcBorders>
              <w:top w:val="nil"/>
              <w:left w:val="nil"/>
              <w:bottom w:val="nil"/>
              <w:right w:val="nil"/>
            </w:tcBorders>
            <w:shd w:val="clear" w:color="auto" w:fill="auto"/>
            <w:noWrap/>
            <w:vAlign w:val="bottom"/>
            <w:hideMark/>
          </w:tcPr>
          <w:p w14:paraId="455D4B59" w14:textId="77777777" w:rsidR="00950868" w:rsidRPr="009F6F17" w:rsidRDefault="00950868" w:rsidP="00346D3C">
            <w:pPr>
              <w:rPr>
                <w:rFonts w:ascii="Times New Roman" w:hAnsi="Times New Roman"/>
                <w:sz w:val="20"/>
                <w:szCs w:val="20"/>
              </w:rPr>
            </w:pPr>
          </w:p>
        </w:tc>
        <w:tc>
          <w:tcPr>
            <w:tcW w:w="2570" w:type="dxa"/>
            <w:tcBorders>
              <w:top w:val="nil"/>
              <w:left w:val="nil"/>
              <w:bottom w:val="nil"/>
              <w:right w:val="nil"/>
            </w:tcBorders>
            <w:shd w:val="clear" w:color="auto" w:fill="auto"/>
            <w:noWrap/>
            <w:vAlign w:val="bottom"/>
            <w:hideMark/>
          </w:tcPr>
          <w:p w14:paraId="27207012" w14:textId="77777777" w:rsidR="00950868" w:rsidRPr="009F6F17" w:rsidRDefault="00950868" w:rsidP="00346D3C">
            <w:pPr>
              <w:jc w:val="center"/>
              <w:rPr>
                <w:rFonts w:ascii="Calibri" w:hAnsi="Calibri" w:cs="Calibri"/>
                <w:b/>
                <w:bCs/>
                <w:color w:val="000000"/>
                <w:sz w:val="22"/>
                <w:szCs w:val="22"/>
              </w:rPr>
            </w:pPr>
            <w:r w:rsidRPr="009F6F17">
              <w:rPr>
                <w:rFonts w:ascii="Calibri" w:hAnsi="Calibri" w:cs="Calibri"/>
                <w:b/>
                <w:bCs/>
                <w:color w:val="000000"/>
                <w:sz w:val="22"/>
                <w:szCs w:val="22"/>
              </w:rPr>
              <w:t>EOP-012-1</w:t>
            </w:r>
          </w:p>
        </w:tc>
        <w:tc>
          <w:tcPr>
            <w:tcW w:w="4550" w:type="dxa"/>
            <w:tcBorders>
              <w:top w:val="nil"/>
              <w:left w:val="nil"/>
              <w:bottom w:val="nil"/>
              <w:right w:val="nil"/>
            </w:tcBorders>
            <w:shd w:val="clear" w:color="auto" w:fill="auto"/>
            <w:noWrap/>
            <w:vAlign w:val="bottom"/>
            <w:hideMark/>
          </w:tcPr>
          <w:p w14:paraId="22783B1B" w14:textId="77777777" w:rsidR="00950868" w:rsidRPr="009F6F17" w:rsidRDefault="00950868" w:rsidP="00346D3C">
            <w:pPr>
              <w:jc w:val="center"/>
              <w:rPr>
                <w:rFonts w:ascii="Calibri" w:hAnsi="Calibri" w:cs="Calibri"/>
                <w:b/>
                <w:bCs/>
                <w:color w:val="000000"/>
                <w:sz w:val="22"/>
                <w:szCs w:val="22"/>
              </w:rPr>
            </w:pPr>
            <w:r w:rsidRPr="009F6F17">
              <w:rPr>
                <w:rFonts w:ascii="Calibri" w:hAnsi="Calibri" w:cs="Calibri"/>
                <w:b/>
                <w:bCs/>
                <w:color w:val="000000"/>
                <w:sz w:val="22"/>
                <w:szCs w:val="22"/>
              </w:rPr>
              <w:t>EOP-012-2</w:t>
            </w:r>
          </w:p>
        </w:tc>
      </w:tr>
      <w:tr w:rsidR="00950868" w:rsidRPr="009F6F17" w14:paraId="6F26A565" w14:textId="77777777" w:rsidTr="00406039">
        <w:trPr>
          <w:trHeight w:val="465"/>
        </w:trPr>
        <w:tc>
          <w:tcPr>
            <w:tcW w:w="2830" w:type="dxa"/>
            <w:tcBorders>
              <w:top w:val="nil"/>
              <w:left w:val="nil"/>
              <w:bottom w:val="nil"/>
              <w:right w:val="nil"/>
            </w:tcBorders>
            <w:shd w:val="clear" w:color="auto" w:fill="auto"/>
            <w:noWrap/>
            <w:vAlign w:val="bottom"/>
            <w:hideMark/>
          </w:tcPr>
          <w:p w14:paraId="498189E4"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Effective Date</w:t>
            </w: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DE0D"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10/1/2024</w:t>
            </w:r>
          </w:p>
        </w:tc>
        <w:tc>
          <w:tcPr>
            <w:tcW w:w="4550" w:type="dxa"/>
            <w:tcBorders>
              <w:top w:val="single" w:sz="4" w:space="0" w:color="auto"/>
              <w:left w:val="nil"/>
              <w:bottom w:val="single" w:sz="4" w:space="0" w:color="auto"/>
              <w:right w:val="single" w:sz="4" w:space="0" w:color="auto"/>
            </w:tcBorders>
            <w:shd w:val="clear" w:color="auto" w:fill="auto"/>
            <w:noWrap/>
            <w:vAlign w:val="bottom"/>
            <w:hideMark/>
          </w:tcPr>
          <w:p w14:paraId="08BA539F"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10/1/2024</w:t>
            </w:r>
          </w:p>
        </w:tc>
      </w:tr>
      <w:tr w:rsidR="00950868" w:rsidRPr="009F6F17" w14:paraId="7EFFD3F4" w14:textId="77777777" w:rsidTr="00406039">
        <w:trPr>
          <w:trHeight w:val="660"/>
        </w:trPr>
        <w:tc>
          <w:tcPr>
            <w:tcW w:w="2830" w:type="dxa"/>
            <w:tcBorders>
              <w:top w:val="nil"/>
              <w:left w:val="nil"/>
              <w:bottom w:val="nil"/>
              <w:right w:val="nil"/>
            </w:tcBorders>
            <w:shd w:val="clear" w:color="auto" w:fill="auto"/>
            <w:vAlign w:val="bottom"/>
            <w:hideMark/>
          </w:tcPr>
          <w:p w14:paraId="38A3FB18"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Have Capability to Operate at ECWT or CAP Developed</w:t>
            </w:r>
          </w:p>
        </w:tc>
        <w:tc>
          <w:tcPr>
            <w:tcW w:w="2570" w:type="dxa"/>
            <w:tcBorders>
              <w:top w:val="nil"/>
              <w:left w:val="single" w:sz="4" w:space="0" w:color="auto"/>
              <w:bottom w:val="single" w:sz="4" w:space="0" w:color="auto"/>
              <w:right w:val="single" w:sz="4" w:space="0" w:color="auto"/>
            </w:tcBorders>
            <w:shd w:val="clear" w:color="auto" w:fill="auto"/>
            <w:noWrap/>
            <w:vAlign w:val="bottom"/>
            <w:hideMark/>
          </w:tcPr>
          <w:p w14:paraId="05E494AD"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4/1/2028</w:t>
            </w:r>
          </w:p>
        </w:tc>
        <w:tc>
          <w:tcPr>
            <w:tcW w:w="4550" w:type="dxa"/>
            <w:tcBorders>
              <w:top w:val="nil"/>
              <w:left w:val="nil"/>
              <w:bottom w:val="single" w:sz="4" w:space="0" w:color="auto"/>
              <w:right w:val="single" w:sz="4" w:space="0" w:color="auto"/>
            </w:tcBorders>
            <w:shd w:val="clear" w:color="auto" w:fill="auto"/>
            <w:noWrap/>
            <w:vAlign w:val="bottom"/>
            <w:hideMark/>
          </w:tcPr>
          <w:p w14:paraId="2D2852DE" w14:textId="77777777" w:rsidR="00950868" w:rsidRPr="009F6F17" w:rsidRDefault="00950868" w:rsidP="00346D3C">
            <w:pPr>
              <w:jc w:val="center"/>
              <w:rPr>
                <w:rFonts w:ascii="Calibri" w:hAnsi="Calibri" w:cs="Calibri"/>
                <w:color w:val="000000"/>
                <w:sz w:val="22"/>
                <w:szCs w:val="22"/>
              </w:rPr>
            </w:pPr>
            <w:r>
              <w:rPr>
                <w:rFonts w:ascii="Calibri" w:hAnsi="Calibri" w:cs="Calibri"/>
                <w:color w:val="000000"/>
                <w:sz w:val="22"/>
                <w:szCs w:val="22"/>
              </w:rPr>
              <w:t>10</w:t>
            </w:r>
            <w:r w:rsidRPr="009F6F17">
              <w:rPr>
                <w:rFonts w:ascii="Calibri" w:hAnsi="Calibri" w:cs="Calibri"/>
                <w:color w:val="000000"/>
                <w:sz w:val="22"/>
                <w:szCs w:val="22"/>
              </w:rPr>
              <w:t>/1/202</w:t>
            </w:r>
            <w:r>
              <w:rPr>
                <w:rFonts w:ascii="Calibri" w:hAnsi="Calibri" w:cs="Calibri"/>
                <w:color w:val="000000"/>
                <w:sz w:val="22"/>
                <w:szCs w:val="22"/>
              </w:rPr>
              <w:t>5</w:t>
            </w:r>
          </w:p>
        </w:tc>
      </w:tr>
      <w:tr w:rsidR="00950868" w:rsidRPr="009F6F17" w14:paraId="33C4E4A5" w14:textId="77777777" w:rsidTr="00406039">
        <w:trPr>
          <w:trHeight w:val="540"/>
        </w:trPr>
        <w:tc>
          <w:tcPr>
            <w:tcW w:w="2830" w:type="dxa"/>
            <w:tcBorders>
              <w:top w:val="nil"/>
              <w:left w:val="nil"/>
              <w:bottom w:val="nil"/>
              <w:right w:val="nil"/>
            </w:tcBorders>
            <w:shd w:val="clear" w:color="auto" w:fill="auto"/>
            <w:noWrap/>
            <w:vAlign w:val="bottom"/>
            <w:hideMark/>
          </w:tcPr>
          <w:p w14:paraId="37733885" w14:textId="77777777" w:rsidR="00950868" w:rsidRPr="009F6F17" w:rsidRDefault="00950868" w:rsidP="00346D3C">
            <w:pPr>
              <w:rPr>
                <w:rFonts w:ascii="Calibri" w:hAnsi="Calibri" w:cs="Calibri"/>
                <w:b/>
                <w:bCs/>
                <w:color w:val="000000"/>
                <w:sz w:val="22"/>
                <w:szCs w:val="22"/>
              </w:rPr>
            </w:pPr>
            <w:r w:rsidRPr="009F6F17">
              <w:rPr>
                <w:rFonts w:ascii="Calibri" w:hAnsi="Calibri" w:cs="Calibri"/>
                <w:b/>
                <w:bCs/>
                <w:color w:val="000000"/>
                <w:sz w:val="22"/>
                <w:szCs w:val="22"/>
              </w:rPr>
              <w:t>CAP Completed</w:t>
            </w:r>
          </w:p>
        </w:tc>
        <w:tc>
          <w:tcPr>
            <w:tcW w:w="2570" w:type="dxa"/>
            <w:tcBorders>
              <w:top w:val="nil"/>
              <w:left w:val="single" w:sz="4" w:space="0" w:color="auto"/>
              <w:bottom w:val="single" w:sz="4" w:space="0" w:color="auto"/>
              <w:right w:val="single" w:sz="4" w:space="0" w:color="auto"/>
            </w:tcBorders>
            <w:shd w:val="clear" w:color="auto" w:fill="auto"/>
            <w:noWrap/>
            <w:vAlign w:val="bottom"/>
            <w:hideMark/>
          </w:tcPr>
          <w:p w14:paraId="5A4C09FA" w14:textId="77777777" w:rsidR="00950868" w:rsidRPr="009F6F17" w:rsidRDefault="00950868" w:rsidP="00346D3C">
            <w:pPr>
              <w:jc w:val="center"/>
              <w:rPr>
                <w:rFonts w:ascii="Calibri" w:hAnsi="Calibri" w:cs="Calibri"/>
                <w:color w:val="000000"/>
                <w:sz w:val="22"/>
                <w:szCs w:val="22"/>
              </w:rPr>
            </w:pPr>
            <w:r w:rsidRPr="009F6F17">
              <w:rPr>
                <w:rFonts w:ascii="Calibri" w:hAnsi="Calibri" w:cs="Calibri"/>
                <w:color w:val="000000"/>
                <w:sz w:val="22"/>
                <w:szCs w:val="22"/>
              </w:rPr>
              <w:t>no end date specified</w:t>
            </w:r>
          </w:p>
        </w:tc>
        <w:tc>
          <w:tcPr>
            <w:tcW w:w="4550" w:type="dxa"/>
            <w:tcBorders>
              <w:top w:val="nil"/>
              <w:left w:val="nil"/>
              <w:bottom w:val="single" w:sz="4" w:space="0" w:color="auto"/>
              <w:right w:val="single" w:sz="4" w:space="0" w:color="auto"/>
            </w:tcBorders>
            <w:shd w:val="clear" w:color="auto" w:fill="auto"/>
            <w:noWrap/>
            <w:vAlign w:val="bottom"/>
            <w:hideMark/>
          </w:tcPr>
          <w:p w14:paraId="3227967C" w14:textId="77777777" w:rsidR="00950868" w:rsidRPr="009F6F17" w:rsidRDefault="00950868" w:rsidP="00346D3C">
            <w:pPr>
              <w:jc w:val="center"/>
              <w:rPr>
                <w:rFonts w:ascii="Calibri" w:hAnsi="Calibri" w:cs="Calibri"/>
                <w:color w:val="000000"/>
                <w:sz w:val="22"/>
                <w:szCs w:val="22"/>
              </w:rPr>
            </w:pPr>
            <w:r>
              <w:rPr>
                <w:rFonts w:ascii="Calibri" w:hAnsi="Calibri" w:cs="Calibri"/>
                <w:color w:val="000000"/>
                <w:sz w:val="22"/>
                <w:szCs w:val="22"/>
              </w:rPr>
              <w:t>10</w:t>
            </w:r>
            <w:r w:rsidRPr="009F6F17">
              <w:rPr>
                <w:rFonts w:ascii="Calibri" w:hAnsi="Calibri" w:cs="Calibri"/>
                <w:color w:val="000000"/>
                <w:sz w:val="22"/>
                <w:szCs w:val="22"/>
              </w:rPr>
              <w:t>/1/202</w:t>
            </w:r>
            <w:r>
              <w:rPr>
                <w:rFonts w:ascii="Calibri" w:hAnsi="Calibri" w:cs="Calibri"/>
                <w:color w:val="000000"/>
                <w:sz w:val="22"/>
                <w:szCs w:val="22"/>
              </w:rPr>
              <w:t>7</w:t>
            </w:r>
            <w:r w:rsidRPr="009F6F17">
              <w:rPr>
                <w:rFonts w:ascii="Calibri" w:hAnsi="Calibri" w:cs="Calibri"/>
                <w:color w:val="000000"/>
                <w:sz w:val="22"/>
                <w:szCs w:val="22"/>
              </w:rPr>
              <w:t xml:space="preserve"> (R7.1.1) or </w:t>
            </w:r>
            <w:r>
              <w:rPr>
                <w:rFonts w:ascii="Calibri" w:hAnsi="Calibri" w:cs="Calibri"/>
                <w:color w:val="000000"/>
                <w:sz w:val="22"/>
                <w:szCs w:val="22"/>
              </w:rPr>
              <w:t>10</w:t>
            </w:r>
            <w:r w:rsidRPr="009F6F17">
              <w:rPr>
                <w:rFonts w:ascii="Calibri" w:hAnsi="Calibri" w:cs="Calibri"/>
                <w:color w:val="000000"/>
                <w:sz w:val="22"/>
                <w:szCs w:val="22"/>
              </w:rPr>
              <w:t>/1/20</w:t>
            </w:r>
            <w:r>
              <w:rPr>
                <w:rFonts w:ascii="Calibri" w:hAnsi="Calibri" w:cs="Calibri"/>
                <w:color w:val="000000"/>
                <w:sz w:val="22"/>
                <w:szCs w:val="22"/>
              </w:rPr>
              <w:t>29</w:t>
            </w:r>
            <w:r w:rsidRPr="009F6F17">
              <w:rPr>
                <w:rFonts w:ascii="Calibri" w:hAnsi="Calibri" w:cs="Calibri"/>
                <w:color w:val="000000"/>
                <w:sz w:val="22"/>
                <w:szCs w:val="22"/>
              </w:rPr>
              <w:t xml:space="preserve"> (R7.1.2)</w:t>
            </w:r>
          </w:p>
        </w:tc>
      </w:tr>
    </w:tbl>
    <w:p w14:paraId="0DE2D7E1" w14:textId="56FC6DE7" w:rsidR="00A203F2" w:rsidRDefault="00A203F2" w:rsidP="006E7594">
      <w:pPr>
        <w:keepNext/>
      </w:pPr>
    </w:p>
    <w:p w14:paraId="750EA0B5" w14:textId="77777777" w:rsidR="006E7594" w:rsidRDefault="00A203F2" w:rsidP="006E7594">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274B25">
        <w:rPr>
          <w:rFonts w:asciiTheme="minorHAnsi" w:hAnsiTheme="minorHAnsi"/>
        </w:rPr>
      </w:r>
      <w:r w:rsidR="00274B25">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5D12F40" w:rsidR="00A203F2" w:rsidRPr="006E7594" w:rsidRDefault="00A203F2" w:rsidP="006E7594">
      <w:pPr>
        <w:pStyle w:val="ListParagraph"/>
        <w:keepNext/>
        <w:rPr>
          <w:rFonts w:asciiTheme="minorHAnsi" w:hAnsiTheme="minorHAnsi"/>
        </w:rPr>
      </w:pPr>
      <w:r w:rsidRPr="006E7594">
        <w:rPr>
          <w:rFonts w:asciiTheme="minorHAnsi" w:hAnsiTheme="minorHAnsi"/>
        </w:rPr>
        <w:fldChar w:fldCharType="begin">
          <w:ffData>
            <w:name w:val="Check4"/>
            <w:enabled/>
            <w:calcOnExit w:val="0"/>
            <w:checkBox>
              <w:sizeAuto/>
              <w:default w:val="0"/>
            </w:checkBox>
          </w:ffData>
        </w:fldChar>
      </w:r>
      <w:r w:rsidRPr="006E7594">
        <w:rPr>
          <w:rFonts w:asciiTheme="minorHAnsi" w:hAnsiTheme="minorHAnsi"/>
        </w:rPr>
        <w:instrText xml:space="preserve"> FORMCHECKBOX </w:instrText>
      </w:r>
      <w:r w:rsidR="00274B25">
        <w:rPr>
          <w:rFonts w:asciiTheme="minorHAnsi" w:hAnsiTheme="minorHAnsi"/>
        </w:rPr>
      </w:r>
      <w:r w:rsidR="00274B25">
        <w:rPr>
          <w:rFonts w:asciiTheme="minorHAnsi" w:hAnsiTheme="minorHAnsi"/>
        </w:rPr>
        <w:fldChar w:fldCharType="separate"/>
      </w:r>
      <w:r w:rsidRPr="006E7594">
        <w:rPr>
          <w:rFonts w:asciiTheme="minorHAnsi" w:hAnsiTheme="minorHAnsi"/>
        </w:rPr>
        <w:fldChar w:fldCharType="end"/>
      </w:r>
      <w:r w:rsidRPr="006E7594">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50E1F4AB" w:rsid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695B7CD7" w14:textId="13F54928" w:rsidR="00A126FA" w:rsidRDefault="00A126FA">
      <w:r>
        <w:br w:type="page"/>
      </w:r>
    </w:p>
    <w:p w14:paraId="56B36600" w14:textId="524FCD25" w:rsidR="009F6F17" w:rsidRPr="00E73B96" w:rsidRDefault="009F6F17" w:rsidP="00406039">
      <w:pPr>
        <w:pStyle w:val="ListParagraph"/>
        <w:numPr>
          <w:ilvl w:val="0"/>
          <w:numId w:val="39"/>
        </w:numPr>
        <w:tabs>
          <w:tab w:val="left" w:pos="990"/>
        </w:tabs>
        <w:ind w:left="720"/>
        <w:rPr>
          <w:rFonts w:asciiTheme="minorHAnsi" w:hAnsiTheme="minorHAnsi"/>
        </w:rPr>
      </w:pPr>
      <w:r>
        <w:rPr>
          <w:rFonts w:asciiTheme="minorHAnsi" w:hAnsiTheme="minorHAnsi"/>
        </w:rPr>
        <w:lastRenderedPageBreak/>
        <w:t xml:space="preserve">The SDT proposes that the modifications in EOP-012-2 meet the key </w:t>
      </w:r>
      <w:r w:rsidR="00592B13">
        <w:rPr>
          <w:rFonts w:asciiTheme="minorHAnsi" w:hAnsiTheme="minorHAnsi"/>
        </w:rPr>
        <w:t>recommendations</w:t>
      </w:r>
      <w:r>
        <w:rPr>
          <w:rFonts w:asciiTheme="minorHAnsi" w:hAnsiTheme="minorHAnsi"/>
        </w:rPr>
        <w:t xml:space="preserve"> in The Report as well as the directives in the </w:t>
      </w:r>
      <w:r w:rsidR="00266EE1">
        <w:rPr>
          <w:rFonts w:asciiTheme="minorHAnsi" w:hAnsiTheme="minorHAnsi"/>
        </w:rPr>
        <w:t xml:space="preserve">FERC </w:t>
      </w:r>
      <w:r>
        <w:rPr>
          <w:rFonts w:asciiTheme="minorHAnsi" w:hAnsiTheme="minorHAnsi"/>
        </w:rPr>
        <w:t xml:space="preserve">order in a </w:t>
      </w:r>
      <w:r w:rsidR="00A126FA">
        <w:rPr>
          <w:rFonts w:asciiTheme="minorHAnsi" w:hAnsiTheme="minorHAnsi"/>
        </w:rPr>
        <w:t>cost-effective</w:t>
      </w:r>
      <w:r>
        <w:rPr>
          <w:rFonts w:asciiTheme="minorHAnsi" w:hAnsiTheme="minorHAnsi"/>
        </w:rPr>
        <w:t xml:space="preserve"> manner. Do you agree? If you do not agree, or if you agree but have suggestions for improvement to enable more </w:t>
      </w:r>
      <w:r w:rsidR="00A126FA">
        <w:rPr>
          <w:rFonts w:asciiTheme="minorHAnsi" w:hAnsiTheme="minorHAnsi"/>
        </w:rPr>
        <w:t>cost-effective</w:t>
      </w:r>
      <w:r>
        <w:rPr>
          <w:rFonts w:asciiTheme="minorHAnsi" w:hAnsiTheme="minorHAnsi"/>
        </w:rPr>
        <w:t xml:space="preserve"> approaches, please provide your recommendation and, if appropriate, </w:t>
      </w:r>
      <w:r w:rsidR="00A126FA">
        <w:rPr>
          <w:rFonts w:asciiTheme="minorHAnsi" w:hAnsiTheme="minorHAnsi"/>
        </w:rPr>
        <w:t>technical,</w:t>
      </w:r>
      <w:r>
        <w:rPr>
          <w:rFonts w:asciiTheme="minorHAnsi" w:hAnsiTheme="minorHAnsi"/>
        </w:rPr>
        <w:t xml:space="preserve"> or procedural justification. </w:t>
      </w:r>
    </w:p>
    <w:p w14:paraId="3B5CF40E" w14:textId="77777777" w:rsidR="009F6F17" w:rsidRDefault="009F6F17" w:rsidP="009F6F17">
      <w:pPr>
        <w:keepNext/>
        <w:ind w:left="720"/>
      </w:pPr>
    </w:p>
    <w:p w14:paraId="780B7FB2"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274B25">
        <w:fldChar w:fldCharType="separate"/>
      </w:r>
      <w:r w:rsidRPr="005C2CA7">
        <w:fldChar w:fldCharType="end"/>
      </w:r>
      <w:r w:rsidRPr="005C2CA7">
        <w:t xml:space="preserve"> Yes </w:t>
      </w:r>
    </w:p>
    <w:p w14:paraId="6C2EBBDC"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274B25">
        <w:fldChar w:fldCharType="separate"/>
      </w:r>
      <w:r w:rsidRPr="005C2CA7">
        <w:fldChar w:fldCharType="end"/>
      </w:r>
      <w:r w:rsidRPr="005C2CA7">
        <w:t xml:space="preserve"> No </w:t>
      </w:r>
    </w:p>
    <w:p w14:paraId="57E9CBD9" w14:textId="77777777" w:rsidR="009F6F17" w:rsidRDefault="009F6F17" w:rsidP="009F6F17">
      <w:pPr>
        <w:keepNext/>
        <w:ind w:left="360"/>
      </w:pPr>
    </w:p>
    <w:p w14:paraId="5495E604" w14:textId="3BA120DF" w:rsidR="00A203F2" w:rsidRDefault="009F6F17" w:rsidP="001F063B">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F76D917" w14:textId="77777777" w:rsidR="001F063B" w:rsidRPr="001F063B" w:rsidRDefault="001F063B" w:rsidP="001F063B">
      <w:pPr>
        <w:keepNext/>
        <w:ind w:left="720"/>
      </w:pPr>
    </w:p>
    <w:p w14:paraId="13E0B380" w14:textId="01F67020" w:rsidR="00A203F2" w:rsidRPr="00A203F2" w:rsidRDefault="00A203F2" w:rsidP="00406039">
      <w:pPr>
        <w:pStyle w:val="ListParagraph"/>
        <w:numPr>
          <w:ilvl w:val="0"/>
          <w:numId w:val="39"/>
        </w:numPr>
        <w:tabs>
          <w:tab w:val="left" w:pos="990"/>
        </w:tabs>
        <w:ind w:left="72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even"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DE0F" w14:textId="77777777" w:rsidR="00D4500C" w:rsidRDefault="00D4500C">
      <w:r>
        <w:separator/>
      </w:r>
    </w:p>
  </w:endnote>
  <w:endnote w:type="continuationSeparator" w:id="0">
    <w:p w14:paraId="036D3186" w14:textId="77777777" w:rsidR="00D4500C" w:rsidRDefault="00D4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E346" w14:textId="6714546B" w:rsidR="006B08A5" w:rsidRDefault="006B08A5">
    <w:pPr>
      <w:pStyle w:val="Footer"/>
    </w:pPr>
    <w:r>
      <w:rPr>
        <w:noProof/>
      </w:rPr>
      <mc:AlternateContent>
        <mc:Choice Requires="wps">
          <w:drawing>
            <wp:anchor distT="0" distB="0" distL="0" distR="0" simplePos="0" relativeHeight="251672062" behindDoc="0" locked="0" layoutInCell="1" allowOverlap="1" wp14:anchorId="11F76FEE" wp14:editId="0BD7A9E5">
              <wp:simplePos x="635" y="635"/>
              <wp:positionH relativeFrom="page">
                <wp:align>right</wp:align>
              </wp:positionH>
              <wp:positionV relativeFrom="page">
                <wp:align>bottom</wp:align>
              </wp:positionV>
              <wp:extent cx="443865" cy="443865"/>
              <wp:effectExtent l="0" t="0" r="0" b="0"/>
              <wp:wrapNone/>
              <wp:docPr id="4" name="Text Box 4" descr="Intern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F76FEE" id="_x0000_t202" coordsize="21600,21600" o:spt="202" path="m,l,21600r21600,l21600,xe">
              <v:stroke joinstyle="miter"/>
              <v:path gradientshapeok="t" o:connecttype="rect"/>
            </v:shapetype>
            <v:shape id="Text Box 4" o:spid="_x0000_s1026" type="#_x0000_t202" alt="Internal Use Only " style="position:absolute;left:0;text-align:left;margin-left:-16.25pt;margin-top:0;width:34.95pt;height:34.95pt;z-index:25167206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135F1B96"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0A013F">
      <w:t>2021-07</w:t>
    </w:r>
    <w:r w:rsidR="002D740C">
      <w:t xml:space="preserve"> </w:t>
    </w:r>
    <w:r w:rsidR="000A013F">
      <w:t>Extreme Cold Weather Grid Operations, Preparedness, and Coordination</w:t>
    </w:r>
    <w:r w:rsidR="00D677C2">
      <w:t xml:space="preserve"> – Phase 2</w:t>
    </w:r>
    <w:r w:rsidRPr="000D1B39">
      <w:t xml:space="preserve"> | </w:t>
    </w:r>
    <w:r w:rsidR="00D677C2">
      <w:t xml:space="preserve">October </w:t>
    </w:r>
    <w:r w:rsidR="009F6F17">
      <w:t>2023</w:t>
    </w:r>
    <w:r w:rsidR="002D740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317D343E" w:rsidR="00C81BEB" w:rsidRDefault="00C81BEB" w:rsidP="00C81BEB"/>
  <w:p w14:paraId="37810C4F" w14:textId="439B46EF"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3E28" w14:textId="77777777" w:rsidR="00D4500C" w:rsidRDefault="00D4500C">
      <w:r>
        <w:separator/>
      </w:r>
    </w:p>
  </w:footnote>
  <w:footnote w:type="continuationSeparator" w:id="0">
    <w:p w14:paraId="317666F0" w14:textId="77777777" w:rsidR="00D4500C" w:rsidRDefault="00D4500C">
      <w:r>
        <w:continuationSeparator/>
      </w:r>
    </w:p>
  </w:footnote>
  <w:footnote w:id="1">
    <w:p w14:paraId="41AEF5F4" w14:textId="77777777" w:rsidR="002E6E21" w:rsidRPr="00984E64" w:rsidRDefault="002E6E21" w:rsidP="002E6E21">
      <w:pPr>
        <w:pStyle w:val="FootnoteText"/>
      </w:pPr>
      <w:r>
        <w:rPr>
          <w:rStyle w:val="FootnoteReference"/>
        </w:rPr>
        <w:footnoteRef/>
      </w:r>
      <w:r>
        <w:t xml:space="preserve">  </w:t>
      </w:r>
      <w:hyperlink r:id="rId1" w:history="1">
        <w:r w:rsidRPr="008526A1">
          <w:rPr>
            <w:rStyle w:val="Hyperlink"/>
          </w:rPr>
          <w:t>Order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B40F1B"/>
    <w:multiLevelType w:val="hybridMultilevel"/>
    <w:tmpl w:val="30E075FC"/>
    <w:lvl w:ilvl="0" w:tplc="58BC8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B09D3"/>
    <w:multiLevelType w:val="hybridMultilevel"/>
    <w:tmpl w:val="7DB4ECAC"/>
    <w:lvl w:ilvl="0" w:tplc="C1E60F32">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74919">
    <w:abstractNumId w:val="32"/>
  </w:num>
  <w:num w:numId="2" w16cid:durableId="207835960">
    <w:abstractNumId w:val="13"/>
  </w:num>
  <w:num w:numId="3" w16cid:durableId="1752041427">
    <w:abstractNumId w:val="35"/>
  </w:num>
  <w:num w:numId="4" w16cid:durableId="2086999140">
    <w:abstractNumId w:val="22"/>
  </w:num>
  <w:num w:numId="5" w16cid:durableId="768356865">
    <w:abstractNumId w:val="36"/>
  </w:num>
  <w:num w:numId="6" w16cid:durableId="1039670696">
    <w:abstractNumId w:val="9"/>
  </w:num>
  <w:num w:numId="7" w16cid:durableId="544027551">
    <w:abstractNumId w:val="7"/>
  </w:num>
  <w:num w:numId="8" w16cid:durableId="579296812">
    <w:abstractNumId w:val="6"/>
  </w:num>
  <w:num w:numId="9" w16cid:durableId="762535007">
    <w:abstractNumId w:val="5"/>
  </w:num>
  <w:num w:numId="10" w16cid:durableId="721292932">
    <w:abstractNumId w:val="4"/>
  </w:num>
  <w:num w:numId="11" w16cid:durableId="2070690032">
    <w:abstractNumId w:val="8"/>
  </w:num>
  <w:num w:numId="12" w16cid:durableId="226498175">
    <w:abstractNumId w:val="3"/>
  </w:num>
  <w:num w:numId="13" w16cid:durableId="586495960">
    <w:abstractNumId w:val="2"/>
  </w:num>
  <w:num w:numId="14" w16cid:durableId="1417046135">
    <w:abstractNumId w:val="1"/>
  </w:num>
  <w:num w:numId="15" w16cid:durableId="1970668329">
    <w:abstractNumId w:val="0"/>
  </w:num>
  <w:num w:numId="16" w16cid:durableId="1628585849">
    <w:abstractNumId w:val="24"/>
  </w:num>
  <w:num w:numId="17" w16cid:durableId="1037393928">
    <w:abstractNumId w:val="17"/>
  </w:num>
  <w:num w:numId="18" w16cid:durableId="1734236014">
    <w:abstractNumId w:val="21"/>
  </w:num>
  <w:num w:numId="19" w16cid:durableId="1324896080">
    <w:abstractNumId w:val="11"/>
  </w:num>
  <w:num w:numId="20" w16cid:durableId="1194542373">
    <w:abstractNumId w:val="31"/>
  </w:num>
  <w:num w:numId="21" w16cid:durableId="241109648">
    <w:abstractNumId w:val="18"/>
  </w:num>
  <w:num w:numId="22" w16cid:durableId="1456483954">
    <w:abstractNumId w:val="10"/>
  </w:num>
  <w:num w:numId="23" w16cid:durableId="1858544043">
    <w:abstractNumId w:val="15"/>
  </w:num>
  <w:num w:numId="24" w16cid:durableId="1763574899">
    <w:abstractNumId w:val="26"/>
  </w:num>
  <w:num w:numId="25" w16cid:durableId="1839538202">
    <w:abstractNumId w:val="27"/>
  </w:num>
  <w:num w:numId="26" w16cid:durableId="1692610142">
    <w:abstractNumId w:val="37"/>
  </w:num>
  <w:num w:numId="27" w16cid:durableId="1904752073">
    <w:abstractNumId w:val="12"/>
  </w:num>
  <w:num w:numId="28" w16cid:durableId="1061293962">
    <w:abstractNumId w:val="33"/>
  </w:num>
  <w:num w:numId="29" w16cid:durableId="2095667917">
    <w:abstractNumId w:val="30"/>
  </w:num>
  <w:num w:numId="30" w16cid:durableId="1210456694">
    <w:abstractNumId w:val="34"/>
  </w:num>
  <w:num w:numId="31" w16cid:durableId="1219513041">
    <w:abstractNumId w:val="23"/>
  </w:num>
  <w:num w:numId="32" w16cid:durableId="1788619853">
    <w:abstractNumId w:val="29"/>
  </w:num>
  <w:num w:numId="33" w16cid:durableId="592592616">
    <w:abstractNumId w:val="28"/>
  </w:num>
  <w:num w:numId="34" w16cid:durableId="600604300">
    <w:abstractNumId w:val="14"/>
  </w:num>
  <w:num w:numId="35" w16cid:durableId="230117779">
    <w:abstractNumId w:val="19"/>
  </w:num>
  <w:num w:numId="36" w16cid:durableId="15061708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1266112">
    <w:abstractNumId w:val="20"/>
  </w:num>
  <w:num w:numId="38" w16cid:durableId="720980192">
    <w:abstractNumId w:val="38"/>
  </w:num>
  <w:num w:numId="39" w16cid:durableId="14580632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74DD1"/>
    <w:rsid w:val="00083C2A"/>
    <w:rsid w:val="00086440"/>
    <w:rsid w:val="00091EB1"/>
    <w:rsid w:val="000A013F"/>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07332"/>
    <w:rsid w:val="00132E88"/>
    <w:rsid w:val="001346AA"/>
    <w:rsid w:val="00136931"/>
    <w:rsid w:val="0014382A"/>
    <w:rsid w:val="00154798"/>
    <w:rsid w:val="00154F98"/>
    <w:rsid w:val="001574EA"/>
    <w:rsid w:val="00162ACA"/>
    <w:rsid w:val="00164376"/>
    <w:rsid w:val="00172CE3"/>
    <w:rsid w:val="0018514C"/>
    <w:rsid w:val="001859A9"/>
    <w:rsid w:val="001A6FC8"/>
    <w:rsid w:val="001A7B2D"/>
    <w:rsid w:val="001C2144"/>
    <w:rsid w:val="001D47FD"/>
    <w:rsid w:val="001E6782"/>
    <w:rsid w:val="001E7AF6"/>
    <w:rsid w:val="001F063B"/>
    <w:rsid w:val="001F6F01"/>
    <w:rsid w:val="002027E9"/>
    <w:rsid w:val="002038BA"/>
    <w:rsid w:val="00212C02"/>
    <w:rsid w:val="00221129"/>
    <w:rsid w:val="00237E29"/>
    <w:rsid w:val="00262A2F"/>
    <w:rsid w:val="00262F32"/>
    <w:rsid w:val="00266EE1"/>
    <w:rsid w:val="00274B25"/>
    <w:rsid w:val="00283FB4"/>
    <w:rsid w:val="002B58D5"/>
    <w:rsid w:val="002C11E1"/>
    <w:rsid w:val="002C6E45"/>
    <w:rsid w:val="002D48A8"/>
    <w:rsid w:val="002D740C"/>
    <w:rsid w:val="002E1D29"/>
    <w:rsid w:val="002E6E21"/>
    <w:rsid w:val="002F2BFE"/>
    <w:rsid w:val="003075F3"/>
    <w:rsid w:val="003134D1"/>
    <w:rsid w:val="00313BFE"/>
    <w:rsid w:val="003447B5"/>
    <w:rsid w:val="003632EA"/>
    <w:rsid w:val="00366A96"/>
    <w:rsid w:val="003764E1"/>
    <w:rsid w:val="00385F2F"/>
    <w:rsid w:val="0038676B"/>
    <w:rsid w:val="0039275D"/>
    <w:rsid w:val="003A039D"/>
    <w:rsid w:val="003A07DE"/>
    <w:rsid w:val="003A2C17"/>
    <w:rsid w:val="003C0FD0"/>
    <w:rsid w:val="003C2871"/>
    <w:rsid w:val="003C40A4"/>
    <w:rsid w:val="003E1C41"/>
    <w:rsid w:val="003F78BD"/>
    <w:rsid w:val="00406039"/>
    <w:rsid w:val="0040795F"/>
    <w:rsid w:val="00411B23"/>
    <w:rsid w:val="004204D3"/>
    <w:rsid w:val="004204FE"/>
    <w:rsid w:val="0042088D"/>
    <w:rsid w:val="00433A9B"/>
    <w:rsid w:val="00433C7C"/>
    <w:rsid w:val="004430FF"/>
    <w:rsid w:val="00456B99"/>
    <w:rsid w:val="004631BF"/>
    <w:rsid w:val="004739A3"/>
    <w:rsid w:val="004759A6"/>
    <w:rsid w:val="004800C7"/>
    <w:rsid w:val="004859C6"/>
    <w:rsid w:val="00487B7F"/>
    <w:rsid w:val="004937E7"/>
    <w:rsid w:val="004A7BAA"/>
    <w:rsid w:val="004B6719"/>
    <w:rsid w:val="004B6A0A"/>
    <w:rsid w:val="004B7DE3"/>
    <w:rsid w:val="004D3EC5"/>
    <w:rsid w:val="004E7B5C"/>
    <w:rsid w:val="0050270C"/>
    <w:rsid w:val="005052E3"/>
    <w:rsid w:val="00506E8B"/>
    <w:rsid w:val="00510652"/>
    <w:rsid w:val="00510C5E"/>
    <w:rsid w:val="005240B5"/>
    <w:rsid w:val="005316C6"/>
    <w:rsid w:val="005316F3"/>
    <w:rsid w:val="00545613"/>
    <w:rsid w:val="00554CD1"/>
    <w:rsid w:val="00555F79"/>
    <w:rsid w:val="005659F3"/>
    <w:rsid w:val="00573832"/>
    <w:rsid w:val="00574611"/>
    <w:rsid w:val="00575783"/>
    <w:rsid w:val="00584F6D"/>
    <w:rsid w:val="00591CE2"/>
    <w:rsid w:val="00592B13"/>
    <w:rsid w:val="00597D63"/>
    <w:rsid w:val="005A2920"/>
    <w:rsid w:val="005A721A"/>
    <w:rsid w:val="005B7382"/>
    <w:rsid w:val="005C2683"/>
    <w:rsid w:val="005C2CA7"/>
    <w:rsid w:val="005D3F72"/>
    <w:rsid w:val="005E6F5D"/>
    <w:rsid w:val="005F574F"/>
    <w:rsid w:val="00603079"/>
    <w:rsid w:val="00610B5B"/>
    <w:rsid w:val="00626C73"/>
    <w:rsid w:val="00631174"/>
    <w:rsid w:val="00642BF1"/>
    <w:rsid w:val="00652754"/>
    <w:rsid w:val="00652B15"/>
    <w:rsid w:val="00676409"/>
    <w:rsid w:val="00677F97"/>
    <w:rsid w:val="00685D35"/>
    <w:rsid w:val="00692F16"/>
    <w:rsid w:val="006935E7"/>
    <w:rsid w:val="00694CD1"/>
    <w:rsid w:val="006B08A5"/>
    <w:rsid w:val="006B3EC7"/>
    <w:rsid w:val="006C1F78"/>
    <w:rsid w:val="006E4ED6"/>
    <w:rsid w:val="006E67B7"/>
    <w:rsid w:val="006E7594"/>
    <w:rsid w:val="006F6DD1"/>
    <w:rsid w:val="00712B28"/>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94267"/>
    <w:rsid w:val="008C1A0A"/>
    <w:rsid w:val="008C2858"/>
    <w:rsid w:val="008D3B53"/>
    <w:rsid w:val="008D3FCD"/>
    <w:rsid w:val="008D532D"/>
    <w:rsid w:val="008F7B39"/>
    <w:rsid w:val="00900513"/>
    <w:rsid w:val="00905A97"/>
    <w:rsid w:val="00905DC1"/>
    <w:rsid w:val="00914DCD"/>
    <w:rsid w:val="0091530F"/>
    <w:rsid w:val="009218CA"/>
    <w:rsid w:val="00950868"/>
    <w:rsid w:val="00964CB8"/>
    <w:rsid w:val="00973784"/>
    <w:rsid w:val="00974257"/>
    <w:rsid w:val="009838D6"/>
    <w:rsid w:val="00986E64"/>
    <w:rsid w:val="00990DAF"/>
    <w:rsid w:val="0099757F"/>
    <w:rsid w:val="009A3624"/>
    <w:rsid w:val="009A4DFE"/>
    <w:rsid w:val="009B444F"/>
    <w:rsid w:val="009C211C"/>
    <w:rsid w:val="009C28E9"/>
    <w:rsid w:val="009C777F"/>
    <w:rsid w:val="009F6F17"/>
    <w:rsid w:val="00A126FA"/>
    <w:rsid w:val="00A159B9"/>
    <w:rsid w:val="00A203F2"/>
    <w:rsid w:val="00A31945"/>
    <w:rsid w:val="00A35DA7"/>
    <w:rsid w:val="00A42C67"/>
    <w:rsid w:val="00A53159"/>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8313A"/>
    <w:rsid w:val="00B90D2E"/>
    <w:rsid w:val="00B95513"/>
    <w:rsid w:val="00BA34E0"/>
    <w:rsid w:val="00BD4BFB"/>
    <w:rsid w:val="00BD77DE"/>
    <w:rsid w:val="00BE5580"/>
    <w:rsid w:val="00C0478B"/>
    <w:rsid w:val="00C0565A"/>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068D"/>
    <w:rsid w:val="00D225E0"/>
    <w:rsid w:val="00D228D6"/>
    <w:rsid w:val="00D24289"/>
    <w:rsid w:val="00D31B2F"/>
    <w:rsid w:val="00D33514"/>
    <w:rsid w:val="00D35D48"/>
    <w:rsid w:val="00D4500C"/>
    <w:rsid w:val="00D56EBF"/>
    <w:rsid w:val="00D5715F"/>
    <w:rsid w:val="00D57EDC"/>
    <w:rsid w:val="00D61BBD"/>
    <w:rsid w:val="00D677C2"/>
    <w:rsid w:val="00D71B57"/>
    <w:rsid w:val="00D730C8"/>
    <w:rsid w:val="00D7715A"/>
    <w:rsid w:val="00D8646B"/>
    <w:rsid w:val="00D87DB2"/>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61CE"/>
    <w:rsid w:val="00E00283"/>
    <w:rsid w:val="00E051A8"/>
    <w:rsid w:val="00E202F4"/>
    <w:rsid w:val="00E308F8"/>
    <w:rsid w:val="00E377CF"/>
    <w:rsid w:val="00E43401"/>
    <w:rsid w:val="00E43A0D"/>
    <w:rsid w:val="00E45D6F"/>
    <w:rsid w:val="00E50BE1"/>
    <w:rsid w:val="00E575A0"/>
    <w:rsid w:val="00E64BB4"/>
    <w:rsid w:val="00E709AD"/>
    <w:rsid w:val="00E73B96"/>
    <w:rsid w:val="00E800B1"/>
    <w:rsid w:val="00E806C3"/>
    <w:rsid w:val="00EA11D3"/>
    <w:rsid w:val="00EA70E5"/>
    <w:rsid w:val="00EB6E20"/>
    <w:rsid w:val="00EC0529"/>
    <w:rsid w:val="00EC6486"/>
    <w:rsid w:val="00ED5673"/>
    <w:rsid w:val="00EE4C1E"/>
    <w:rsid w:val="00EE5416"/>
    <w:rsid w:val="00EF6F41"/>
    <w:rsid w:val="00F006EF"/>
    <w:rsid w:val="00F073C5"/>
    <w:rsid w:val="00F07493"/>
    <w:rsid w:val="00F17041"/>
    <w:rsid w:val="00F21B75"/>
    <w:rsid w:val="00F31926"/>
    <w:rsid w:val="00F35196"/>
    <w:rsid w:val="00F5146D"/>
    <w:rsid w:val="00F547FB"/>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0BC0"/>
    <w:rsid w:val="00FC2038"/>
    <w:rsid w:val="00FC2075"/>
    <w:rsid w:val="00FC3D2E"/>
    <w:rsid w:val="00FC63D8"/>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Footnote Reference (EIS),Footnote reference (EA),Style 11,Style 19,Style 28,Style 30,Style 8,fnr"/>
    <w:basedOn w:val="DefaultParagraphFont"/>
    <w:uiPriority w:val="99"/>
    <w:unhideWhenUsed/>
    <w:qFormat/>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34"/>
    <w:rsid w:val="00E45D6F"/>
    <w:rPr>
      <w:sz w:val="24"/>
      <w:szCs w:val="24"/>
    </w:rPr>
  </w:style>
  <w:style w:type="paragraph" w:customStyle="1" w:styleId="FERCparanumber">
    <w:name w:val="FERC paranumber"/>
    <w:basedOn w:val="Normal"/>
    <w:link w:val="FERCparanumberChar"/>
    <w:qFormat/>
    <w:rsid w:val="009F6F17"/>
    <w:pPr>
      <w:numPr>
        <w:numId w:val="38"/>
      </w:numPr>
      <w:spacing w:after="260"/>
    </w:pPr>
    <w:rPr>
      <w:rFonts w:ascii="Times New Roman" w:eastAsiaTheme="minorHAnsi" w:hAnsi="Times New Roman"/>
      <w:sz w:val="26"/>
      <w:szCs w:val="22"/>
    </w:rPr>
  </w:style>
  <w:style w:type="character" w:customStyle="1" w:styleId="FERCparanumberChar">
    <w:name w:val="FERC paranumber Char"/>
    <w:basedOn w:val="DefaultParagraphFont"/>
    <w:link w:val="FERCparanumber"/>
    <w:rsid w:val="009F6F17"/>
    <w:rPr>
      <w:rFonts w:eastAsiaTheme="minorHAnsi"/>
      <w:sz w:val="26"/>
      <w:szCs w:val="22"/>
    </w:rPr>
  </w:style>
  <w:style w:type="paragraph" w:styleId="Revision">
    <w:name w:val="Revision"/>
    <w:hidden/>
    <w:uiPriority w:val="99"/>
    <w:semiHidden/>
    <w:rsid w:val="00EB6E2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8519">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559852454">
      <w:bodyDiv w:val="1"/>
      <w:marLeft w:val="0"/>
      <w:marRight w:val="0"/>
      <w:marTop w:val="0"/>
      <w:marBottom w:val="0"/>
      <w:divBdr>
        <w:top w:val="none" w:sz="0" w:space="0" w:color="auto"/>
        <w:left w:val="none" w:sz="0" w:space="0" w:color="auto"/>
        <w:bottom w:val="none" w:sz="0" w:space="0" w:color="auto"/>
        <w:right w:val="none" w:sz="0" w:space="0" w:color="auto"/>
      </w:divBdr>
    </w:div>
    <w:div w:id="19740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1-07-ExtremeColdWeather.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eLibrary/filelist?accession_number=20230216-3062&amp;optimiz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p:properties xmlns:p="http://schemas.microsoft.com/office/2006/metadata/properties" xmlns:xsi="http://www.w3.org/2001/XMLSchema-instance">
  <documentManagement>
    <_dlc_DocId xmlns="cbf880be-c7c2-4487-81cc-39803b2f2238">V5FEZNQ3RRSY-729300196-4312</_dlc_DocId>
    <_dlc_DocIdUrl xmlns="cbf880be-c7c2-4487-81cc-39803b2f2238">
      <Url>http://departments.internal.nerc.com/StandardsDev/_layouts/15/DocIdRedir.aspx?ID=V5FEZNQ3RRSY-729300196-4312</Url>
      <Description>V5FEZNQ3RRSY-729300196-4312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91FCC-F7FC-4A95-95CE-63A580639D4F}"/>
</file>

<file path=customXml/itemProps2.xml><?xml version="1.0" encoding="utf-8"?>
<ds:datastoreItem xmlns:ds="http://schemas.openxmlformats.org/officeDocument/2006/customXml" ds:itemID="{24ACF5D7-4722-4BD5-BB91-5C7F8723E82F}">
  <ds:schemaRefs>
    <ds:schemaRef ds:uri="http://schemas.openxmlformats.org/officeDocument/2006/bibliography"/>
  </ds:schemaRefs>
</ds:datastoreItem>
</file>

<file path=customXml/itemProps3.xml><?xml version="1.0" encoding="utf-8"?>
<ds:datastoreItem xmlns:ds="http://schemas.openxmlformats.org/officeDocument/2006/customXml" ds:itemID="{1240E9B0-2F46-47CB-953C-AB4A6C769425}"/>
</file>

<file path=customXml/itemProps4.xml><?xml version="1.0" encoding="utf-8"?>
<ds:datastoreItem xmlns:ds="http://schemas.openxmlformats.org/officeDocument/2006/customXml" ds:itemID="{FC6A8AE7-FCB1-494A-947C-913FFF923B45}">
  <ds:schemaRefs>
    <ds:schemaRef ds:uri="Microsoft.SharePoint.Taxonomy.ContentTypeSync"/>
  </ds:schemaRefs>
</ds:datastoreItem>
</file>

<file path=customXml/itemProps5.xml><?xml version="1.0" encoding="utf-8"?>
<ds:datastoreItem xmlns:ds="http://schemas.openxmlformats.org/officeDocument/2006/customXml" ds:itemID="{3AADE751-F4AA-46F9-8BA7-3253CC583788}">
  <ds:schemaRefs>
    <ds:schemaRef ds:uri="3e1050e7-7faf-40ec-88f1-5bdab33a6ff5"/>
    <ds:schemaRef ds:uri="http://purl.org/dc/terms/"/>
    <ds:schemaRef ds:uri="be72bb46-7b96-43f6-b3d2-cb56bca42853"/>
    <ds:schemaRef ds:uri="http://schemas.microsoft.com/office/2006/metadata/properties"/>
    <ds:schemaRef ds:uri="http://schemas.microsoft.com/office/infopath/2007/PartnerControls"/>
    <ds:schemaRef ds:uri="http://purl.org/dc/dcmitype/"/>
    <ds:schemaRef ds:uri="http://schemas.microsoft.com/sharepoint/v4"/>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elements/1.1/"/>
  </ds:schemaRefs>
</ds:datastoreItem>
</file>

<file path=customXml/itemProps6.xml><?xml version="1.0" encoding="utf-8"?>
<ds:datastoreItem xmlns:ds="http://schemas.openxmlformats.org/officeDocument/2006/customXml" ds:itemID="{B9B8B294-6938-4D48-9FA7-38DD95549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2023-11-09T19:21:00Z</dcterms:created>
  <dcterms:modified xsi:type="dcterms:W3CDTF">2023-11-09T19:21:00Z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Document Category">
    <vt:lpwstr>Template</vt:lpwstr>
  </property>
  <property fmtid="{D5CDD505-2E9C-101B-9397-08002B2CF9AE}" pid="4" name="_dlc_DocIdItemGuid">
    <vt:lpwstr>fe810839-dc46-4d15-921f-d489e060e268</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13118;#2021-07|8a7bbc55-ab47-4229-8e1c-2d41c03c03b8</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y fmtid="{D5CDD505-2E9C-101B-9397-08002B2CF9AE}" pid="21" name="ClassificationContentMarkingFooterShapeIds">
    <vt:lpwstr>1,4,5</vt:lpwstr>
  </property>
  <property fmtid="{D5CDD505-2E9C-101B-9397-08002B2CF9AE}" pid="22" name="ClassificationContentMarkingFooterFontProps">
    <vt:lpwstr>#a80000,10,Calibri</vt:lpwstr>
  </property>
  <property fmtid="{D5CDD505-2E9C-101B-9397-08002B2CF9AE}" pid="23" name="ClassificationContentMarkingFooterText">
    <vt:lpwstr>Internal Use Only </vt:lpwstr>
  </property>
  <property fmtid="{D5CDD505-2E9C-101B-9397-08002B2CF9AE}" pid="24" name="MSIP_Label_d275ac46-98b9-4d64-949f-e82ee8dc823c_Enabled">
    <vt:lpwstr>true</vt:lpwstr>
  </property>
  <property fmtid="{D5CDD505-2E9C-101B-9397-08002B2CF9AE}" pid="25" name="MSIP_Label_d275ac46-98b9-4d64-949f-e82ee8dc823c_SetDate">
    <vt:lpwstr>2023-10-24T13:42:50Z</vt:lpwstr>
  </property>
  <property fmtid="{D5CDD505-2E9C-101B-9397-08002B2CF9AE}" pid="26" name="MSIP_Label_d275ac46-98b9-4d64-949f-e82ee8dc823c_Method">
    <vt:lpwstr>Standard</vt:lpwstr>
  </property>
  <property fmtid="{D5CDD505-2E9C-101B-9397-08002B2CF9AE}" pid="27" name="MSIP_Label_d275ac46-98b9-4d64-949f-e82ee8dc823c_Name">
    <vt:lpwstr>d275ac46-98b9-4d64-949f-e82ee8dc823c</vt:lpwstr>
  </property>
  <property fmtid="{D5CDD505-2E9C-101B-9397-08002B2CF9AE}" pid="28" name="MSIP_Label_d275ac46-98b9-4d64-949f-e82ee8dc823c_SiteId">
    <vt:lpwstr>9ef58ab0-3510-4d99-8d3e-3c9e02ebab7f</vt:lpwstr>
  </property>
  <property fmtid="{D5CDD505-2E9C-101B-9397-08002B2CF9AE}" pid="29" name="MSIP_Label_d275ac46-98b9-4d64-949f-e82ee8dc823c_ActionId">
    <vt:lpwstr>ffc67187-caaa-4f3f-93bd-6d58301a0217</vt:lpwstr>
  </property>
  <property fmtid="{D5CDD505-2E9C-101B-9397-08002B2CF9AE}" pid="30" name="MSIP_Label_d275ac46-98b9-4d64-949f-e82ee8dc823c_ContentBits">
    <vt:lpwstr>3</vt:lpwstr>
  </property>
</Properties>
</file>