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36638879"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11D04">
        <w:rPr>
          <w:b w:val="0"/>
          <w:sz w:val="32"/>
          <w:szCs w:val="32"/>
        </w:rPr>
        <w:t>Project 2022-0</w:t>
      </w:r>
      <w:r w:rsidR="0004606C">
        <w:rPr>
          <w:b w:val="0"/>
          <w:sz w:val="32"/>
          <w:szCs w:val="32"/>
        </w:rPr>
        <w:t>3</w:t>
      </w:r>
      <w:r w:rsidR="00833311" w:rsidRPr="00833311">
        <w:rPr>
          <w:b w:val="0"/>
          <w:sz w:val="32"/>
          <w:szCs w:val="32"/>
        </w:rPr>
        <w:t xml:space="preserve"> </w:t>
      </w:r>
      <w:r w:rsidR="00276BAB">
        <w:rPr>
          <w:b w:val="0"/>
          <w:sz w:val="32"/>
          <w:szCs w:val="32"/>
        </w:rPr>
        <w:t>Energy Assurance with Energy-Constrained Resources</w:t>
      </w:r>
      <w:r w:rsidR="0000166A" w:rsidRPr="00833311">
        <w:rPr>
          <w:b w:val="0"/>
          <w:sz w:val="36"/>
          <w:szCs w:val="36"/>
        </w:rPr>
        <w:br/>
      </w:r>
    </w:p>
    <w:p w14:paraId="4338961D" w14:textId="37394E7A"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C43FC0" w:rsidRPr="00C43FC0">
          <w:rPr>
            <w:rStyle w:val="Hyperlink"/>
            <w:rFonts w:cs="Arial"/>
          </w:rPr>
          <w:t>electronic form</w:t>
        </w:r>
      </w:hyperlink>
      <w:r w:rsidR="00833311">
        <w:rPr>
          <w:rFonts w:cs="Arial"/>
        </w:rPr>
        <w:t xml:space="preserve"> </w:t>
      </w:r>
      <w:r>
        <w:rPr>
          <w:rFonts w:cs="Arial"/>
        </w:rPr>
        <w:t xml:space="preserve">to submit nominations </w:t>
      </w:r>
      <w:r w:rsidR="00047E42">
        <w:rPr>
          <w:rFonts w:cs="Arial"/>
        </w:rPr>
        <w:t xml:space="preserve">for </w:t>
      </w:r>
      <w:r w:rsidR="00EB5258">
        <w:rPr>
          <w:rFonts w:cs="Arial"/>
          <w:b/>
        </w:rPr>
        <w:t>Project 2022-</w:t>
      </w:r>
      <w:r w:rsidR="00EB5258" w:rsidRPr="0004606C">
        <w:rPr>
          <w:rFonts w:cs="Arial"/>
          <w:b/>
        </w:rPr>
        <w:t>0</w:t>
      </w:r>
      <w:r w:rsidR="0004606C" w:rsidRPr="0004606C">
        <w:rPr>
          <w:rFonts w:cs="Arial"/>
          <w:b/>
        </w:rPr>
        <w:t>3</w:t>
      </w:r>
      <w:r w:rsidR="00EB5258">
        <w:rPr>
          <w:rFonts w:cs="Arial"/>
          <w:b/>
        </w:rPr>
        <w:t xml:space="preserve"> Energy Assurance with Energy-Constrained </w:t>
      </w:r>
      <w:r w:rsidR="0077020E">
        <w:rPr>
          <w:rFonts w:cs="Arial"/>
          <w:b/>
        </w:rPr>
        <w:t xml:space="preserve">Resources </w:t>
      </w:r>
      <w:r w:rsidR="0077020E">
        <w:rPr>
          <w:rFonts w:cs="Arial"/>
        </w:rPr>
        <w:t>Standard Authorization Request</w:t>
      </w:r>
      <w:r w:rsidR="00E64816">
        <w:rPr>
          <w:rFonts w:cs="Arial"/>
        </w:rPr>
        <w:t>s</w:t>
      </w:r>
      <w:r w:rsidR="0077020E">
        <w:rPr>
          <w:rFonts w:cs="Arial"/>
        </w:rPr>
        <w:t xml:space="preserve"> (SAR</w:t>
      </w:r>
      <w:r w:rsidR="00E64816">
        <w:rPr>
          <w:rFonts w:cs="Arial"/>
        </w:rPr>
        <w:t>s</w:t>
      </w:r>
      <w:r w:rsidR="0077020E">
        <w:rPr>
          <w:rFonts w:cs="Arial"/>
        </w:rPr>
        <w:t xml:space="preserve">) drafting team members </w:t>
      </w:r>
      <w:r w:rsidR="00833311">
        <w:rPr>
          <w:rFonts w:cs="Arial"/>
        </w:rPr>
        <w:t>by</w:t>
      </w:r>
      <w:r>
        <w:rPr>
          <w:rFonts w:cs="Arial"/>
        </w:rPr>
        <w:t xml:space="preserve"> </w:t>
      </w:r>
      <w:r w:rsidR="00663305">
        <w:rPr>
          <w:rStyle w:val="Strong"/>
          <w:rFonts w:ascii="Calibri" w:hAnsi="Calibri" w:cs="Arial"/>
        </w:rPr>
        <w:t>8 p.m. Eastern</w:t>
      </w:r>
      <w:r w:rsidR="00663305" w:rsidRPr="00B40E27">
        <w:rPr>
          <w:rStyle w:val="Strong"/>
          <w:rFonts w:ascii="Calibri" w:hAnsi="Calibri" w:cs="Arial"/>
        </w:rPr>
        <w:t xml:space="preserve">, </w:t>
      </w:r>
      <w:r w:rsidR="0034232A">
        <w:rPr>
          <w:rStyle w:val="Strong"/>
          <w:rFonts w:ascii="Calibri" w:hAnsi="Calibri" w:cs="Arial"/>
        </w:rPr>
        <w:t>Thursday</w:t>
      </w:r>
      <w:r w:rsidR="00DB2B8D">
        <w:rPr>
          <w:rStyle w:val="Strong"/>
          <w:rFonts w:ascii="Calibri" w:hAnsi="Calibri" w:cs="Arial"/>
        </w:rPr>
        <w:t xml:space="preserve">, </w:t>
      </w:r>
      <w:r w:rsidR="0034232A">
        <w:rPr>
          <w:rStyle w:val="Strong"/>
          <w:rFonts w:ascii="Calibri" w:hAnsi="Calibri" w:cs="Arial"/>
        </w:rPr>
        <w:t>July 21</w:t>
      </w:r>
      <w:r w:rsidR="00DB2B8D">
        <w:rPr>
          <w:rStyle w:val="Strong"/>
          <w:rFonts w:ascii="Calibri" w:hAnsi="Calibri" w:cs="Arial"/>
        </w:rPr>
        <w:t>, 2022</w:t>
      </w:r>
      <w:r w:rsidR="00816016" w:rsidRPr="00B40E27">
        <w:rPr>
          <w:rFonts w:cs="Arial"/>
          <w:b/>
        </w:rPr>
        <w:t>.</w:t>
      </w:r>
      <w:r w:rsidR="00816016" w:rsidRPr="00816016">
        <w:rPr>
          <w:rFonts w:cs="Arial"/>
        </w:rPr>
        <w:t xml:space="preserve"> </w:t>
      </w:r>
      <w:r w:rsidR="005110E0" w:rsidRPr="00012D1E">
        <w:rPr>
          <w:rFonts w:ascii="Calibri" w:hAnsi="Calibri" w:cs="Arial"/>
        </w:rPr>
        <w:t>This</w:t>
      </w:r>
      <w:r w:rsidR="005110E0">
        <w:rPr>
          <w:rFonts w:ascii="Calibri" w:hAnsi="Calibri" w:cs="Arial"/>
        </w:rPr>
        <w:t xml:space="preserve"> unofficial version </w:t>
      </w:r>
      <w:proofErr w:type="gramStart"/>
      <w:r w:rsidR="005110E0">
        <w:rPr>
          <w:rFonts w:ascii="Calibri" w:hAnsi="Calibri" w:cs="Arial"/>
        </w:rPr>
        <w:t>is provided</w:t>
      </w:r>
      <w:proofErr w:type="gramEnd"/>
      <w:r w:rsidR="005110E0">
        <w:rPr>
          <w:rFonts w:ascii="Calibri" w:hAnsi="Calibri" w:cs="Arial"/>
        </w:rPr>
        <w:t xml:space="preserve"> to assist nominees in compiling the information necessary to submit the electronic form.</w:t>
      </w:r>
      <w:r>
        <w:rPr>
          <w:rFonts w:ascii="Calibri" w:hAnsi="Calibri" w:cs="Arial"/>
        </w:rPr>
        <w:br/>
      </w:r>
      <w:r>
        <w:rPr>
          <w:rFonts w:cs="Arial"/>
        </w:rPr>
        <w:t xml:space="preserve"> </w:t>
      </w:r>
    </w:p>
    <w:p w14:paraId="4338961E" w14:textId="4AD4FA1C" w:rsidR="004A60CD" w:rsidRDefault="00F5557A" w:rsidP="00816016">
      <w:r>
        <w:t xml:space="preserve">Additional </w:t>
      </w:r>
      <w:r w:rsidR="00833311">
        <w:t xml:space="preserve">information about this project </w:t>
      </w:r>
      <w:r>
        <w:t>is</w:t>
      </w:r>
      <w:r w:rsidR="00833311">
        <w:t xml:space="preserve"> available on </w:t>
      </w:r>
      <w:r w:rsidR="00833311" w:rsidRPr="00B40E27">
        <w:t xml:space="preserve">the </w:t>
      </w:r>
      <w:hyperlink r:id="rId14" w:history="1">
        <w:r w:rsidR="00DB2B8D" w:rsidRPr="00667448">
          <w:rPr>
            <w:rStyle w:val="Hyperlink"/>
          </w:rPr>
          <w:t>project</w:t>
        </w:r>
        <w:r w:rsidRPr="00667448">
          <w:rPr>
            <w:rStyle w:val="Hyperlink"/>
          </w:rPr>
          <w:t xml:space="preserve"> page</w:t>
        </w:r>
      </w:hyperlink>
      <w:bookmarkStart w:id="1" w:name="_GoBack"/>
      <w:bookmarkEnd w:id="1"/>
      <w:r w:rsidR="00833311">
        <w:t xml:space="preserve">. </w:t>
      </w:r>
      <w:r w:rsidR="00833311" w:rsidRPr="00786AD7">
        <w:t>If you have questions</w:t>
      </w:r>
      <w:r w:rsidR="00833311">
        <w:t xml:space="preserve">, </w:t>
      </w:r>
      <w:r w:rsidR="00833311" w:rsidRPr="00C74DBC">
        <w:t>contact</w:t>
      </w:r>
      <w:r w:rsidR="00833311">
        <w:t xml:space="preserve"> </w:t>
      </w:r>
      <w:r w:rsidR="00BB3014">
        <w:t>Standards Developer</w:t>
      </w:r>
      <w:r>
        <w:t xml:space="preserve">, </w:t>
      </w:r>
      <w:hyperlink r:id="rId15" w:history="1">
        <w:r w:rsidR="00BB3014" w:rsidRPr="00BB3014">
          <w:rPr>
            <w:rStyle w:val="Hyperlink"/>
          </w:rPr>
          <w:t>Dominique Thompson</w:t>
        </w:r>
      </w:hyperlink>
      <w:r w:rsidR="00833311" w:rsidRPr="00F86A52">
        <w:t xml:space="preserve"> (via email)</w:t>
      </w:r>
      <w:r w:rsidR="00833311">
        <w:t>,</w:t>
      </w:r>
      <w:r w:rsidR="00833311" w:rsidRPr="00F86A52">
        <w:t xml:space="preserve"> or at </w:t>
      </w:r>
      <w:r w:rsidR="00BB3014">
        <w:t>404-217-7578</w:t>
      </w:r>
      <w:r w:rsidR="00833311">
        <w:t>.</w:t>
      </w:r>
    </w:p>
    <w:p w14:paraId="090DC1C1" w14:textId="3B70C4F3" w:rsidR="0077020E" w:rsidRDefault="0077020E" w:rsidP="00816016"/>
    <w:p w14:paraId="2935E1A3" w14:textId="77777777" w:rsidR="0077020E" w:rsidRDefault="0077020E" w:rsidP="0077020E">
      <w:pPr>
        <w:ind w:left="-5" w:right="378"/>
        <w:rPr>
          <w:color w:val="000000"/>
        </w:rPr>
      </w:pPr>
      <w:r w:rsidRPr="00B367D4">
        <w:rPr>
          <w:color w:val="000000"/>
        </w:rPr>
        <w:t xml:space="preserve">By submitting a nomination form, you are indicating your willingness and agreement </w:t>
      </w:r>
      <w:proofErr w:type="gramStart"/>
      <w:r w:rsidRPr="00B367D4">
        <w:rPr>
          <w:color w:val="000000"/>
        </w:rPr>
        <w:t>to actively participate</w:t>
      </w:r>
      <w:proofErr w:type="gramEnd"/>
      <w:r w:rsidRPr="00B367D4">
        <w:rPr>
          <w:color w:val="000000"/>
        </w:rPr>
        <w:t xml:space="preserve"> in </w:t>
      </w:r>
      <w:r>
        <w:rPr>
          <w:color w:val="000000"/>
        </w:rPr>
        <w:t xml:space="preserve">face-to-face meetings and </w:t>
      </w:r>
      <w:r w:rsidRPr="00B367D4">
        <w:rPr>
          <w:color w:val="000000"/>
        </w:rPr>
        <w:t>conference calls.</w:t>
      </w:r>
      <w:r>
        <w:rPr>
          <w:color w:val="000000"/>
        </w:rPr>
        <w:t xml:space="preserve"> </w:t>
      </w:r>
    </w:p>
    <w:p w14:paraId="70407B7C" w14:textId="635FF952" w:rsidR="0077020E" w:rsidRDefault="0077020E" w:rsidP="00816016">
      <w:pPr>
        <w:rPr>
          <w:rFonts w:cs="Arial"/>
        </w:rPr>
      </w:pPr>
    </w:p>
    <w:p w14:paraId="73EC9BFF" w14:textId="6E57D44D" w:rsidR="0077020E" w:rsidRPr="00816016" w:rsidRDefault="0077020E" w:rsidP="00816016">
      <w:pPr>
        <w:rPr>
          <w:rFonts w:cs="Arial"/>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1B4C2352" w14:textId="2C89B9FE" w:rsidR="007028C0" w:rsidRDefault="007028C0" w:rsidP="0062446B">
      <w:pPr>
        <w:ind w:left="-5" w:right="378"/>
        <w:rPr>
          <w:color w:val="000000"/>
        </w:rPr>
      </w:pPr>
    </w:p>
    <w:p w14:paraId="75FF7DE2" w14:textId="24D3AB2C" w:rsidR="00487E9F" w:rsidRDefault="006B6C18" w:rsidP="00F146A1">
      <w:pPr>
        <w:pStyle w:val="default0"/>
        <w:rPr>
          <w:rStyle w:val="BoxText"/>
          <w:rFonts w:asciiTheme="minorHAnsi" w:hAnsiTheme="minorHAnsi" w:cs="Arial"/>
          <w:b w:val="0"/>
          <w:sz w:val="24"/>
        </w:rPr>
      </w:pPr>
      <w:r w:rsidRPr="006B6C18">
        <w:rPr>
          <w:rStyle w:val="BoxText"/>
          <w:rFonts w:ascii="Tahoma" w:hAnsi="Tahoma" w:cs="Tahoma"/>
          <w:sz w:val="22"/>
          <w:szCs w:val="22"/>
        </w:rPr>
        <w:t>Energy Assurance with Energy-Constrained Resources</w:t>
      </w:r>
    </w:p>
    <w:p w14:paraId="2C5AFBF9" w14:textId="5288795B" w:rsidR="00CD426E" w:rsidRDefault="00FB0AFF" w:rsidP="00CD426E">
      <w:r>
        <w:t>Energy assurance is an increasingly important aspect of a reliable Bulk Electric System (BES)</w:t>
      </w:r>
      <w:r w:rsidR="00E64816">
        <w:t>,</w:t>
      </w:r>
      <w:r>
        <w:t xml:space="preserve"> but has been inconsistently defined and measured without explicit standards</w:t>
      </w:r>
      <w:r w:rsidR="001713FA">
        <w:t>. The project scope will address</w:t>
      </w:r>
      <w:r w:rsidR="001713FA" w:rsidRPr="001713FA">
        <w:t xml:space="preserve"> </w:t>
      </w:r>
      <w:r w:rsidR="001713FA">
        <w:t>several energy assurance concerns related to the operations, operations planning, and mid- to long-term planning time horizons which</w:t>
      </w:r>
      <w:r w:rsidR="00CD426E">
        <w:t xml:space="preserve"> </w:t>
      </w:r>
      <w:proofErr w:type="gramStart"/>
      <w:r w:rsidR="00CD426E">
        <w:t>was first identified</w:t>
      </w:r>
      <w:proofErr w:type="gramEnd"/>
      <w:r w:rsidR="00CD426E">
        <w:t xml:space="preserve"> in the NERC white paper entitled </w:t>
      </w:r>
      <w:r w:rsidR="00CD426E" w:rsidRPr="008E1242">
        <w:rPr>
          <w:i/>
        </w:rPr>
        <w:t>Ensuring Energy Adequacy with Energy-Constrained Resources</w:t>
      </w:r>
      <w:r w:rsidR="00CD426E" w:rsidRPr="008E1242">
        <w:rPr>
          <w:vertAlign w:val="superscript"/>
        </w:rPr>
        <w:footnoteReference w:id="1"/>
      </w:r>
      <w:r w:rsidR="001713FA">
        <w:t xml:space="preserve">. </w:t>
      </w:r>
    </w:p>
    <w:p w14:paraId="3EDA1FF3" w14:textId="4BBC1261" w:rsidR="00C643E9" w:rsidRDefault="00C643E9" w:rsidP="00CD426E"/>
    <w:p w14:paraId="3F58702B" w14:textId="2AC015F7" w:rsidR="00C643E9" w:rsidRPr="00663F4B" w:rsidRDefault="00C643E9" w:rsidP="00C643E9">
      <w:pPr>
        <w:rPr>
          <w:rFonts w:ascii="Calibri" w:hAnsi="Calibri"/>
        </w:rPr>
      </w:pPr>
      <w:r>
        <w:t>This project will enhance reliability by requiring entities to perform energy reliability assessments to evaluate energy assurance and develop Corrective Action Plan(s) to address identified risks. Energy reliability assessments evaluate energy assurance across the operations time horizons by analyzing the expected resource mix availability (flexibility) and the expected availability of fuel during the study period.</w:t>
      </w:r>
    </w:p>
    <w:p w14:paraId="5847B2E1" w14:textId="77777777" w:rsidR="0057151A" w:rsidRDefault="0057151A" w:rsidP="0057151A">
      <w:pPr>
        <w:shd w:val="clear" w:color="auto" w:fill="FFFFFF"/>
        <w:ind w:left="1" w:right="2"/>
        <w:rPr>
          <w:rFonts w:cs="Tahoma"/>
          <w:b/>
          <w:bCs/>
          <w:color w:val="000000"/>
        </w:rPr>
      </w:pPr>
    </w:p>
    <w:p w14:paraId="495658F3" w14:textId="4CED32D5" w:rsidR="00F146A1" w:rsidRDefault="00F146A1" w:rsidP="0057151A">
      <w:pPr>
        <w:shd w:val="clear" w:color="auto" w:fill="FFFFFF"/>
        <w:ind w:left="1" w:right="2"/>
      </w:pPr>
      <w:r w:rsidRPr="00C14C3D">
        <w:t xml:space="preserve">Today, </w:t>
      </w:r>
      <w:r>
        <w:t>the transition</w:t>
      </w:r>
      <w:r w:rsidRPr="00C14C3D">
        <w:t xml:space="preserve"> from coal and nuclear </w:t>
      </w:r>
      <w:r>
        <w:t>generation</w:t>
      </w:r>
      <w:r w:rsidRPr="00C14C3D">
        <w:t xml:space="preserve"> to wind, solar, natural gas (with and without oil back up)</w:t>
      </w:r>
      <w:r>
        <w:t xml:space="preserve">, distributed energy resources, </w:t>
      </w:r>
      <w:r w:rsidRPr="00C14C3D">
        <w:t xml:space="preserve">and hybrid (renewables plus energy storage) resources </w:t>
      </w:r>
      <w:r>
        <w:t xml:space="preserve">is </w:t>
      </w:r>
      <w:r w:rsidRPr="00C14C3D">
        <w:t>creat</w:t>
      </w:r>
      <w:r>
        <w:t>ing</w:t>
      </w:r>
      <w:r w:rsidRPr="00C14C3D">
        <w:t xml:space="preserve"> a more complex scenario</w:t>
      </w:r>
      <w:r>
        <w:t xml:space="preserve"> and highlighting the need for</w:t>
      </w:r>
      <w:r w:rsidRPr="00C14C3D">
        <w:t xml:space="preserve"> energy assurance. Installed generating capacity analysis alone is not sufficient to ensure a reliable supply of energy </w:t>
      </w:r>
      <w:r>
        <w:t>for</w:t>
      </w:r>
      <w:r w:rsidRPr="00C14C3D">
        <w:t xml:space="preserve"> the BES. </w:t>
      </w:r>
      <w:r>
        <w:t>The proliferation of</w:t>
      </w:r>
      <w:r w:rsidRPr="0094300B">
        <w:t xml:space="preserve"> intermittent renewable generation</w:t>
      </w:r>
      <w:r w:rsidRPr="00A85420">
        <w:t xml:space="preserve"> </w:t>
      </w:r>
      <w:r>
        <w:t xml:space="preserve">in the resource mix </w:t>
      </w:r>
      <w:r w:rsidRPr="0094300B">
        <w:t>increas</w:t>
      </w:r>
      <w:r>
        <w:t>es</w:t>
      </w:r>
      <w:r w:rsidRPr="0094300B">
        <w:t xml:space="preserve"> the importance of </w:t>
      </w:r>
      <w:r>
        <w:t>having precisely controllable</w:t>
      </w:r>
      <w:r w:rsidRPr="0094300B">
        <w:t xml:space="preserve"> resources with sufficient fuel available</w:t>
      </w:r>
      <w:r>
        <w:t>,</w:t>
      </w:r>
      <w:r w:rsidRPr="0094300B">
        <w:t xml:space="preserve"> </w:t>
      </w:r>
      <w:r>
        <w:t xml:space="preserve">ready </w:t>
      </w:r>
      <w:r w:rsidRPr="0094300B">
        <w:t>to respond when needed.</w:t>
      </w:r>
      <w:r>
        <w:t xml:space="preserve"> The increasing prevalence of distribution-level resources and flexible load programs introduces added volatility into energy forecasts, further complicating operations energy reliability assessments. </w:t>
      </w:r>
    </w:p>
    <w:p w14:paraId="79954E2E" w14:textId="3BE85D27" w:rsidR="00F146A1" w:rsidRDefault="00F146A1" w:rsidP="0071489C">
      <w:pPr>
        <w:shd w:val="clear" w:color="auto" w:fill="FFFFFF"/>
        <w:ind w:right="2"/>
        <w:rPr>
          <w:rFonts w:cs="Tahoma"/>
          <w:b/>
          <w:bCs/>
          <w:color w:val="000000"/>
        </w:rPr>
      </w:pPr>
    </w:p>
    <w:p w14:paraId="41B8BD16" w14:textId="77777777" w:rsidR="003E4AEF" w:rsidRDefault="003E4AEF" w:rsidP="0057151A">
      <w:pPr>
        <w:shd w:val="clear" w:color="auto" w:fill="FFFFFF"/>
        <w:ind w:left="1" w:right="2"/>
        <w:rPr>
          <w:rFonts w:cs="Tahoma"/>
          <w:b/>
          <w:bCs/>
          <w:color w:val="000000"/>
        </w:rPr>
      </w:pPr>
    </w:p>
    <w:p w14:paraId="7B3BF2D3" w14:textId="614C2873" w:rsidR="0057151A" w:rsidRPr="00476B91" w:rsidRDefault="0057151A" w:rsidP="0057151A">
      <w:pPr>
        <w:shd w:val="clear" w:color="auto" w:fill="FFFFFF"/>
        <w:ind w:left="1" w:right="2"/>
      </w:pPr>
      <w:r w:rsidRPr="00833311">
        <w:rPr>
          <w:rFonts w:cs="Tahoma"/>
          <w:b/>
          <w:bCs/>
          <w:color w:val="000000"/>
        </w:rPr>
        <w:lastRenderedPageBreak/>
        <w:t>Standard</w:t>
      </w:r>
      <w:r>
        <w:rPr>
          <w:rFonts w:cs="Tahoma"/>
          <w:b/>
          <w:bCs/>
          <w:color w:val="000000"/>
        </w:rPr>
        <w:t>(</w:t>
      </w:r>
      <w:r w:rsidRPr="00833311">
        <w:rPr>
          <w:rFonts w:cs="Tahoma"/>
          <w:b/>
          <w:bCs/>
          <w:color w:val="000000"/>
        </w:rPr>
        <w:t>s</w:t>
      </w:r>
      <w:r>
        <w:rPr>
          <w:rFonts w:cs="Tahoma"/>
          <w:b/>
          <w:bCs/>
          <w:color w:val="000000"/>
        </w:rPr>
        <w:t>)</w:t>
      </w:r>
      <w:r w:rsidRPr="00833311">
        <w:rPr>
          <w:rFonts w:cs="Tahoma"/>
          <w:b/>
          <w:bCs/>
          <w:color w:val="000000"/>
        </w:rPr>
        <w:t xml:space="preserve"> </w:t>
      </w:r>
      <w:proofErr w:type="gramStart"/>
      <w:r w:rsidRPr="00833311">
        <w:rPr>
          <w:rFonts w:cs="Tahoma"/>
          <w:b/>
          <w:bCs/>
          <w:color w:val="000000"/>
        </w:rPr>
        <w:t>affected:</w:t>
      </w:r>
      <w:proofErr w:type="gramEnd"/>
      <w:r w:rsidRPr="00476B91">
        <w:rPr>
          <w:rFonts w:cs="Tahoma"/>
          <w:b/>
          <w:bCs/>
          <w:color w:val="000000"/>
        </w:rPr>
        <w:t xml:space="preserve"> </w:t>
      </w:r>
      <w:r w:rsidR="00D6564F">
        <w:rPr>
          <w:rFonts w:cs="Tahoma"/>
          <w:b/>
          <w:bCs/>
          <w:color w:val="000000"/>
        </w:rPr>
        <w:t>TPL-001-5.1</w:t>
      </w:r>
      <w:r w:rsidR="00EB5258">
        <w:rPr>
          <w:rFonts w:cs="Tahoma"/>
          <w:b/>
          <w:bCs/>
          <w:color w:val="000000"/>
        </w:rPr>
        <w:t xml:space="preserve">, EOP, and TOP </w:t>
      </w:r>
    </w:p>
    <w:p w14:paraId="5A05FA11" w14:textId="3495C0F6" w:rsidR="00B96724" w:rsidRDefault="00346B9A" w:rsidP="0071489C">
      <w:pPr>
        <w:ind w:right="378"/>
        <w:rPr>
          <w:color w:val="000000"/>
        </w:rPr>
      </w:pPr>
      <w:r w:rsidRPr="00346B9A">
        <w:t xml:space="preserve">Coordinate with the </w:t>
      </w:r>
      <w:r w:rsidRPr="00346B9A">
        <w:rPr>
          <w:i/>
        </w:rPr>
        <w:t>Project 2021-07 Extreme Cold Weather Grid Operations, Preparedness, and Coordination</w:t>
      </w:r>
      <w:r w:rsidRPr="00346B9A">
        <w:t xml:space="preserve"> drafting team to minimize duplication of efforts and ensure that non-conflicting requirements </w:t>
      </w:r>
      <w:proofErr w:type="gramStart"/>
      <w:r w:rsidRPr="00346B9A">
        <w:t>are developed</w:t>
      </w:r>
      <w:proofErr w:type="gramEnd"/>
      <w:r w:rsidRPr="00346B9A">
        <w:t xml:space="preserve"> specifically in the TPL, EOP and TOP Standards.</w:t>
      </w:r>
      <w:r w:rsidR="00D6564F">
        <w:t xml:space="preserve"> </w:t>
      </w:r>
    </w:p>
    <w:p w14:paraId="336B4F6C" w14:textId="77777777" w:rsidR="0057151A" w:rsidRDefault="0057151A" w:rsidP="00487E9F">
      <w:pPr>
        <w:ind w:left="-5" w:right="378"/>
        <w:rPr>
          <w:color w:val="000000"/>
        </w:rPr>
      </w:pPr>
    </w:p>
    <w:p w14:paraId="39F249D6" w14:textId="77777777" w:rsidR="00EB5258" w:rsidRDefault="00487E9F" w:rsidP="00487E9F">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proofErr w:type="gramStart"/>
      <w:r w:rsidR="00972C26">
        <w:rPr>
          <w:color w:val="000000"/>
        </w:rPr>
        <w:t>will be expected</w:t>
      </w:r>
      <w:proofErr w:type="gramEnd"/>
      <w:r w:rsidR="00972C26">
        <w:rPr>
          <w:color w:val="000000"/>
        </w:rPr>
        <w:t xml:space="preserve">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r w:rsidR="00D6564F">
        <w:rPr>
          <w:color w:val="000000"/>
        </w:rPr>
        <w:t xml:space="preserve"> </w:t>
      </w:r>
    </w:p>
    <w:p w14:paraId="23AB2D38" w14:textId="77777777" w:rsidR="00EB5258" w:rsidRDefault="00EB5258" w:rsidP="00487E9F">
      <w:pPr>
        <w:ind w:left="-5" w:right="378"/>
        <w:rPr>
          <w:color w:val="000000"/>
        </w:rPr>
      </w:pPr>
    </w:p>
    <w:p w14:paraId="02A7DAB7" w14:textId="7D344D9A" w:rsidR="00DB6D7B" w:rsidRDefault="0071489C" w:rsidP="00DB6D7B">
      <w:pPr>
        <w:ind w:left="-5" w:right="378"/>
        <w:rPr>
          <w:color w:val="000000"/>
        </w:rPr>
      </w:pPr>
      <w:proofErr w:type="gramStart"/>
      <w:r>
        <w:rPr>
          <w:color w:val="000000"/>
        </w:rPr>
        <w:t xml:space="preserve">This drafting team will address </w:t>
      </w:r>
      <w:r w:rsidR="005C6A4D">
        <w:rPr>
          <w:color w:val="000000"/>
        </w:rPr>
        <w:t>both SARs either</w:t>
      </w:r>
      <w:proofErr w:type="gramEnd"/>
      <w:r w:rsidR="005C6A4D">
        <w:rPr>
          <w:color w:val="000000"/>
        </w:rPr>
        <w:t xml:space="preserve"> concurrently or simultaneously</w:t>
      </w:r>
      <w:r w:rsidR="00DB2B8D">
        <w:rPr>
          <w:color w:val="000000"/>
        </w:rPr>
        <w:t>;</w:t>
      </w:r>
      <w:r w:rsidR="005C6A4D">
        <w:rPr>
          <w:color w:val="000000"/>
        </w:rPr>
        <w:t xml:space="preserve"> therefore</w:t>
      </w:r>
      <w:r w:rsidR="00DB2B8D">
        <w:rPr>
          <w:color w:val="000000"/>
        </w:rPr>
        <w:t>,</w:t>
      </w:r>
      <w:r>
        <w:rPr>
          <w:color w:val="000000"/>
        </w:rPr>
        <w:t xml:space="preserve"> </w:t>
      </w:r>
      <w:r w:rsidR="00D6564F" w:rsidRPr="001C246A">
        <w:rPr>
          <w:color w:val="000000"/>
        </w:rPr>
        <w:t>NERC is seeking individuals w</w:t>
      </w:r>
      <w:r w:rsidR="00EB5258">
        <w:rPr>
          <w:color w:val="000000"/>
        </w:rPr>
        <w:t>ho posses</w:t>
      </w:r>
      <w:r w:rsidR="00DB2B8D">
        <w:rPr>
          <w:color w:val="000000"/>
        </w:rPr>
        <w:t>s</w:t>
      </w:r>
      <w:r w:rsidR="00EB5258">
        <w:rPr>
          <w:color w:val="000000"/>
        </w:rPr>
        <w:t xml:space="preserve"> experience</w:t>
      </w:r>
      <w:r w:rsidR="00D6564F" w:rsidRPr="001C246A">
        <w:rPr>
          <w:color w:val="000000"/>
        </w:rPr>
        <w:t xml:space="preserve"> </w:t>
      </w:r>
      <w:r>
        <w:rPr>
          <w:color w:val="000000"/>
        </w:rPr>
        <w:t>in the following areas:</w:t>
      </w:r>
    </w:p>
    <w:p w14:paraId="68423A9D" w14:textId="2AB2F694" w:rsidR="00DB6D7B" w:rsidRDefault="00DB6D7B" w:rsidP="009D1FCC">
      <w:pPr>
        <w:pStyle w:val="ListParagraph"/>
        <w:numPr>
          <w:ilvl w:val="0"/>
          <w:numId w:val="24"/>
        </w:numPr>
        <w:spacing w:before="120"/>
        <w:ind w:left="720" w:right="374"/>
        <w:rPr>
          <w:color w:val="000000"/>
          <w:sz w:val="24"/>
          <w:szCs w:val="24"/>
        </w:rPr>
      </w:pPr>
      <w:r w:rsidRPr="00DF628D">
        <w:rPr>
          <w:color w:val="000000"/>
          <w:sz w:val="24"/>
          <w:szCs w:val="24"/>
        </w:rPr>
        <w:t>Developing and implementing corrective action plans in relation to energy availability</w:t>
      </w:r>
      <w:r w:rsidR="006258A8">
        <w:rPr>
          <w:color w:val="000000"/>
          <w:sz w:val="24"/>
          <w:szCs w:val="24"/>
        </w:rPr>
        <w:t>;</w:t>
      </w:r>
      <w:r w:rsidRPr="00DF628D">
        <w:rPr>
          <w:color w:val="000000"/>
          <w:sz w:val="24"/>
          <w:szCs w:val="24"/>
        </w:rPr>
        <w:t xml:space="preserve"> </w:t>
      </w:r>
    </w:p>
    <w:p w14:paraId="736D4BF6" w14:textId="1B5845C0" w:rsidR="00DF628D" w:rsidRDefault="00DF628D" w:rsidP="009D1FCC">
      <w:pPr>
        <w:pStyle w:val="ListParagraph"/>
        <w:numPr>
          <w:ilvl w:val="0"/>
          <w:numId w:val="24"/>
        </w:numPr>
        <w:spacing w:before="120"/>
        <w:ind w:left="720" w:right="374"/>
        <w:rPr>
          <w:color w:val="000000"/>
          <w:sz w:val="24"/>
          <w:szCs w:val="24"/>
        </w:rPr>
      </w:pPr>
      <w:r w:rsidRPr="00DF628D">
        <w:rPr>
          <w:color w:val="000000"/>
          <w:sz w:val="24"/>
          <w:szCs w:val="24"/>
        </w:rPr>
        <w:t>Developing or implementing Balancing Authority operating plans</w:t>
      </w:r>
      <w:r w:rsidR="006258A8">
        <w:rPr>
          <w:color w:val="000000"/>
          <w:sz w:val="24"/>
          <w:szCs w:val="24"/>
        </w:rPr>
        <w:t>;</w:t>
      </w:r>
    </w:p>
    <w:p w14:paraId="5E6D6860" w14:textId="6DABA459" w:rsidR="00DB6D7B" w:rsidRDefault="00D6564F" w:rsidP="009D1FCC">
      <w:pPr>
        <w:pStyle w:val="ListParagraph"/>
        <w:numPr>
          <w:ilvl w:val="0"/>
          <w:numId w:val="24"/>
        </w:numPr>
        <w:spacing w:before="120"/>
        <w:ind w:left="720" w:right="374"/>
        <w:rPr>
          <w:color w:val="000000"/>
          <w:sz w:val="24"/>
          <w:szCs w:val="24"/>
        </w:rPr>
      </w:pPr>
      <w:r w:rsidRPr="00DF628D">
        <w:rPr>
          <w:color w:val="000000"/>
          <w:sz w:val="24"/>
          <w:szCs w:val="24"/>
        </w:rPr>
        <w:t>Planning and Reliability Coordination</w:t>
      </w:r>
      <w:r w:rsidR="006258A8">
        <w:rPr>
          <w:color w:val="000000"/>
          <w:sz w:val="24"/>
          <w:szCs w:val="24"/>
        </w:rPr>
        <w:t>;</w:t>
      </w:r>
    </w:p>
    <w:p w14:paraId="332EEFE2" w14:textId="1676EA26" w:rsidR="006258A8" w:rsidRDefault="00DF628D" w:rsidP="009D1FCC">
      <w:pPr>
        <w:pStyle w:val="ListParagraph"/>
        <w:numPr>
          <w:ilvl w:val="0"/>
          <w:numId w:val="24"/>
        </w:numPr>
        <w:spacing w:before="120"/>
        <w:ind w:left="720" w:right="374"/>
        <w:rPr>
          <w:color w:val="000000"/>
          <w:sz w:val="24"/>
          <w:szCs w:val="24"/>
        </w:rPr>
      </w:pPr>
      <w:r w:rsidRPr="1676EA26">
        <w:rPr>
          <w:color w:val="000000"/>
          <w:sz w:val="24"/>
          <w:szCs w:val="24"/>
        </w:rPr>
        <w:t>Near-Term and Long-Term Tran</w:t>
      </w:r>
      <w:r w:rsidR="1676EA26" w:rsidRPr="1676EA26">
        <w:rPr>
          <w:color w:val="000000"/>
          <w:sz w:val="24"/>
          <w:szCs w:val="24"/>
        </w:rPr>
        <w:t>s</w:t>
      </w:r>
      <w:r w:rsidRPr="1676EA26">
        <w:rPr>
          <w:color w:val="000000"/>
          <w:sz w:val="24"/>
          <w:szCs w:val="24"/>
        </w:rPr>
        <w:t>mission Planning</w:t>
      </w:r>
      <w:r w:rsidR="006258A8">
        <w:rPr>
          <w:color w:val="000000"/>
          <w:sz w:val="24"/>
          <w:szCs w:val="24"/>
        </w:rPr>
        <w:t>;</w:t>
      </w:r>
    </w:p>
    <w:p w14:paraId="455E5A9E" w14:textId="6E80CA65" w:rsidR="00DB6D7B" w:rsidRPr="009D1FCC" w:rsidRDefault="00D6564F" w:rsidP="009D1FCC">
      <w:pPr>
        <w:pStyle w:val="ListParagraph"/>
        <w:numPr>
          <w:ilvl w:val="0"/>
          <w:numId w:val="25"/>
        </w:numPr>
        <w:spacing w:before="120"/>
        <w:ind w:right="374"/>
        <w:rPr>
          <w:color w:val="000000"/>
        </w:rPr>
      </w:pPr>
      <w:r w:rsidRPr="009D1FCC">
        <w:rPr>
          <w:color w:val="000000"/>
        </w:rPr>
        <w:t xml:space="preserve">Transmission </w:t>
      </w:r>
      <w:r w:rsidR="00DF628D" w:rsidRPr="009D1FCC">
        <w:rPr>
          <w:color w:val="000000"/>
        </w:rPr>
        <w:t>and Generatio</w:t>
      </w:r>
      <w:r w:rsidR="006258A8" w:rsidRPr="009D1FCC">
        <w:rPr>
          <w:color w:val="000000"/>
        </w:rPr>
        <w:t>n O</w:t>
      </w:r>
      <w:r w:rsidR="00DF628D" w:rsidRPr="009D1FCC">
        <w:rPr>
          <w:color w:val="000000"/>
        </w:rPr>
        <w:t>perations</w:t>
      </w:r>
      <w:r w:rsidR="006258A8" w:rsidRPr="009D1FCC">
        <w:rPr>
          <w:color w:val="000000"/>
        </w:rPr>
        <w:t>;</w:t>
      </w:r>
    </w:p>
    <w:p w14:paraId="1C381FB5" w14:textId="2722F29D" w:rsidR="00487E9F" w:rsidRDefault="00DF628D" w:rsidP="009D1FCC">
      <w:pPr>
        <w:pStyle w:val="ListParagraph"/>
        <w:numPr>
          <w:ilvl w:val="0"/>
          <w:numId w:val="24"/>
        </w:numPr>
        <w:spacing w:before="120"/>
        <w:ind w:left="720" w:right="374"/>
        <w:rPr>
          <w:color w:val="000000"/>
          <w:sz w:val="24"/>
          <w:szCs w:val="24"/>
        </w:rPr>
      </w:pPr>
      <w:r w:rsidRPr="00DF628D">
        <w:rPr>
          <w:color w:val="000000"/>
          <w:sz w:val="24"/>
          <w:szCs w:val="24"/>
        </w:rPr>
        <w:t>F</w:t>
      </w:r>
      <w:r w:rsidR="00D6564F" w:rsidRPr="00DF628D">
        <w:rPr>
          <w:color w:val="000000"/>
          <w:sz w:val="24"/>
          <w:szCs w:val="24"/>
        </w:rPr>
        <w:t>amiliar</w:t>
      </w:r>
      <w:r w:rsidR="006258A8">
        <w:rPr>
          <w:color w:val="000000"/>
          <w:sz w:val="24"/>
          <w:szCs w:val="24"/>
        </w:rPr>
        <w:t>ity</w:t>
      </w:r>
      <w:r w:rsidRPr="00DF628D">
        <w:rPr>
          <w:color w:val="000000"/>
          <w:sz w:val="24"/>
          <w:szCs w:val="24"/>
        </w:rPr>
        <w:t xml:space="preserve"> </w:t>
      </w:r>
      <w:r w:rsidR="00D6564F" w:rsidRPr="00DF628D">
        <w:rPr>
          <w:color w:val="000000"/>
          <w:sz w:val="24"/>
          <w:szCs w:val="24"/>
        </w:rPr>
        <w:t xml:space="preserve">with NERC Standard </w:t>
      </w:r>
      <w:r w:rsidRPr="00DF628D">
        <w:rPr>
          <w:color w:val="000000"/>
          <w:sz w:val="24"/>
          <w:szCs w:val="24"/>
        </w:rPr>
        <w:t>TPL-001-5</w:t>
      </w:r>
      <w:r w:rsidR="006258A8">
        <w:rPr>
          <w:color w:val="000000"/>
          <w:sz w:val="24"/>
          <w:szCs w:val="24"/>
        </w:rPr>
        <w:t>;</w:t>
      </w:r>
    </w:p>
    <w:p w14:paraId="0668FADE" w14:textId="373E19F7" w:rsidR="00DF628D" w:rsidRPr="00DF628D" w:rsidRDefault="00DF628D" w:rsidP="009D1FCC">
      <w:pPr>
        <w:pStyle w:val="ListParagraph"/>
        <w:numPr>
          <w:ilvl w:val="0"/>
          <w:numId w:val="24"/>
        </w:numPr>
        <w:spacing w:before="120"/>
        <w:ind w:left="720" w:right="374"/>
        <w:rPr>
          <w:color w:val="000000"/>
          <w:sz w:val="24"/>
          <w:szCs w:val="24"/>
        </w:rPr>
      </w:pPr>
      <w:r>
        <w:rPr>
          <w:color w:val="000000"/>
          <w:sz w:val="24"/>
          <w:szCs w:val="24"/>
        </w:rPr>
        <w:t>Other tasks f</w:t>
      </w:r>
      <w:r w:rsidR="006258A8">
        <w:rPr>
          <w:color w:val="000000"/>
          <w:sz w:val="24"/>
          <w:szCs w:val="24"/>
        </w:rPr>
        <w:t xml:space="preserve">or the </w:t>
      </w:r>
      <w:r>
        <w:rPr>
          <w:color w:val="000000"/>
          <w:sz w:val="24"/>
          <w:szCs w:val="24"/>
        </w:rPr>
        <w:t xml:space="preserve">planning and operation </w:t>
      </w:r>
      <w:r w:rsidR="006258A8">
        <w:rPr>
          <w:color w:val="000000"/>
          <w:sz w:val="24"/>
          <w:szCs w:val="24"/>
        </w:rPr>
        <w:t>of energy reliability assessments.</w:t>
      </w:r>
    </w:p>
    <w:p w14:paraId="4338962C" w14:textId="256025D7" w:rsidR="00260BED" w:rsidRPr="006258A8" w:rsidRDefault="00260BED" w:rsidP="006258A8">
      <w:pPr>
        <w:autoSpaceDE w:val="0"/>
        <w:autoSpaceDN w:val="0"/>
        <w:spacing w:before="40" w:after="40"/>
        <w:rPr>
          <w:rFonts w:cs="Arial"/>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88D5B32"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006708E3">
              <w:rPr>
                <w:rFonts w:cs="Arial"/>
              </w:rPr>
            </w:r>
            <w:r w:rsidR="006708E3">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6708E3">
              <w:rPr>
                <w:rFonts w:cs="Arial"/>
              </w:rPr>
            </w:r>
            <w:r w:rsidR="006708E3">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6708E3">
              <w:rPr>
                <w:rFonts w:cs="Arial"/>
              </w:rPr>
            </w:r>
            <w:r w:rsidR="006708E3">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6708E3">
              <w:rPr>
                <w:rFonts w:cs="Arial"/>
              </w:rPr>
            </w:r>
            <w:r w:rsidR="006708E3">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 xml:space="preserve">Acknowledgement </w:t>
            </w:r>
            <w:proofErr w:type="gramStart"/>
            <w:r w:rsidRPr="00726A02">
              <w:rPr>
                <w:rFonts w:cstheme="minorHAnsi"/>
                <w:b/>
                <w:bCs/>
              </w:rPr>
              <w:t>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roofErr w:type="gramEnd"/>
            <w:r w:rsidRPr="00726A02">
              <w:rPr>
                <w:rFonts w:cstheme="minorHAnsi"/>
                <w:b/>
                <w:bCs/>
              </w:rPr>
              <w:t>.</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6708E3">
              <w:rPr>
                <w:rFonts w:cs="Arial"/>
              </w:rPr>
            </w:r>
            <w:r w:rsidR="006708E3">
              <w:rPr>
                <w:rFonts w:cs="Arial"/>
              </w:rPr>
              <w:fldChar w:fldCharType="separate"/>
            </w:r>
            <w:r w:rsidRPr="00193AE7">
              <w:rPr>
                <w:rFonts w:cs="Arial"/>
              </w:rPr>
              <w:fldChar w:fldCharType="end"/>
            </w:r>
            <w:r w:rsidRPr="00193AE7">
              <w:rPr>
                <w:rFonts w:cs="Arial"/>
              </w:rPr>
              <w:t xml:space="preserve"> </w:t>
            </w:r>
            <w:proofErr w:type="gramStart"/>
            <w:r w:rsidRPr="00726A02">
              <w:rPr>
                <w:rFonts w:cstheme="minorHAnsi"/>
              </w:rPr>
              <w:t>Yes, the nominee has read and understands these documents</w:t>
            </w:r>
            <w:r>
              <w:rPr>
                <w:rFonts w:cs="Arial"/>
              </w:rPr>
              <w:t>.</w:t>
            </w:r>
            <w:proofErr w:type="gramEnd"/>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6708E3">
              <w:rPr>
                <w:rStyle w:val="BoxText"/>
                <w:rFonts w:asciiTheme="minorHAnsi" w:hAnsiTheme="minorHAnsi"/>
                <w:b w:val="0"/>
                <w:sz w:val="24"/>
              </w:rPr>
            </w:r>
            <w:r w:rsidR="006708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6708E3">
              <w:rPr>
                <w:rStyle w:val="BoxText"/>
                <w:rFonts w:asciiTheme="minorHAnsi" w:hAnsiTheme="minorHAnsi"/>
                <w:b w:val="0"/>
                <w:sz w:val="24"/>
              </w:rPr>
            </w:r>
            <w:r w:rsidR="006708E3">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6708E3">
              <w:rPr>
                <w:rStyle w:val="BoxText"/>
                <w:rFonts w:asciiTheme="minorHAnsi" w:hAnsiTheme="minorHAnsi"/>
                <w:b w:val="0"/>
                <w:sz w:val="24"/>
              </w:rPr>
            </w:r>
            <w:r w:rsidR="006708E3">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6708E3">
              <w:rPr>
                <w:rStyle w:val="BoxText"/>
                <w:rFonts w:asciiTheme="minorHAnsi" w:hAnsiTheme="minorHAnsi"/>
                <w:b w:val="0"/>
                <w:sz w:val="24"/>
              </w:rPr>
            </w:r>
            <w:r w:rsidR="006708E3">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6708E3">
              <w:rPr>
                <w:rStyle w:val="BoxText"/>
                <w:rFonts w:asciiTheme="minorHAnsi" w:hAnsiTheme="minorHAnsi"/>
                <w:b w:val="0"/>
                <w:sz w:val="24"/>
              </w:rPr>
            </w:r>
            <w:r w:rsidR="006708E3">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6708E3">
              <w:rPr>
                <w:rStyle w:val="BoxText"/>
                <w:rFonts w:asciiTheme="minorHAnsi" w:hAnsiTheme="minorHAnsi"/>
                <w:b w:val="0"/>
                <w:sz w:val="24"/>
              </w:rPr>
            </w:r>
            <w:r w:rsidR="006708E3">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6708E3">
              <w:rPr>
                <w:rFonts w:cs="Arial"/>
              </w:rPr>
            </w:r>
            <w:r w:rsidR="006708E3">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6708E3">
              <w:rPr>
                <w:rFonts w:ascii="Verdana" w:hAnsi="Verdana" w:cs="Arial"/>
              </w:rPr>
            </w:r>
            <w:r w:rsidR="006708E3">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6708E3">
              <w:rPr>
                <w:rStyle w:val="BoxText"/>
                <w:rFonts w:ascii="Verdana" w:hAnsi="Verdana"/>
                <w:b w:val="0"/>
                <w:sz w:val="24"/>
              </w:rPr>
            </w:r>
            <w:r w:rsidR="006708E3">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6708E3">
              <w:rPr>
                <w:rStyle w:val="BoxText"/>
                <w:rFonts w:asciiTheme="minorHAnsi" w:hAnsiTheme="minorHAnsi" w:cs="Arial"/>
                <w:b w:val="0"/>
                <w:sz w:val="24"/>
              </w:rPr>
            </w:r>
            <w:r w:rsidR="006708E3">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01F0437E"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959E055"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893E9D">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893E9D">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893E9D">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893E9D">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893E9D">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B40E27">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896A8" w14:textId="77777777" w:rsidR="00542197" w:rsidRDefault="00542197">
      <w:r>
        <w:separator/>
      </w:r>
    </w:p>
  </w:endnote>
  <w:endnote w:type="continuationSeparator" w:id="0">
    <w:p w14:paraId="433896A9" w14:textId="77777777" w:rsidR="00542197" w:rsidRDefault="005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4F695BE1" w:rsidR="00542197" w:rsidRPr="00855BA8" w:rsidRDefault="00542197" w:rsidP="0002368A">
    <w:pPr>
      <w:pStyle w:val="Footer"/>
      <w:tabs>
        <w:tab w:val="clear" w:pos="10354"/>
        <w:tab w:val="right" w:pos="10350"/>
      </w:tabs>
      <w:ind w:left="0" w:right="18"/>
    </w:pPr>
    <w:r>
      <w:t>Unofficial Nomination Form</w:t>
    </w:r>
    <w:r>
      <w:br/>
    </w:r>
    <w:r w:rsidR="0004606C">
      <w:t>Project 2022-03</w:t>
    </w:r>
    <w:r w:rsidR="006258A8">
      <w:t xml:space="preserve"> Energy Assurance with Energy-Constrained Resources</w:t>
    </w:r>
    <w:r w:rsidRPr="00833311">
      <w:t xml:space="preserve"> | </w:t>
    </w:r>
    <w:r w:rsidR="006258A8">
      <w:t>June 2022</w:t>
    </w:r>
    <w:r>
      <w:tab/>
    </w:r>
    <w:r>
      <w:fldChar w:fldCharType="begin"/>
    </w:r>
    <w:r>
      <w:instrText xml:space="preserve"> PAGE </w:instrText>
    </w:r>
    <w:r>
      <w:fldChar w:fldCharType="separate"/>
    </w:r>
    <w:r w:rsidR="006708E3">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542197" w:rsidRDefault="00542197" w:rsidP="00FF620E"/>
  <w:p w14:paraId="433896AE" w14:textId="7DE8CB49" w:rsidR="00542197" w:rsidRPr="00FF620E" w:rsidRDefault="00542197"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896A6" w14:textId="77777777" w:rsidR="00542197" w:rsidRDefault="00542197">
      <w:r>
        <w:separator/>
      </w:r>
    </w:p>
  </w:footnote>
  <w:footnote w:type="continuationSeparator" w:id="0">
    <w:p w14:paraId="433896A7" w14:textId="77777777" w:rsidR="00542197" w:rsidRDefault="00542197">
      <w:r>
        <w:continuationSeparator/>
      </w:r>
    </w:p>
  </w:footnote>
  <w:footnote w:id="1">
    <w:p w14:paraId="398141B2" w14:textId="77777777" w:rsidR="00CD426E" w:rsidRDefault="00CD426E" w:rsidP="00CD426E">
      <w:pPr>
        <w:pStyle w:val="FootnoteText"/>
      </w:pPr>
      <w:r>
        <w:rPr>
          <w:rStyle w:val="FootnoteReference"/>
        </w:rPr>
        <w:footnoteRef/>
      </w:r>
      <w:hyperlink r:id="rId1" w:history="1">
        <w:proofErr w:type="spellStart"/>
        <w:r>
          <w:rPr>
            <w:rStyle w:val="Hyperlink"/>
          </w:rPr>
          <w:t>Energy_Assurance_White_Paper</w:t>
        </w:r>
        <w:proofErr w:type="spellEnd"/>
        <w:r>
          <w:rPr>
            <w:rStyle w:val="Hyperlink"/>
          </w:rPr>
          <w:t xml:space="preserve"> (nerc.com)</w:t>
        </w:r>
      </w:hyperlink>
    </w:p>
  </w:footnote>
  <w:footnote w:id="2">
    <w:p w14:paraId="433896B5" w14:textId="1EC9E9FB" w:rsidR="00542197" w:rsidRDefault="00542197" w:rsidP="00FD1345">
      <w:pPr>
        <w:pStyle w:val="FootnoteText"/>
      </w:pPr>
      <w:r>
        <w:rPr>
          <w:rStyle w:val="FootnoteReference"/>
        </w:rPr>
        <w:footnoteRef/>
      </w:r>
      <w:r>
        <w:t xml:space="preserve"> These functions </w:t>
      </w:r>
      <w:proofErr w:type="gramStart"/>
      <w:r>
        <w:t>are defined</w:t>
      </w:r>
      <w:proofErr w:type="gramEnd"/>
      <w:r>
        <w:t xml:space="preserve"> in the NERC </w:t>
      </w:r>
      <w:hyperlink r:id="rId2"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542197" w:rsidRDefault="00542197">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542197" w:rsidRDefault="00542197">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542197" w:rsidRDefault="005421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5031D5"/>
    <w:multiLevelType w:val="hybridMultilevel"/>
    <w:tmpl w:val="D4D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06863"/>
    <w:multiLevelType w:val="hybridMultilevel"/>
    <w:tmpl w:val="CE9CD1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2"/>
  </w:num>
  <w:num w:numId="4">
    <w:abstractNumId w:val="18"/>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4"/>
  </w:num>
  <w:num w:numId="18">
    <w:abstractNumId w:val="16"/>
  </w:num>
  <w:num w:numId="19">
    <w:abstractNumId w:val="11"/>
  </w:num>
  <w:num w:numId="20">
    <w:abstractNumId w:val="20"/>
  </w:num>
  <w:num w:numId="21">
    <w:abstractNumId w:val="15"/>
  </w:num>
  <w:num w:numId="22">
    <w:abstractNumId w:val="10"/>
  </w:num>
  <w:num w:numId="23">
    <w:abstractNumId w:val="24"/>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4606C"/>
    <w:rsid w:val="00047E42"/>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713FA"/>
    <w:rsid w:val="00193AE7"/>
    <w:rsid w:val="00196FDD"/>
    <w:rsid w:val="001A6FC8"/>
    <w:rsid w:val="001D47FD"/>
    <w:rsid w:val="001F52FD"/>
    <w:rsid w:val="00202BB5"/>
    <w:rsid w:val="00212AE0"/>
    <w:rsid w:val="00222203"/>
    <w:rsid w:val="00232245"/>
    <w:rsid w:val="002345A2"/>
    <w:rsid w:val="00240726"/>
    <w:rsid w:val="00257B0C"/>
    <w:rsid w:val="00260BED"/>
    <w:rsid w:val="00276BAB"/>
    <w:rsid w:val="00283FB4"/>
    <w:rsid w:val="00295E68"/>
    <w:rsid w:val="002B29E4"/>
    <w:rsid w:val="002E2423"/>
    <w:rsid w:val="002E488B"/>
    <w:rsid w:val="002F2BFE"/>
    <w:rsid w:val="00300ABD"/>
    <w:rsid w:val="003134D1"/>
    <w:rsid w:val="0034232A"/>
    <w:rsid w:val="00346B9A"/>
    <w:rsid w:val="00366A96"/>
    <w:rsid w:val="0038676B"/>
    <w:rsid w:val="0039275D"/>
    <w:rsid w:val="003E1C41"/>
    <w:rsid w:val="003E4AEF"/>
    <w:rsid w:val="0040580D"/>
    <w:rsid w:val="0041064C"/>
    <w:rsid w:val="00411D04"/>
    <w:rsid w:val="00442ED0"/>
    <w:rsid w:val="00456B99"/>
    <w:rsid w:val="004631BF"/>
    <w:rsid w:val="00467326"/>
    <w:rsid w:val="00476B91"/>
    <w:rsid w:val="004800C7"/>
    <w:rsid w:val="004859C6"/>
    <w:rsid w:val="0048765A"/>
    <w:rsid w:val="00487E9F"/>
    <w:rsid w:val="004A1B6D"/>
    <w:rsid w:val="004A60CD"/>
    <w:rsid w:val="004B2C45"/>
    <w:rsid w:val="004B7DE3"/>
    <w:rsid w:val="004D5953"/>
    <w:rsid w:val="004E7B5C"/>
    <w:rsid w:val="0050329F"/>
    <w:rsid w:val="00510652"/>
    <w:rsid w:val="005110E0"/>
    <w:rsid w:val="00520FD1"/>
    <w:rsid w:val="005316C6"/>
    <w:rsid w:val="005316F3"/>
    <w:rsid w:val="00542197"/>
    <w:rsid w:val="00547A9A"/>
    <w:rsid w:val="00555F79"/>
    <w:rsid w:val="00563006"/>
    <w:rsid w:val="00565AB5"/>
    <w:rsid w:val="0057151A"/>
    <w:rsid w:val="00573832"/>
    <w:rsid w:val="00583A5C"/>
    <w:rsid w:val="005A721A"/>
    <w:rsid w:val="005B7382"/>
    <w:rsid w:val="005C6A4D"/>
    <w:rsid w:val="005D3F72"/>
    <w:rsid w:val="005D6185"/>
    <w:rsid w:val="00614E63"/>
    <w:rsid w:val="0062446B"/>
    <w:rsid w:val="006258A8"/>
    <w:rsid w:val="00631E0B"/>
    <w:rsid w:val="00652754"/>
    <w:rsid w:val="00663305"/>
    <w:rsid w:val="00667448"/>
    <w:rsid w:val="006708E3"/>
    <w:rsid w:val="00676CFA"/>
    <w:rsid w:val="006826D0"/>
    <w:rsid w:val="00692F16"/>
    <w:rsid w:val="00694CD1"/>
    <w:rsid w:val="006A71F1"/>
    <w:rsid w:val="006B3EC7"/>
    <w:rsid w:val="006B6C18"/>
    <w:rsid w:val="006C1F78"/>
    <w:rsid w:val="006C3C30"/>
    <w:rsid w:val="006C6BAC"/>
    <w:rsid w:val="006E67B7"/>
    <w:rsid w:val="006E7855"/>
    <w:rsid w:val="006E7949"/>
    <w:rsid w:val="007028C0"/>
    <w:rsid w:val="00707018"/>
    <w:rsid w:val="0071489C"/>
    <w:rsid w:val="007254EA"/>
    <w:rsid w:val="00726A02"/>
    <w:rsid w:val="00733724"/>
    <w:rsid w:val="0074626C"/>
    <w:rsid w:val="0077020E"/>
    <w:rsid w:val="00791651"/>
    <w:rsid w:val="007C5DB6"/>
    <w:rsid w:val="007E79B4"/>
    <w:rsid w:val="0080753A"/>
    <w:rsid w:val="00816016"/>
    <w:rsid w:val="00833311"/>
    <w:rsid w:val="00855BA8"/>
    <w:rsid w:val="0086391A"/>
    <w:rsid w:val="008866E7"/>
    <w:rsid w:val="00893E9D"/>
    <w:rsid w:val="00896153"/>
    <w:rsid w:val="008A07D5"/>
    <w:rsid w:val="008A2272"/>
    <w:rsid w:val="008B0861"/>
    <w:rsid w:val="008C572D"/>
    <w:rsid w:val="008F3E6E"/>
    <w:rsid w:val="00905DC1"/>
    <w:rsid w:val="00930D3B"/>
    <w:rsid w:val="00972C26"/>
    <w:rsid w:val="00997A70"/>
    <w:rsid w:val="009A4ED6"/>
    <w:rsid w:val="009D1FCC"/>
    <w:rsid w:val="009D5288"/>
    <w:rsid w:val="009E317C"/>
    <w:rsid w:val="00A15C0A"/>
    <w:rsid w:val="00A35DA7"/>
    <w:rsid w:val="00A6738A"/>
    <w:rsid w:val="00AB4D4A"/>
    <w:rsid w:val="00AC0C35"/>
    <w:rsid w:val="00AD1865"/>
    <w:rsid w:val="00AE69EC"/>
    <w:rsid w:val="00B146D4"/>
    <w:rsid w:val="00B240FF"/>
    <w:rsid w:val="00B375B5"/>
    <w:rsid w:val="00B40E27"/>
    <w:rsid w:val="00B62A1A"/>
    <w:rsid w:val="00B86AB0"/>
    <w:rsid w:val="00B96724"/>
    <w:rsid w:val="00BA295D"/>
    <w:rsid w:val="00BA34E0"/>
    <w:rsid w:val="00BB3014"/>
    <w:rsid w:val="00BE0D48"/>
    <w:rsid w:val="00BE5580"/>
    <w:rsid w:val="00BF7EF4"/>
    <w:rsid w:val="00C01772"/>
    <w:rsid w:val="00C1137D"/>
    <w:rsid w:val="00C31EA1"/>
    <w:rsid w:val="00C43FC0"/>
    <w:rsid w:val="00C52B81"/>
    <w:rsid w:val="00C643E9"/>
    <w:rsid w:val="00C802A9"/>
    <w:rsid w:val="00C87293"/>
    <w:rsid w:val="00C975FA"/>
    <w:rsid w:val="00CC7BE7"/>
    <w:rsid w:val="00CD426E"/>
    <w:rsid w:val="00CF6E4A"/>
    <w:rsid w:val="00D06D7D"/>
    <w:rsid w:val="00D228D6"/>
    <w:rsid w:val="00D34F9C"/>
    <w:rsid w:val="00D56EBF"/>
    <w:rsid w:val="00D5715F"/>
    <w:rsid w:val="00D6564F"/>
    <w:rsid w:val="00D71B57"/>
    <w:rsid w:val="00D8646B"/>
    <w:rsid w:val="00D87778"/>
    <w:rsid w:val="00D933A3"/>
    <w:rsid w:val="00D945B5"/>
    <w:rsid w:val="00D94DDC"/>
    <w:rsid w:val="00D9670F"/>
    <w:rsid w:val="00D96A22"/>
    <w:rsid w:val="00DA13F7"/>
    <w:rsid w:val="00DA634C"/>
    <w:rsid w:val="00DB028B"/>
    <w:rsid w:val="00DB2B8D"/>
    <w:rsid w:val="00DB62EC"/>
    <w:rsid w:val="00DB6D7B"/>
    <w:rsid w:val="00DB7C23"/>
    <w:rsid w:val="00DD3E6B"/>
    <w:rsid w:val="00DD63A3"/>
    <w:rsid w:val="00DE0386"/>
    <w:rsid w:val="00DF628D"/>
    <w:rsid w:val="00E24246"/>
    <w:rsid w:val="00E64816"/>
    <w:rsid w:val="00E65B2F"/>
    <w:rsid w:val="00EB5258"/>
    <w:rsid w:val="00ED3B98"/>
    <w:rsid w:val="00F146A1"/>
    <w:rsid w:val="00F200CF"/>
    <w:rsid w:val="00F31926"/>
    <w:rsid w:val="00F359FF"/>
    <w:rsid w:val="00F5557A"/>
    <w:rsid w:val="00FB0AFF"/>
    <w:rsid w:val="00FB5404"/>
    <w:rsid w:val="00FC7B36"/>
    <w:rsid w:val="00FD1345"/>
    <w:rsid w:val="00FF1E1F"/>
    <w:rsid w:val="00FF5C65"/>
    <w:rsid w:val="00FF620E"/>
    <w:rsid w:val="00FF6BE1"/>
    <w:rsid w:val="00FF7D9F"/>
    <w:rsid w:val="1676E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39D328B5-B7CB-416F-9D12-7F01DEA081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ominique.Thomp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2-03EnergyAssurancewithEnergy-ConstrainedResources.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Functional%20Model%20Advisory%20Group%20DL/FMAG_Inf_Functional%20Model%20v6%20(clean).pdf" TargetMode="External"/><Relationship Id="rId1" Type="http://schemas.openxmlformats.org/officeDocument/2006/relationships/hyperlink" Target="https://www.nerc.com/comm/RSTC/ERATF/ERATF%20Energy%20Adequacy%20White%20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V5FEZNQ3RRSY-729300196-2628</_dlc_DocId>
    <_dlc_DocIdUrl xmlns="cbf880be-c7c2-4487-81cc-39803b2f2238">
      <Url>http://departments.internal.nerc.com/StandardsDev/_layouts/15/DocIdRedir.aspx?ID=V5FEZNQ3RRSY-729300196-2628</Url>
      <Description>V5FEZNQ3RRSY-729300196-2628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1B64AB7FFCF940A632333550D2E8B8" ma:contentTypeVersion="1" ma:contentTypeDescription="Create a new document." ma:contentTypeScope="" ma:versionID="e9fedafa6a6fd65dbd2a7d9c8c4a07e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400F4-991C-4ACE-8C03-0343D5F70B13}"/>
</file>

<file path=customXml/itemProps2.xml><?xml version="1.0" encoding="utf-8"?>
<ds:datastoreItem xmlns:ds="http://schemas.openxmlformats.org/officeDocument/2006/customXml" ds:itemID="{1FA1D400-2C2F-43CE-9427-E3BA39C934FD}">
  <ds:schemaRefs>
    <ds:schemaRef ds:uri="http://www.w3.org/XML/1998/namespace"/>
    <ds:schemaRef ds:uri="be72bb46-7b96-43f6-b3d2-cb56bca42853"/>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http://schemas.microsoft.com/sharepoint/v4"/>
    <ds:schemaRef ds:uri="3e1050e7-7faf-40ec-88f1-5bdab33a6ff5"/>
  </ds:schemaRefs>
</ds:datastoreItem>
</file>

<file path=customXml/itemProps3.xml><?xml version="1.0" encoding="utf-8"?>
<ds:datastoreItem xmlns:ds="http://schemas.openxmlformats.org/officeDocument/2006/customXml" ds:itemID="{55BC2BFD-B822-4E47-9120-E6515DC30248}"/>
</file>

<file path=customXml/itemProps4.xml><?xml version="1.0" encoding="utf-8"?>
<ds:datastoreItem xmlns:ds="http://schemas.openxmlformats.org/officeDocument/2006/customXml" ds:itemID="{6F1A4FC4-884A-413B-B164-CD47CC1E03D9}">
  <ds:schemaRefs>
    <ds:schemaRef ds:uri="http://schemas.microsoft.com/sharepoint/events"/>
  </ds:schemaRefs>
</ds:datastoreItem>
</file>

<file path=customXml/itemProps5.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6.xml><?xml version="1.0" encoding="utf-8"?>
<ds:datastoreItem xmlns:ds="http://schemas.openxmlformats.org/officeDocument/2006/customXml" ds:itemID="{44501629-4A67-4B94-8D8C-B725A3A5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dc:description/>
  <cp:lastModifiedBy/>
  <cp:revision>1</cp:revision>
  <dcterms:created xsi:type="dcterms:W3CDTF">2022-06-21T13:09:00Z</dcterms:created>
  <dcterms:modified xsi:type="dcterms:W3CDTF">2022-06-21T15:49:00Z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0x0101001A1B64AB7FFCF940A632333550D2E8B8</vt:lpwstr>
  </property>
  <property fmtid="{D5CDD505-2E9C-101B-9397-08002B2CF9AE}" pid="3" name="_dlc_DocIdItemGuid">
    <vt:lpwstr>6e266bb8-8cbd-4fc3-8c32-a99a6b61562d</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
  </property>
  <property fmtid="{D5CDD505-2E9C-101B-9397-08002B2CF9AE}" pid="18" name="Standard Number - New">
    <vt:lpwstr/>
  </property>
  <property fmtid="{D5CDD505-2E9C-101B-9397-08002B2CF9AE}" pid="19" name="SD Project Type">
    <vt:lpwstr/>
  </property>
</Properties>
</file>