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8961C" w14:textId="5089A107" w:rsidR="00FD1345" w:rsidRDefault="004A60CD" w:rsidP="00FD1345">
      <w:pPr>
        <w:pStyle w:val="DocumentTitle"/>
        <w:rPr>
          <w:rFonts w:ascii="Verdana" w:hAnsi="Verdana"/>
          <w:sz w:val="24"/>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B74DD4">
        <w:rPr>
          <w:b w:val="0"/>
          <w:sz w:val="32"/>
          <w:szCs w:val="32"/>
        </w:rPr>
        <w:t>Project 2022-05</w:t>
      </w:r>
      <w:r w:rsidR="00B74DD4" w:rsidRPr="00577FD5">
        <w:rPr>
          <w:b w:val="0"/>
          <w:sz w:val="32"/>
          <w:szCs w:val="32"/>
        </w:rPr>
        <w:t xml:space="preserve"> </w:t>
      </w:r>
      <w:r w:rsidR="00B74DD4">
        <w:rPr>
          <w:b w:val="0"/>
          <w:sz w:val="32"/>
          <w:szCs w:val="32"/>
        </w:rPr>
        <w:t>Modifications to CIP-008 Reporting Threshold</w:t>
      </w:r>
      <w:r w:rsidR="0000166A" w:rsidRPr="00833311">
        <w:rPr>
          <w:b w:val="0"/>
          <w:sz w:val="36"/>
          <w:szCs w:val="36"/>
        </w:rPr>
        <w:br/>
      </w:r>
    </w:p>
    <w:p w14:paraId="654CB138" w14:textId="31D5467F" w:rsidR="003B6D64" w:rsidRPr="00193AE7" w:rsidRDefault="003B6D64" w:rsidP="003B6D64">
      <w:pPr>
        <w:autoSpaceDE w:val="0"/>
        <w:autoSpaceDN w:val="0"/>
        <w:spacing w:before="40" w:after="40"/>
        <w:rPr>
          <w:rFonts w:cs="Arial"/>
        </w:rPr>
      </w:pPr>
      <w:r w:rsidRPr="004A60CD">
        <w:rPr>
          <w:rFonts w:cs="Arial"/>
          <w:b/>
        </w:rPr>
        <w:t>Do not</w:t>
      </w:r>
      <w:r>
        <w:rPr>
          <w:rFonts w:cs="Arial"/>
        </w:rPr>
        <w:t xml:space="preserve"> use</w:t>
      </w:r>
      <w:r w:rsidRPr="00816016">
        <w:rPr>
          <w:rFonts w:cs="Arial"/>
        </w:rPr>
        <w:t xml:space="preserve"> this form</w:t>
      </w:r>
      <w:r>
        <w:rPr>
          <w:rFonts w:cs="Arial"/>
        </w:rPr>
        <w:t xml:space="preserve"> for submitting nominations. Use the </w:t>
      </w:r>
      <w:hyperlink r:id="rId14" w:history="1">
        <w:r w:rsidRPr="004A3B85">
          <w:rPr>
            <w:rStyle w:val="Hyperlink"/>
            <w:rFonts w:cs="Arial"/>
          </w:rPr>
          <w:t>electronic form</w:t>
        </w:r>
      </w:hyperlink>
      <w:r>
        <w:rPr>
          <w:rFonts w:cs="Arial"/>
        </w:rPr>
        <w:t xml:space="preserve"> to submit nominations for </w:t>
      </w:r>
      <w:r w:rsidR="000C7FA4" w:rsidRPr="000C7FA4">
        <w:rPr>
          <w:rFonts w:cs="Arial"/>
          <w:b/>
        </w:rPr>
        <w:t>Project 2022-05 Modifications to CIP-008 Reporting Threshold</w:t>
      </w:r>
      <w:r>
        <w:rPr>
          <w:rFonts w:cs="Arial"/>
        </w:rPr>
        <w:t xml:space="preserve"> drafting team members by </w:t>
      </w:r>
      <w:r>
        <w:rPr>
          <w:rStyle w:val="Strong"/>
          <w:rFonts w:ascii="Calibri" w:hAnsi="Calibri" w:cs="Arial"/>
        </w:rPr>
        <w:t xml:space="preserve">8 p.m. Eastern, </w:t>
      </w:r>
      <w:r w:rsidR="00B1229D" w:rsidRPr="00B1229D">
        <w:rPr>
          <w:rStyle w:val="Strong"/>
          <w:rFonts w:ascii="Calibri" w:hAnsi="Calibri" w:cs="Arial"/>
        </w:rPr>
        <w:t>Wednesday, September 17, 2025</w:t>
      </w:r>
      <w:r w:rsidR="00B1229D">
        <w:rPr>
          <w:rStyle w:val="Strong"/>
          <w:rFonts w:ascii="Calibri" w:hAnsi="Calibri" w:cs="Arial"/>
        </w:rPr>
        <w:t xml:space="preserve">. </w:t>
      </w:r>
      <w:r>
        <w:rPr>
          <w:rFonts w:ascii="Calibri" w:hAnsi="Calibri" w:cs="Arial"/>
        </w:rPr>
        <w:t>This unofficial version is provided to assist nominees in compiling the information necessary to submit the electronic form.</w:t>
      </w:r>
    </w:p>
    <w:p w14:paraId="4D738F49" w14:textId="77777777" w:rsidR="003B6D64" w:rsidRDefault="003B6D64" w:rsidP="00816016"/>
    <w:p w14:paraId="4338961E" w14:textId="5F123596" w:rsidR="004A60CD" w:rsidRPr="00816016" w:rsidRDefault="00F5557A" w:rsidP="00816016">
      <w:pPr>
        <w:rPr>
          <w:rFonts w:cs="Arial"/>
        </w:rPr>
      </w:pPr>
      <w:r>
        <w:t xml:space="preserve">Additional </w:t>
      </w:r>
      <w:r w:rsidR="00833311">
        <w:t xml:space="preserve">information about this project </w:t>
      </w:r>
      <w:r>
        <w:t>is</w:t>
      </w:r>
      <w:r w:rsidR="00833311">
        <w:t xml:space="preserve"> available on the </w:t>
      </w:r>
      <w:hyperlink r:id="rId15" w:history="1">
        <w:r w:rsidR="00B74DD4" w:rsidRPr="00791E88">
          <w:rPr>
            <w:rStyle w:val="Hyperlink"/>
          </w:rPr>
          <w:t>project page</w:t>
        </w:r>
      </w:hyperlink>
      <w:r w:rsidR="00833311">
        <w:t xml:space="preserve">. </w:t>
      </w:r>
      <w:r w:rsidR="00833311" w:rsidRPr="00786AD7">
        <w:t>If you have questions</w:t>
      </w:r>
      <w:r w:rsidR="00833311">
        <w:t xml:space="preserve">, </w:t>
      </w:r>
      <w:r w:rsidR="00833311" w:rsidRPr="00C74DBC">
        <w:t>contact</w:t>
      </w:r>
      <w:r w:rsidR="00833311">
        <w:t xml:space="preserve"> </w:t>
      </w:r>
      <w:r w:rsidR="000C7FA4" w:rsidRPr="000C7FA4">
        <w:t>Standards Developer</w:t>
      </w:r>
      <w:r w:rsidRPr="00B1229D">
        <w:t xml:space="preserve">, </w:t>
      </w:r>
      <w:hyperlink r:id="rId16" w:history="1">
        <w:r w:rsidR="000C7FA4" w:rsidRPr="00074AA7">
          <w:rPr>
            <w:rStyle w:val="Hyperlink"/>
          </w:rPr>
          <w:t>Josh Blume</w:t>
        </w:r>
      </w:hyperlink>
      <w:r w:rsidR="00833311" w:rsidRPr="00B1229D">
        <w:t xml:space="preserve"> (via email), or at </w:t>
      </w:r>
      <w:r w:rsidR="000C7FA4" w:rsidRPr="000C7FA4">
        <w:t>(470) 755-0346</w:t>
      </w:r>
      <w:r w:rsidR="00833311" w:rsidRPr="00B1229D">
        <w:t>.</w:t>
      </w:r>
    </w:p>
    <w:p w14:paraId="4338961F" w14:textId="77777777" w:rsidR="00816016" w:rsidRDefault="00816016" w:rsidP="00816016">
      <w:pPr>
        <w:rPr>
          <w:rFonts w:ascii="Verdana" w:hAnsi="Verdana" w:cs="Arial"/>
          <w:sz w:val="18"/>
          <w:szCs w:val="18"/>
        </w:rPr>
      </w:pPr>
    </w:p>
    <w:p w14:paraId="43389624" w14:textId="6EA3C27D" w:rsidR="002B29E4" w:rsidRDefault="0062446B" w:rsidP="0062446B">
      <w:pPr>
        <w:ind w:left="-5" w:right="378"/>
        <w:rPr>
          <w:color w:val="000000"/>
        </w:rPr>
      </w:pPr>
      <w:r w:rsidRPr="00B367D4">
        <w:rPr>
          <w:color w:val="000000"/>
        </w:rPr>
        <w:t xml:space="preserve">By submitting a nomination form, you are indicating your willingness and agreement to actively participate in </w:t>
      </w:r>
      <w:r w:rsidR="00972C26">
        <w:rPr>
          <w:color w:val="000000"/>
        </w:rPr>
        <w:t xml:space="preserve">face-to-face meetings and </w:t>
      </w:r>
      <w:r w:rsidRPr="00B367D4">
        <w:rPr>
          <w:color w:val="000000"/>
        </w:rPr>
        <w:t>conference calls.</w:t>
      </w:r>
      <w:r w:rsidR="007028C0">
        <w:rPr>
          <w:color w:val="000000"/>
        </w:rPr>
        <w:t xml:space="preserve"> </w:t>
      </w:r>
      <w:r w:rsidRPr="000A661C">
        <w:rPr>
          <w:color w:val="000000"/>
        </w:rPr>
        <w:t xml:space="preserve">Previous drafting or </w:t>
      </w:r>
      <w:r w:rsidR="00C0512A">
        <w:rPr>
          <w:color w:val="000000"/>
        </w:rPr>
        <w:t>Standard</w:t>
      </w:r>
      <w:r w:rsidR="00447F09">
        <w:rPr>
          <w:color w:val="000000"/>
        </w:rPr>
        <w:t xml:space="preserve"> </w:t>
      </w:r>
      <w:r w:rsidRPr="000A661C">
        <w:rPr>
          <w:color w:val="000000"/>
        </w:rPr>
        <w:t>review team experience is beneficial</w:t>
      </w:r>
      <w:r>
        <w:rPr>
          <w:color w:val="000000"/>
        </w:rPr>
        <w:t>,</w:t>
      </w:r>
      <w:r w:rsidRPr="000A661C">
        <w:rPr>
          <w:color w:val="000000"/>
        </w:rPr>
        <w:t xml:space="preserve"> but not required. </w:t>
      </w:r>
    </w:p>
    <w:p w14:paraId="43389625" w14:textId="77777777" w:rsidR="00816016" w:rsidRDefault="00816016" w:rsidP="00816016">
      <w:pPr>
        <w:rPr>
          <w:rFonts w:ascii="Verdana" w:hAnsi="Verdana" w:cs="Arial"/>
          <w:sz w:val="20"/>
        </w:rPr>
      </w:pPr>
    </w:p>
    <w:p w14:paraId="37F91C9A" w14:textId="2B915882" w:rsidR="00447F09" w:rsidRDefault="00447F09" w:rsidP="00465B83">
      <w:pPr>
        <w:pStyle w:val="Heading1"/>
        <w:rPr>
          <w:rStyle w:val="BoxText"/>
          <w:rFonts w:asciiTheme="minorHAnsi" w:hAnsiTheme="minorHAnsi" w:cs="Arial"/>
          <w:sz w:val="24"/>
        </w:rPr>
      </w:pPr>
      <w:r w:rsidRPr="00465B83">
        <w:rPr>
          <w:rStyle w:val="BoxText"/>
          <w:rFonts w:ascii="Tahoma" w:hAnsi="Tahoma"/>
          <w:b/>
          <w:sz w:val="28"/>
        </w:rPr>
        <w:t>Project Information</w:t>
      </w:r>
      <w:r w:rsidR="00816016" w:rsidRPr="00465B83">
        <w:rPr>
          <w:rStyle w:val="BoxText"/>
          <w:rFonts w:ascii="Tahoma" w:hAnsi="Tahoma"/>
          <w:b/>
          <w:sz w:val="28"/>
          <w:highlight w:val="yellow"/>
        </w:rPr>
        <w:br/>
      </w:r>
    </w:p>
    <w:p w14:paraId="0B6861D8" w14:textId="77777777" w:rsidR="00B74DD4" w:rsidRDefault="00B74DD4" w:rsidP="00B74DD4">
      <w:pPr>
        <w:pStyle w:val="Default"/>
        <w:rPr>
          <w:rFonts w:ascii="Calibri" w:eastAsia="MS Mincho" w:hAnsi="Calibri"/>
        </w:rPr>
      </w:pPr>
      <w:r>
        <w:rPr>
          <w:rStyle w:val="BoxText"/>
          <w:rFonts w:ascii="Tahoma" w:hAnsi="Tahoma" w:cs="Tahoma"/>
          <w:sz w:val="22"/>
          <w:szCs w:val="22"/>
        </w:rPr>
        <w:t xml:space="preserve">Background </w:t>
      </w:r>
    </w:p>
    <w:p w14:paraId="3E7E5278" w14:textId="77777777" w:rsidR="00B74DD4" w:rsidRPr="00884A66" w:rsidRDefault="00B74DD4" w:rsidP="00B74DD4">
      <w:pPr>
        <w:jc w:val="both"/>
        <w:rPr>
          <w:rStyle w:val="normaltextrun"/>
          <w:rFonts w:ascii="Calibri" w:hAnsi="Calibri" w:cs="Calibri"/>
          <w:color w:val="000000"/>
          <w:shd w:val="clear" w:color="auto" w:fill="FFFFFF"/>
        </w:rPr>
      </w:pPr>
      <w:r w:rsidRPr="00884A66">
        <w:rPr>
          <w:rStyle w:val="normaltextrun"/>
          <w:rFonts w:ascii="Calibri" w:hAnsi="Calibri" w:cs="Calibri"/>
          <w:shd w:val="clear" w:color="auto" w:fill="FFFFFF"/>
        </w:rPr>
        <w:t>Reliability Standard CIP-008-6 became effective on January 1, 2021, in response to FERC Order No. 848</w:t>
      </w:r>
      <w:r>
        <w:rPr>
          <w:rStyle w:val="FootnoteReference"/>
          <w:rFonts w:ascii="Calibri" w:hAnsi="Calibri" w:cs="Calibri"/>
          <w:shd w:val="clear" w:color="auto" w:fill="FFFFFF"/>
        </w:rPr>
        <w:footnoteReference w:id="1"/>
      </w:r>
      <w:r w:rsidRPr="00884A66">
        <w:rPr>
          <w:rStyle w:val="normaltextrun"/>
          <w:rFonts w:ascii="Calibri" w:hAnsi="Calibri" w:cs="Calibri"/>
          <w:shd w:val="clear" w:color="auto" w:fill="FFFFFF"/>
        </w:rPr>
        <w:t xml:space="preserve"> directing NERC to develop modifications to the Reliability Standards to require reporting of Cyber Security Incidents and attempt(s) to compromise a responsible entity’s Electronic Security Perimeter (ESP) or associated Electronic Access Control or Monitoring Systems (EACMS). In Q3 2021, the </w:t>
      </w:r>
      <w:r w:rsidRPr="00884A66">
        <w:rPr>
          <w:rStyle w:val="normaltextrun"/>
          <w:rFonts w:ascii="Calibri" w:hAnsi="Calibri" w:cs="Calibri"/>
          <w:color w:val="000000"/>
          <w:shd w:val="clear" w:color="auto" w:fill="FFFFFF"/>
        </w:rPr>
        <w:t xml:space="preserve">ERO Enterprise initiated a study to better understand how registered entities have implemented Reliability Standard CIP-008-6; specifically, how the registered entities have interpreted Reportable Cyber Security Incidents and defined attempt(s) to compromise. The study concluded </w:t>
      </w:r>
      <w:r>
        <w:rPr>
          <w:rStyle w:val="normaltextrun"/>
          <w:rFonts w:ascii="Calibri" w:hAnsi="Calibri" w:cs="Calibri"/>
          <w:color w:val="000000"/>
          <w:shd w:val="clear" w:color="auto" w:fill="FFFFFF"/>
        </w:rPr>
        <w:t xml:space="preserve">that </w:t>
      </w:r>
      <w:r w:rsidRPr="00884A66">
        <w:rPr>
          <w:rStyle w:val="normaltextrun"/>
          <w:rFonts w:ascii="Calibri" w:hAnsi="Calibri" w:cs="Calibri"/>
          <w:color w:val="000000"/>
          <w:shd w:val="clear" w:color="auto" w:fill="FFFFFF"/>
        </w:rPr>
        <w:t>the current language of the Reliability Standard permits the use of subjective criteria to define attempt(s) to compromise, and most programs include a provision allowing a level of staff discretion. Reliability Standard CIP-008-6</w:t>
      </w:r>
      <w:r>
        <w:rPr>
          <w:rStyle w:val="normaltextrun"/>
          <w:rFonts w:ascii="Calibri" w:hAnsi="Calibri" w:cs="Calibri"/>
          <w:color w:val="000000"/>
          <w:shd w:val="clear" w:color="auto" w:fill="FFFFFF"/>
        </w:rPr>
        <w:t>,</w:t>
      </w:r>
      <w:r w:rsidRPr="00884A66">
        <w:rPr>
          <w:rStyle w:val="normaltextrun"/>
          <w:rFonts w:ascii="Calibri" w:hAnsi="Calibri" w:cs="Calibri"/>
          <w:color w:val="000000"/>
          <w:shd w:val="clear" w:color="auto" w:fill="FFFFFF"/>
        </w:rPr>
        <w:t xml:space="preserve"> or definitions</w:t>
      </w:r>
      <w:r>
        <w:rPr>
          <w:rStyle w:val="normaltextrun"/>
          <w:rFonts w:ascii="Calibri" w:hAnsi="Calibri" w:cs="Calibri"/>
          <w:color w:val="000000"/>
          <w:shd w:val="clear" w:color="auto" w:fill="FFFFFF"/>
        </w:rPr>
        <w:t>,</w:t>
      </w:r>
      <w:r w:rsidRPr="00884A66">
        <w:rPr>
          <w:rStyle w:val="normaltextrun"/>
          <w:rFonts w:ascii="Calibri" w:hAnsi="Calibri" w:cs="Calibri"/>
          <w:color w:val="000000"/>
          <w:shd w:val="clear" w:color="auto" w:fill="FFFFFF"/>
        </w:rPr>
        <w:t xml:space="preserve"> should be modified to provide a minimum expectation for thresholds defining attempt to compromise.</w:t>
      </w:r>
    </w:p>
    <w:p w14:paraId="0F2E9103" w14:textId="77777777" w:rsidR="00B74DD4" w:rsidRPr="00884A66" w:rsidRDefault="00B74DD4" w:rsidP="00B74DD4">
      <w:pPr>
        <w:jc w:val="both"/>
        <w:rPr>
          <w:rStyle w:val="normaltextrun"/>
          <w:rFonts w:ascii="Calibri" w:hAnsi="Calibri" w:cs="Calibri"/>
          <w:color w:val="000000"/>
          <w:shd w:val="clear" w:color="auto" w:fill="FFFFFF"/>
        </w:rPr>
      </w:pPr>
    </w:p>
    <w:p w14:paraId="087DDFEF" w14:textId="6DC9CD7E" w:rsidR="00B74DD4" w:rsidRDefault="00B74DD4" w:rsidP="00B74DD4">
      <w:pPr>
        <w:jc w:val="both"/>
      </w:pPr>
      <w:r w:rsidRPr="00884A66">
        <w:rPr>
          <w:rStyle w:val="normaltextrun"/>
          <w:rFonts w:ascii="Calibri" w:hAnsi="Calibri" w:cs="Calibri"/>
          <w:color w:val="000000"/>
          <w:shd w:val="clear" w:color="auto" w:fill="FFFFFF"/>
        </w:rPr>
        <w:t>Since the effective date of CIP-008-6, there has not been a material change from CIP-008-5 in the number of Reportable Cyber Security Incidents or Cyber Security Incidents that were determined to be an attempt to compromise an applicable system. This project will address gaps in CIP-008-6 permitting a subjective determination of attempt(s) to compromise.</w:t>
      </w:r>
      <w:r>
        <w:rPr>
          <w:rStyle w:val="normaltextrun"/>
          <w:rFonts w:ascii="Calibri" w:hAnsi="Calibri" w:cs="Calibri"/>
          <w:color w:val="000000"/>
          <w:shd w:val="clear" w:color="auto" w:fill="FFFFFF"/>
        </w:rPr>
        <w:t xml:space="preserve"> </w:t>
      </w:r>
      <w:r>
        <w:rPr>
          <w:rFonts w:ascii="Calibri" w:eastAsia="MS Mincho" w:hAnsi="Calibri"/>
        </w:rPr>
        <w:t>The Drafting Team (DT) will modify the Reliability Standards and associated definitions as necessary to provide a minimum expectation for thresholds to support the definition of attempt to compromise.</w:t>
      </w:r>
    </w:p>
    <w:p w14:paraId="60047E02" w14:textId="77777777" w:rsidR="00B74DD4" w:rsidRPr="00775059" w:rsidRDefault="00B74DD4" w:rsidP="00B74DD4">
      <w:pPr>
        <w:autoSpaceDE w:val="0"/>
        <w:autoSpaceDN w:val="0"/>
        <w:adjustRightInd w:val="0"/>
        <w:rPr>
          <w:rFonts w:ascii="Calibri" w:hAnsi="Calibri" w:cs="Calibri"/>
        </w:rPr>
      </w:pPr>
    </w:p>
    <w:p w14:paraId="2762F6AF" w14:textId="710325DE" w:rsidR="00B74DD4" w:rsidRPr="000C0C50" w:rsidRDefault="00B74DD4" w:rsidP="00B74DD4">
      <w:pPr>
        <w:shd w:val="clear" w:color="auto" w:fill="FFFFFF"/>
        <w:ind w:left="1" w:right="2"/>
        <w:rPr>
          <w:rStyle w:val="BoxText"/>
          <w:rFonts w:ascii="Tahoma" w:eastAsiaTheme="minorHAnsi" w:hAnsi="Tahoma" w:cs="Tahoma"/>
          <w:color w:val="000000"/>
          <w:sz w:val="22"/>
          <w:szCs w:val="22"/>
        </w:rPr>
      </w:pPr>
      <w:r>
        <w:rPr>
          <w:rStyle w:val="BoxText"/>
          <w:rFonts w:ascii="Tahoma" w:eastAsiaTheme="minorHAnsi" w:hAnsi="Tahoma"/>
          <w:sz w:val="22"/>
          <w:szCs w:val="22"/>
        </w:rPr>
        <w:t>S</w:t>
      </w:r>
      <w:r w:rsidRPr="000C0C50">
        <w:rPr>
          <w:rStyle w:val="BoxText"/>
          <w:rFonts w:ascii="Tahoma" w:eastAsiaTheme="minorHAnsi" w:hAnsi="Tahoma"/>
          <w:sz w:val="22"/>
          <w:szCs w:val="22"/>
        </w:rPr>
        <w:t>tandard</w:t>
      </w:r>
      <w:r>
        <w:rPr>
          <w:rStyle w:val="BoxText"/>
          <w:rFonts w:ascii="Tahoma" w:eastAsiaTheme="minorHAnsi" w:hAnsi="Tahoma"/>
          <w:sz w:val="22"/>
          <w:szCs w:val="22"/>
        </w:rPr>
        <w:t>(s)</w:t>
      </w:r>
      <w:r w:rsidRPr="000C0C50">
        <w:rPr>
          <w:rStyle w:val="BoxText"/>
          <w:rFonts w:ascii="Tahoma" w:eastAsiaTheme="minorHAnsi" w:hAnsi="Tahoma"/>
          <w:sz w:val="22"/>
          <w:szCs w:val="22"/>
        </w:rPr>
        <w:t xml:space="preserve"> affected: </w:t>
      </w:r>
      <w:r>
        <w:rPr>
          <w:rStyle w:val="BoxText"/>
          <w:rFonts w:ascii="Tahoma" w:eastAsiaTheme="minorHAnsi" w:hAnsi="Tahoma"/>
          <w:sz w:val="22"/>
          <w:szCs w:val="22"/>
        </w:rPr>
        <w:t>CIP-008; CIP-003</w:t>
      </w:r>
    </w:p>
    <w:p w14:paraId="1A9E56E4" w14:textId="47C949D9" w:rsidR="00B74DD4" w:rsidRDefault="6B35AFDF" w:rsidP="00B74DD4">
      <w:pPr>
        <w:ind w:left="-5" w:right="378"/>
        <w:rPr>
          <w:color w:val="000000"/>
        </w:rPr>
      </w:pPr>
      <w:r w:rsidRPr="7214D0A2">
        <w:rPr>
          <w:color w:val="000000" w:themeColor="accent6"/>
        </w:rPr>
        <w:t xml:space="preserve">Drafting Team activities include participation in technical conferences, stakeholder communications and outreach events, periodic drafting team meetings, and conference calls. The team will meet </w:t>
      </w:r>
      <w:r w:rsidRPr="7214D0A2">
        <w:rPr>
          <w:color w:val="000000" w:themeColor="accent6"/>
        </w:rPr>
        <w:lastRenderedPageBreak/>
        <w:t xml:space="preserve">regularly, </w:t>
      </w:r>
      <w:r w:rsidR="2DE500C2" w:rsidRPr="7214D0A2">
        <w:rPr>
          <w:color w:val="000000" w:themeColor="accent6"/>
        </w:rPr>
        <w:t>typically every other week,</w:t>
      </w:r>
      <w:r w:rsidRPr="7214D0A2">
        <w:rPr>
          <w:color w:val="000000" w:themeColor="accent6"/>
        </w:rPr>
        <w:t xml:space="preserve"> on conference calls, with face-to-face meetings scheduled as the members’ schedule allow, to meet the agreed-upon timeline the drafting team sets forth. </w:t>
      </w:r>
    </w:p>
    <w:p w14:paraId="47782EF6" w14:textId="77777777" w:rsidR="00B74DD4" w:rsidRDefault="00B74DD4" w:rsidP="00B74DD4">
      <w:pPr>
        <w:ind w:left="-5" w:right="378"/>
        <w:rPr>
          <w:color w:val="000000"/>
        </w:rPr>
      </w:pPr>
    </w:p>
    <w:p w14:paraId="68AE6DCE" w14:textId="77777777" w:rsidR="00B74DD4" w:rsidRPr="006D112C" w:rsidRDefault="00B74DD4" w:rsidP="00B74DD4">
      <w:pPr>
        <w:ind w:left="-5" w:right="378"/>
        <w:rPr>
          <w:color w:val="000000"/>
        </w:rPr>
      </w:pPr>
      <w:r>
        <w:rPr>
          <w:color w:val="000000"/>
        </w:rPr>
        <w:t xml:space="preserve">For this project, NERC is seeking individuals who possess experience in one or more of the following </w:t>
      </w:r>
      <w:r w:rsidRPr="006D112C">
        <w:rPr>
          <w:color w:val="000000"/>
        </w:rPr>
        <w:t xml:space="preserve">areas: </w:t>
      </w:r>
    </w:p>
    <w:p w14:paraId="06B75AE5" w14:textId="77777777" w:rsidR="00B74DD4" w:rsidRPr="006D112C" w:rsidRDefault="00B74DD4" w:rsidP="00B74DD4">
      <w:pPr>
        <w:pStyle w:val="ListParagraph"/>
        <w:numPr>
          <w:ilvl w:val="0"/>
          <w:numId w:val="24"/>
        </w:numPr>
        <w:autoSpaceDE w:val="0"/>
        <w:autoSpaceDN w:val="0"/>
        <w:adjustRightInd w:val="0"/>
        <w:spacing w:before="120"/>
        <w:rPr>
          <w:rFonts w:asciiTheme="minorHAnsi" w:eastAsia="Times New Roman" w:hAnsiTheme="minorHAnsi"/>
          <w:color w:val="000000"/>
          <w:sz w:val="24"/>
          <w:szCs w:val="24"/>
          <w:lang w:eastAsia="en-US"/>
        </w:rPr>
      </w:pPr>
      <w:r w:rsidRPr="006D112C">
        <w:rPr>
          <w:rFonts w:asciiTheme="minorHAnsi" w:eastAsia="Times New Roman" w:hAnsiTheme="minorHAnsi"/>
          <w:color w:val="000000"/>
          <w:sz w:val="24"/>
          <w:szCs w:val="24"/>
          <w:lang w:eastAsia="en-US"/>
        </w:rPr>
        <w:t>C</w:t>
      </w:r>
      <w:r>
        <w:rPr>
          <w:rFonts w:asciiTheme="minorHAnsi" w:eastAsia="Times New Roman" w:hAnsiTheme="minorHAnsi"/>
          <w:color w:val="000000"/>
          <w:sz w:val="24"/>
          <w:szCs w:val="24"/>
          <w:lang w:eastAsia="en-US"/>
        </w:rPr>
        <w:t>ritical</w:t>
      </w:r>
      <w:r w:rsidRPr="006D112C">
        <w:rPr>
          <w:rFonts w:asciiTheme="minorHAnsi" w:eastAsia="Times New Roman" w:hAnsiTheme="minorHAnsi"/>
          <w:color w:val="000000"/>
          <w:sz w:val="24"/>
          <w:szCs w:val="24"/>
          <w:lang w:eastAsia="en-US"/>
        </w:rPr>
        <w:t xml:space="preserve"> Infrastructure Protection (CIP) family of Reliability Standards;</w:t>
      </w:r>
    </w:p>
    <w:p w14:paraId="4326BB9D" w14:textId="77777777" w:rsidR="00B74DD4" w:rsidRPr="001F1CF4" w:rsidRDefault="00B74DD4" w:rsidP="00B74DD4">
      <w:pPr>
        <w:pStyle w:val="ListParagraph"/>
        <w:numPr>
          <w:ilvl w:val="0"/>
          <w:numId w:val="24"/>
        </w:numPr>
        <w:autoSpaceDE w:val="0"/>
        <w:autoSpaceDN w:val="0"/>
        <w:adjustRightInd w:val="0"/>
        <w:spacing w:before="120"/>
        <w:rPr>
          <w:rFonts w:asciiTheme="minorHAnsi" w:eastAsia="Times New Roman" w:hAnsiTheme="minorHAnsi"/>
          <w:color w:val="000000"/>
          <w:sz w:val="24"/>
          <w:szCs w:val="24"/>
          <w:lang w:eastAsia="en-US"/>
        </w:rPr>
      </w:pPr>
      <w:r w:rsidRPr="001F1CF4">
        <w:rPr>
          <w:rFonts w:asciiTheme="minorHAnsi" w:eastAsia="Times New Roman" w:hAnsiTheme="minorHAnsi"/>
          <w:color w:val="000000"/>
          <w:sz w:val="24"/>
          <w:szCs w:val="24"/>
          <w:lang w:eastAsia="en-US"/>
        </w:rPr>
        <w:t>Cyber Security Incident response plan(s);</w:t>
      </w:r>
    </w:p>
    <w:p w14:paraId="3FF84742" w14:textId="77777777" w:rsidR="00B74DD4" w:rsidRPr="001F1CF4" w:rsidRDefault="00B74DD4" w:rsidP="00B74DD4">
      <w:pPr>
        <w:pStyle w:val="ListParagraph"/>
        <w:numPr>
          <w:ilvl w:val="0"/>
          <w:numId w:val="25"/>
        </w:numPr>
        <w:autoSpaceDE w:val="0"/>
        <w:autoSpaceDN w:val="0"/>
        <w:adjustRightInd w:val="0"/>
        <w:spacing w:before="120"/>
        <w:ind w:left="720"/>
        <w:rPr>
          <w:rFonts w:asciiTheme="minorHAnsi" w:eastAsia="Times New Roman" w:hAnsiTheme="minorHAnsi"/>
          <w:color w:val="000000"/>
          <w:sz w:val="24"/>
          <w:szCs w:val="24"/>
          <w:lang w:eastAsia="en-US"/>
        </w:rPr>
      </w:pPr>
      <w:r w:rsidRPr="001F1CF4">
        <w:rPr>
          <w:rFonts w:asciiTheme="minorHAnsi" w:eastAsia="Times New Roman" w:hAnsiTheme="minorHAnsi"/>
          <w:color w:val="000000"/>
          <w:sz w:val="24"/>
          <w:szCs w:val="24"/>
          <w:lang w:eastAsia="en-US"/>
        </w:rPr>
        <w:t>Cyber Security Incident and Reportable Cyber Security Incident definitions;</w:t>
      </w:r>
    </w:p>
    <w:p w14:paraId="32D284EC" w14:textId="77777777" w:rsidR="00B74DD4" w:rsidRPr="00C200DC" w:rsidRDefault="00B74DD4" w:rsidP="00B74DD4">
      <w:pPr>
        <w:numPr>
          <w:ilvl w:val="0"/>
          <w:numId w:val="25"/>
        </w:numPr>
        <w:spacing w:before="120"/>
        <w:rPr>
          <w:rFonts w:ascii="Calibri" w:hAnsi="Calibri"/>
        </w:rPr>
      </w:pPr>
      <w:r w:rsidRPr="00C200DC">
        <w:rPr>
          <w:rFonts w:ascii="Calibri" w:hAnsi="Calibri"/>
        </w:rPr>
        <w:t xml:space="preserve">Electricity Information Sharing and Analysis Center (E-ISAC) and the </w:t>
      </w:r>
      <w:r>
        <w:rPr>
          <w:rFonts w:ascii="Calibri" w:hAnsi="Calibri"/>
        </w:rPr>
        <w:t>United States National Cybersecurity and Communications Integration Center (NCCIC)</w:t>
      </w:r>
    </w:p>
    <w:p w14:paraId="3A20ED30" w14:textId="656BF524" w:rsidR="00487E9F" w:rsidRDefault="00487E9F" w:rsidP="00816016">
      <w:pPr>
        <w:rPr>
          <w:rStyle w:val="BoxText"/>
          <w:rFonts w:asciiTheme="minorHAnsi" w:hAnsiTheme="minorHAnsi" w:cs="Arial"/>
          <w:b w:val="0"/>
          <w:sz w:val="24"/>
        </w:rPr>
      </w:pPr>
    </w:p>
    <w:p w14:paraId="0C7BDF84" w14:textId="1D7DF649" w:rsidR="00623196" w:rsidRPr="00465B83" w:rsidRDefault="00623196" w:rsidP="00465B83">
      <w:pPr>
        <w:pStyle w:val="Heading1"/>
        <w:rPr>
          <w:rStyle w:val="BoxText"/>
          <w:rFonts w:ascii="Tahoma" w:hAnsi="Tahoma"/>
          <w:b/>
          <w:sz w:val="28"/>
        </w:rPr>
      </w:pPr>
      <w:r w:rsidRPr="00465B83">
        <w:rPr>
          <w:rStyle w:val="BoxText"/>
          <w:rFonts w:ascii="Tahoma" w:hAnsi="Tahoma"/>
          <w:b/>
          <w:sz w:val="28"/>
        </w:rPr>
        <w:t>Time Commitment Expectations</w:t>
      </w:r>
    </w:p>
    <w:p w14:paraId="1C381FB5" w14:textId="47BBE1B9" w:rsidR="00487E9F" w:rsidRDefault="00447F09" w:rsidP="00487E9F">
      <w:pPr>
        <w:ind w:left="-5" w:right="378"/>
        <w:rPr>
          <w:color w:val="000000"/>
        </w:rPr>
      </w:pPr>
      <w:bookmarkStart w:id="1" w:name="_Hlk207803230"/>
      <w:r>
        <w:rPr>
          <w:color w:val="000000"/>
        </w:rPr>
        <w:t>T</w:t>
      </w:r>
      <w:r w:rsidR="00487E9F" w:rsidRPr="004C0DCD">
        <w:rPr>
          <w:color w:val="000000"/>
        </w:rPr>
        <w:t>ime commitment</w:t>
      </w:r>
      <w:r>
        <w:rPr>
          <w:color w:val="000000"/>
        </w:rPr>
        <w:t>s</w:t>
      </w:r>
      <w:r w:rsidR="00487E9F" w:rsidRPr="004C0DCD">
        <w:rPr>
          <w:color w:val="000000"/>
        </w:rPr>
        <w:t xml:space="preserve"> for </w:t>
      </w:r>
      <w:r>
        <w:rPr>
          <w:color w:val="000000"/>
        </w:rPr>
        <w:t>most</w:t>
      </w:r>
      <w:r w:rsidRPr="004C0DCD">
        <w:rPr>
          <w:color w:val="000000"/>
        </w:rPr>
        <w:t xml:space="preserve"> </w:t>
      </w:r>
      <w:r w:rsidR="00487E9F" w:rsidRPr="004C0DCD">
        <w:rPr>
          <w:color w:val="000000"/>
        </w:rPr>
        <w:t xml:space="preserve">projects </w:t>
      </w:r>
      <w:r>
        <w:rPr>
          <w:color w:val="000000"/>
        </w:rPr>
        <w:t>include</w:t>
      </w:r>
      <w:r w:rsidR="00487E9F" w:rsidRPr="004C0DCD">
        <w:rPr>
          <w:color w:val="000000"/>
        </w:rPr>
        <w:t xml:space="preserve"> conference calls scheduled </w:t>
      </w:r>
      <w:r w:rsidR="00A77766">
        <w:rPr>
          <w:color w:val="000000"/>
        </w:rPr>
        <w:t xml:space="preserve">on a regular basis (typically </w:t>
      </w:r>
      <w:r w:rsidR="00B1269D">
        <w:rPr>
          <w:color w:val="000000"/>
        </w:rPr>
        <w:t xml:space="preserve">every other week) </w:t>
      </w:r>
      <w:r w:rsidR="00487E9F" w:rsidRPr="004C0DCD">
        <w:rPr>
          <w:color w:val="000000"/>
        </w:rPr>
        <w:t xml:space="preserve">as needed. </w:t>
      </w:r>
      <w:r w:rsidR="00972C26">
        <w:rPr>
          <w:color w:val="000000"/>
        </w:rPr>
        <w:t>T</w:t>
      </w:r>
      <w:r w:rsidR="00D34F9C">
        <w:rPr>
          <w:color w:val="000000"/>
        </w:rPr>
        <w:t>eam</w:t>
      </w:r>
      <w:r w:rsidR="00972C26">
        <w:rPr>
          <w:color w:val="000000"/>
        </w:rPr>
        <w:t xml:space="preserve"> members </w:t>
      </w:r>
      <w:r w:rsidR="00792581">
        <w:rPr>
          <w:color w:val="000000"/>
        </w:rPr>
        <w:t>can</w:t>
      </w:r>
      <w:r w:rsidR="00972C26">
        <w:rPr>
          <w:color w:val="000000"/>
        </w:rPr>
        <w:t xml:space="preserve"> </w:t>
      </w:r>
      <w:r w:rsidR="00623196">
        <w:rPr>
          <w:color w:val="000000"/>
        </w:rPr>
        <w:t xml:space="preserve">agree to </w:t>
      </w:r>
      <w:r w:rsidR="00487E9F" w:rsidRPr="004C0DCD">
        <w:rPr>
          <w:color w:val="000000"/>
        </w:rPr>
        <w:t>individual or subgroup</w:t>
      </w:r>
      <w:r w:rsidR="00623196">
        <w:rPr>
          <w:color w:val="000000"/>
        </w:rPr>
        <w:t xml:space="preserve"> assignments</w:t>
      </w:r>
      <w:r w:rsidR="00487E9F" w:rsidRPr="004C0DCD">
        <w:rPr>
          <w:color w:val="000000"/>
        </w:rPr>
        <w:t xml:space="preserve">, </w:t>
      </w:r>
      <w:r w:rsidR="00792581">
        <w:rPr>
          <w:color w:val="000000"/>
        </w:rPr>
        <w:t>hold</w:t>
      </w:r>
      <w:r w:rsidR="00623196">
        <w:rPr>
          <w:color w:val="000000"/>
        </w:rPr>
        <w:t xml:space="preserve"> separate meetings</w:t>
      </w:r>
      <w:r w:rsidR="00792581">
        <w:rPr>
          <w:color w:val="000000"/>
        </w:rPr>
        <w:t>,</w:t>
      </w:r>
      <w:r w:rsidR="00623196">
        <w:rPr>
          <w:color w:val="000000"/>
        </w:rPr>
        <w:t xml:space="preserve"> and </w:t>
      </w:r>
      <w:r w:rsidR="00487E9F" w:rsidRPr="004C0DCD">
        <w:rPr>
          <w:color w:val="000000"/>
        </w:rPr>
        <w:t>present to the</w:t>
      </w:r>
      <w:r w:rsidR="00792581">
        <w:rPr>
          <w:color w:val="000000"/>
        </w:rPr>
        <w:t xml:space="preserve"> full drafting</w:t>
      </w:r>
      <w:r w:rsidR="00487E9F" w:rsidRPr="004C0DCD">
        <w:rPr>
          <w:color w:val="000000"/>
        </w:rPr>
        <w:t xml:space="preserve"> team for discussion and review. </w:t>
      </w:r>
      <w:r w:rsidR="00623196">
        <w:rPr>
          <w:color w:val="000000"/>
        </w:rPr>
        <w:t xml:space="preserve">Another </w:t>
      </w:r>
      <w:r w:rsidR="00487E9F" w:rsidRPr="004C0DCD">
        <w:rPr>
          <w:color w:val="000000"/>
        </w:rPr>
        <w:t xml:space="preserve">important component of </w:t>
      </w:r>
      <w:r w:rsidR="00623196">
        <w:rPr>
          <w:color w:val="000000"/>
        </w:rPr>
        <w:t xml:space="preserve">quality </w:t>
      </w:r>
      <w:r w:rsidR="00487E9F" w:rsidRPr="004C0DCD">
        <w:rPr>
          <w:color w:val="000000"/>
        </w:rPr>
        <w:t>review</w:t>
      </w:r>
      <w:r w:rsidR="00623196">
        <w:rPr>
          <w:color w:val="000000"/>
        </w:rPr>
        <w:t>s</w:t>
      </w:r>
      <w:r w:rsidR="00487E9F" w:rsidRPr="004C0DCD">
        <w:rPr>
          <w:color w:val="000000"/>
        </w:rPr>
        <w:t xml:space="preserve"> and drafting team effort</w:t>
      </w:r>
      <w:r w:rsidR="00623196">
        <w:rPr>
          <w:color w:val="000000"/>
        </w:rPr>
        <w:t>s</w:t>
      </w:r>
      <w:r w:rsidR="00487E9F" w:rsidRPr="004C0DCD">
        <w:rPr>
          <w:color w:val="000000"/>
        </w:rPr>
        <w:t xml:space="preserve"> is outreach. Members of the team </w:t>
      </w:r>
      <w:r w:rsidR="00972C26">
        <w:rPr>
          <w:color w:val="000000"/>
        </w:rPr>
        <w:t xml:space="preserve">will be expected to </w:t>
      </w:r>
      <w:r w:rsidR="00487E9F" w:rsidRPr="004C0DCD">
        <w:rPr>
          <w:color w:val="000000"/>
        </w:rPr>
        <w:t>conduct</w:t>
      </w:r>
      <w:r w:rsidR="00972C26">
        <w:rPr>
          <w:color w:val="000000"/>
        </w:rPr>
        <w:t xml:space="preserve"> industry outreach </w:t>
      </w:r>
      <w:r w:rsidR="00487E9F" w:rsidRPr="004C0DCD">
        <w:rPr>
          <w:color w:val="000000"/>
        </w:rPr>
        <w:t xml:space="preserve">during </w:t>
      </w:r>
      <w:r w:rsidR="00972C26">
        <w:rPr>
          <w:color w:val="000000"/>
        </w:rPr>
        <w:t xml:space="preserve">the </w:t>
      </w:r>
      <w:r w:rsidR="00487E9F" w:rsidRPr="004C0DCD">
        <w:rPr>
          <w:color w:val="000000"/>
        </w:rPr>
        <w:t xml:space="preserve">development </w:t>
      </w:r>
      <w:r w:rsidR="00972C26">
        <w:rPr>
          <w:color w:val="000000"/>
        </w:rPr>
        <w:t xml:space="preserve">process to support a successful </w:t>
      </w:r>
      <w:r w:rsidR="007E79B4">
        <w:rPr>
          <w:color w:val="000000"/>
        </w:rPr>
        <w:t>project</w:t>
      </w:r>
      <w:r w:rsidR="00B86AB0">
        <w:rPr>
          <w:color w:val="000000"/>
        </w:rPr>
        <w:t xml:space="preserve"> outcome</w:t>
      </w:r>
      <w:bookmarkEnd w:id="1"/>
      <w:r w:rsidR="00487E9F" w:rsidRPr="004C0DCD">
        <w:rPr>
          <w:color w:val="000000"/>
        </w:rPr>
        <w:t>.</w:t>
      </w:r>
    </w:p>
    <w:p w14:paraId="2DBF1584" w14:textId="77777777" w:rsidR="00792581" w:rsidRDefault="00792581" w:rsidP="00792581">
      <w:pPr>
        <w:autoSpaceDE w:val="0"/>
        <w:autoSpaceDN w:val="0"/>
        <w:adjustRightInd w:val="0"/>
        <w:rPr>
          <w:rFonts w:ascii="Calibri" w:hAnsi="Calibri" w:cs="Calibri"/>
        </w:rPr>
      </w:pPr>
    </w:p>
    <w:p w14:paraId="09A50CAA" w14:textId="1F459A43" w:rsidR="008A60E1" w:rsidRDefault="008A60E1" w:rsidP="00465B83">
      <w:pPr>
        <w:pStyle w:val="Heading2"/>
      </w:pPr>
      <w:bookmarkStart w:id="2" w:name="_Hlk207803318"/>
      <w:r>
        <w:t>Project Priority</w:t>
      </w:r>
    </w:p>
    <w:p w14:paraId="43028FB9" w14:textId="68FE0419" w:rsidR="0091727B" w:rsidRDefault="00447F09" w:rsidP="00487E9F">
      <w:pPr>
        <w:ind w:left="-5" w:right="378"/>
        <w:rPr>
          <w:color w:val="000000"/>
        </w:rPr>
      </w:pPr>
      <w:r>
        <w:rPr>
          <w:color w:val="000000"/>
        </w:rPr>
        <w:t xml:space="preserve">Each project will be developed according to that project’s priority status. While each standard project addresses particular industry needs, some will be identified as a higher priority. A high priority project </w:t>
      </w:r>
      <w:r w:rsidR="007B6097">
        <w:rPr>
          <w:color w:val="000000"/>
        </w:rPr>
        <w:t>can</w:t>
      </w:r>
      <w:r>
        <w:rPr>
          <w:color w:val="000000"/>
        </w:rPr>
        <w:t xml:space="preserve"> include a strict timeline, </w:t>
      </w:r>
      <w:r w:rsidR="00792581">
        <w:rPr>
          <w:color w:val="000000"/>
        </w:rPr>
        <w:t>which may</w:t>
      </w:r>
      <w:r>
        <w:rPr>
          <w:color w:val="000000"/>
        </w:rPr>
        <w:t xml:space="preserve"> be needed to effectively respond to a </w:t>
      </w:r>
      <w:proofErr w:type="gramStart"/>
      <w:r>
        <w:rPr>
          <w:color w:val="000000"/>
        </w:rPr>
        <w:t xml:space="preserve">FERC Directive or </w:t>
      </w:r>
      <w:r w:rsidR="00D32C96">
        <w:rPr>
          <w:color w:val="000000"/>
        </w:rPr>
        <w:t>other factors</w:t>
      </w:r>
      <w:proofErr w:type="gramEnd"/>
      <w:r w:rsidR="00D32C96">
        <w:rPr>
          <w:color w:val="000000"/>
        </w:rPr>
        <w:t xml:space="preserve"> </w:t>
      </w:r>
      <w:r>
        <w:rPr>
          <w:color w:val="000000"/>
        </w:rPr>
        <w:t xml:space="preserve">determined by the NERC Board of Trustees. A high priority project may also need to increase the frequency of meetings at any time throughout the development process to account for project timeline needs. </w:t>
      </w:r>
      <w:r w:rsidR="00F1133F">
        <w:rPr>
          <w:color w:val="000000"/>
        </w:rPr>
        <w:t>Similarly</w:t>
      </w:r>
      <w:r>
        <w:rPr>
          <w:color w:val="000000"/>
        </w:rPr>
        <w:t xml:space="preserve">, </w:t>
      </w:r>
      <w:r w:rsidR="00523945">
        <w:rPr>
          <w:color w:val="000000"/>
        </w:rPr>
        <w:t>low</w:t>
      </w:r>
      <w:r>
        <w:rPr>
          <w:color w:val="000000"/>
        </w:rPr>
        <w:t xml:space="preserve"> priority projects may adjust to </w:t>
      </w:r>
      <w:r w:rsidR="00523945">
        <w:rPr>
          <w:color w:val="000000"/>
        </w:rPr>
        <w:t>less</w:t>
      </w:r>
      <w:r>
        <w:rPr>
          <w:color w:val="000000"/>
        </w:rPr>
        <w:t xml:space="preserve"> frequen</w:t>
      </w:r>
      <w:r w:rsidR="00523945">
        <w:rPr>
          <w:color w:val="000000"/>
        </w:rPr>
        <w:t>t</w:t>
      </w:r>
      <w:r>
        <w:rPr>
          <w:color w:val="000000"/>
        </w:rPr>
        <w:t xml:space="preserve"> meeting</w:t>
      </w:r>
      <w:r w:rsidR="00523945">
        <w:rPr>
          <w:color w:val="000000"/>
        </w:rPr>
        <w:t>s</w:t>
      </w:r>
      <w:r>
        <w:rPr>
          <w:color w:val="000000"/>
        </w:rPr>
        <w:t xml:space="preserve"> to reallocate resources to high priority projects. </w:t>
      </w:r>
    </w:p>
    <w:p w14:paraId="5E982C84" w14:textId="77777777" w:rsidR="00447F09" w:rsidRDefault="00447F09" w:rsidP="00487E9F">
      <w:pPr>
        <w:ind w:left="-5" w:right="378"/>
        <w:rPr>
          <w:color w:val="000000"/>
        </w:rPr>
      </w:pPr>
    </w:p>
    <w:p w14:paraId="32021736" w14:textId="12689BE6" w:rsidR="0091727B" w:rsidRPr="00465B83" w:rsidRDefault="0091727B" w:rsidP="00487E9F">
      <w:pPr>
        <w:ind w:left="-5" w:right="378"/>
        <w:rPr>
          <w:color w:val="000000"/>
          <w:u w:val="single"/>
        </w:rPr>
      </w:pPr>
      <w:r w:rsidRPr="00465B83">
        <w:rPr>
          <w:color w:val="000000"/>
          <w:u w:val="single"/>
        </w:rPr>
        <w:t xml:space="preserve">This project </w:t>
      </w:r>
      <w:r w:rsidR="00447F09" w:rsidRPr="00465B83">
        <w:rPr>
          <w:color w:val="000000"/>
          <w:u w:val="single"/>
        </w:rPr>
        <w:t>has no</w:t>
      </w:r>
      <w:r w:rsidR="00B74DD4">
        <w:rPr>
          <w:color w:val="000000"/>
          <w:u w:val="single"/>
        </w:rPr>
        <w:t>t</w:t>
      </w:r>
      <w:r w:rsidR="00447F09" w:rsidRPr="00465B83">
        <w:rPr>
          <w:color w:val="000000"/>
          <w:u w:val="single"/>
        </w:rPr>
        <w:t xml:space="preserve"> </w:t>
      </w:r>
      <w:r w:rsidRPr="00465B83">
        <w:rPr>
          <w:color w:val="000000"/>
          <w:u w:val="single"/>
        </w:rPr>
        <w:t xml:space="preserve">been identified </w:t>
      </w:r>
      <w:r w:rsidR="00447F09" w:rsidRPr="00465B83">
        <w:rPr>
          <w:color w:val="000000"/>
          <w:u w:val="single"/>
        </w:rPr>
        <w:t>as high priority at this time.</w:t>
      </w:r>
    </w:p>
    <w:bookmarkEnd w:id="2"/>
    <w:p w14:paraId="4338962C" w14:textId="36D00798" w:rsidR="00260BED" w:rsidRDefault="00240726" w:rsidP="00D32C96">
      <w:pPr>
        <w:pStyle w:val="Heading1"/>
        <w:rPr>
          <w:rFonts w:ascii="Verdana" w:hAnsi="Verdana" w:cs="Arial"/>
          <w:sz w:val="18"/>
          <w:szCs w:val="18"/>
        </w:rPr>
      </w:pPr>
      <w:r>
        <w:rPr>
          <w:rStyle w:val="BoxText"/>
          <w:rFonts w:asciiTheme="minorHAnsi" w:hAnsiTheme="minorHAnsi" w:cs="Arial"/>
          <w:sz w:val="24"/>
        </w:rPr>
        <w:br/>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0"/>
        <w:gridCol w:w="2250"/>
        <w:gridCol w:w="594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gridSpan w:val="3"/>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3"/>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3"/>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gridSpan w:val="3"/>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176B8AE1"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3"/>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4"/>
          </w:tcPr>
          <w:p w14:paraId="4338963D" w14:textId="77777777"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lastRenderedPageBreak/>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E" w14:textId="77777777" w:rsidR="00FD1345" w:rsidRDefault="00FD1345" w:rsidP="00DB028B">
            <w:pPr>
              <w:spacing w:before="60" w:after="60"/>
              <w:rPr>
                <w:rStyle w:val="BoxText"/>
                <w:rFonts w:asciiTheme="minorHAnsi" w:hAnsiTheme="minorHAnsi" w:cs="Arial"/>
                <w:sz w:val="24"/>
              </w:rPr>
            </w:pP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4"/>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43389646" w14:textId="77777777"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DB028B">
            <w:pPr>
              <w:tabs>
                <w:tab w:val="left" w:pos="432"/>
              </w:tabs>
              <w:spacing w:before="60" w:after="60"/>
              <w:ind w:left="432"/>
              <w:rPr>
                <w:rFonts w:cs="Arial"/>
              </w:rPr>
            </w:pPr>
          </w:p>
        </w:tc>
      </w:tr>
      <w:tr w:rsidR="008A07D5" w:rsidRPr="00E23D20" w14:paraId="4BDCFD26"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3B23861B" w14:textId="77777777" w:rsidR="008A07D5" w:rsidRPr="00726A02" w:rsidRDefault="008A07D5" w:rsidP="008A07D5">
            <w:pPr>
              <w:autoSpaceDE w:val="0"/>
              <w:autoSpaceDN w:val="0"/>
              <w:spacing w:before="40" w:after="40"/>
              <w:rPr>
                <w:rFonts w:cstheme="minorHAnsi"/>
                <w:sz w:val="22"/>
                <w:szCs w:val="22"/>
              </w:rPr>
            </w:pPr>
            <w:r w:rsidRPr="00726A02">
              <w:rPr>
                <w:rFonts w:cstheme="minorHAnsi"/>
                <w:b/>
                <w:bCs/>
              </w:rPr>
              <w:t>Acknowledgement that the nominee has read and understands both the </w:t>
            </w:r>
            <w:r w:rsidRPr="00726A02">
              <w:rPr>
                <w:rFonts w:cstheme="minorHAnsi"/>
                <w:b/>
                <w:bCs/>
                <w:i/>
                <w:iCs/>
              </w:rPr>
              <w:t>NERC Participant Conduct Policy</w:t>
            </w:r>
            <w:r w:rsidRPr="00726A02">
              <w:rPr>
                <w:rFonts w:cstheme="minorHAnsi"/>
                <w:b/>
                <w:bCs/>
              </w:rPr>
              <w:t> and the </w:t>
            </w:r>
            <w:r w:rsidRPr="00726A02">
              <w:rPr>
                <w:rFonts w:cstheme="minorHAnsi"/>
                <w:b/>
                <w:bCs/>
                <w:i/>
                <w:iCs/>
              </w:rPr>
              <w:t>Standard Drafting Team Scope</w:t>
            </w:r>
            <w:r w:rsidRPr="00726A02">
              <w:rPr>
                <w:rFonts w:cstheme="minorHAnsi"/>
                <w:b/>
                <w:bCs/>
              </w:rPr>
              <w:t> documents, available on NERC Standards Resources.</w:t>
            </w:r>
          </w:p>
          <w:p w14:paraId="5CDC8017" w14:textId="77777777" w:rsidR="008A07D5" w:rsidRPr="00193AE7" w:rsidRDefault="008A07D5" w:rsidP="008A07D5">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Pr="00193AE7">
              <w:rPr>
                <w:rFonts w:cs="Arial"/>
              </w:rPr>
              <w:t xml:space="preserve"> </w:t>
            </w:r>
            <w:r w:rsidRPr="00726A02">
              <w:rPr>
                <w:rFonts w:cstheme="minorHAnsi"/>
              </w:rPr>
              <w:t>Yes, the nominee has read and understands these documents</w:t>
            </w:r>
            <w:r>
              <w:rPr>
                <w:rFonts w:cs="Arial"/>
              </w:rPr>
              <w:t>.</w:t>
            </w:r>
          </w:p>
          <w:p w14:paraId="5865939E" w14:textId="77777777" w:rsidR="008A07D5" w:rsidRPr="00193AE7" w:rsidRDefault="008A07D5" w:rsidP="00DB028B">
            <w:pPr>
              <w:spacing w:before="60" w:after="60"/>
              <w:rPr>
                <w:rFonts w:cs="Arial"/>
                <w:b/>
              </w:rPr>
            </w:pPr>
          </w:p>
        </w:tc>
      </w:tr>
      <w:tr w:rsidR="00FD1345" w:rsidRPr="00081BCE" w14:paraId="4338964C"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shd w:val="clear" w:color="auto" w:fill="204C81"/>
          </w:tcPr>
          <w:p w14:paraId="4338964B"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202BB5">
        <w:trPr>
          <w:cantSplit/>
          <w:jc w:val="center"/>
        </w:trPr>
        <w:tc>
          <w:tcPr>
            <w:tcW w:w="2164" w:type="dxa"/>
            <w:gridSpan w:val="2"/>
          </w:tcPr>
          <w:p w14:paraId="4338964F" w14:textId="284DDD3C" w:rsidR="00FD1345" w:rsidRPr="00193AE7" w:rsidRDefault="00C87293" w:rsidP="00646F0A">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Pr="00193AE7">
              <w:rPr>
                <w:rStyle w:val="BoxText"/>
                <w:rFonts w:asciiTheme="minorHAnsi" w:hAnsiTheme="minorHAnsi"/>
                <w:b w:val="0"/>
                <w:sz w:val="24"/>
              </w:rPr>
            </w:r>
            <w:r w:rsidRPr="00193AE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r w:rsidR="00FF620E">
              <w:rPr>
                <w:rStyle w:val="BoxText"/>
                <w:rFonts w:asciiTheme="minorHAnsi" w:hAnsiTheme="minorHAnsi"/>
                <w:b w:val="0"/>
                <w:sz w:val="24"/>
              </w:rPr>
              <w:br/>
            </w:r>
            <w:r w:rsidR="00FF620E" w:rsidRPr="00193AE7">
              <w:rPr>
                <w:rStyle w:val="BoxText"/>
                <w:rFonts w:asciiTheme="minorHAnsi" w:hAnsiTheme="minorHAnsi"/>
                <w:b w:val="0"/>
                <w:sz w:val="24"/>
              </w:rPr>
              <w:fldChar w:fldCharType="begin">
                <w:ffData>
                  <w:name w:val="Check4"/>
                  <w:enabled/>
                  <w:calcOnExit w:val="0"/>
                  <w:checkBox>
                    <w:sizeAuto/>
                    <w:default w:val="0"/>
                  </w:checkBox>
                </w:ffData>
              </w:fldChar>
            </w:r>
            <w:r w:rsidR="00FF620E" w:rsidRPr="00193AE7">
              <w:rPr>
                <w:rStyle w:val="BoxText"/>
                <w:rFonts w:asciiTheme="minorHAnsi" w:hAnsiTheme="minorHAnsi"/>
                <w:b w:val="0"/>
                <w:sz w:val="24"/>
              </w:rPr>
              <w:instrText xml:space="preserve"> FORMCHECKBOX </w:instrText>
            </w:r>
            <w:r w:rsidR="00FF620E" w:rsidRPr="00193AE7">
              <w:rPr>
                <w:rStyle w:val="BoxText"/>
                <w:rFonts w:asciiTheme="minorHAnsi" w:hAnsiTheme="minorHAnsi"/>
                <w:b w:val="0"/>
                <w:sz w:val="24"/>
              </w:rPr>
            </w:r>
            <w:r w:rsidR="00FF620E" w:rsidRPr="00193AE7">
              <w:rPr>
                <w:rStyle w:val="BoxText"/>
                <w:rFonts w:asciiTheme="minorHAnsi" w:hAnsiTheme="minorHAnsi"/>
                <w:b w:val="0"/>
                <w:sz w:val="24"/>
              </w:rPr>
              <w:fldChar w:fldCharType="separate"/>
            </w:r>
            <w:r w:rsidR="00FF620E" w:rsidRPr="00193AE7">
              <w:rPr>
                <w:rStyle w:val="BoxText"/>
                <w:rFonts w:asciiTheme="minorHAnsi" w:hAnsiTheme="minorHAnsi"/>
                <w:b w:val="0"/>
                <w:sz w:val="24"/>
              </w:rPr>
              <w:fldChar w:fldCharType="end"/>
            </w:r>
            <w:r w:rsidR="00FF620E" w:rsidRPr="00193AE7">
              <w:rPr>
                <w:rStyle w:val="BoxText"/>
                <w:rFonts w:asciiTheme="minorHAnsi" w:hAnsiTheme="minorHAnsi"/>
                <w:b w:val="0"/>
                <w:sz w:val="24"/>
              </w:rPr>
              <w:t xml:space="preserve"> NPCC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RF</w:t>
            </w:r>
          </w:p>
        </w:tc>
        <w:tc>
          <w:tcPr>
            <w:tcW w:w="2250" w:type="dxa"/>
          </w:tcPr>
          <w:p w14:paraId="43389652" w14:textId="4E2D05BC" w:rsidR="00FD1345"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Pr="00193AE7">
              <w:rPr>
                <w:rStyle w:val="BoxText"/>
                <w:rFonts w:asciiTheme="minorHAnsi" w:hAnsiTheme="minorHAnsi"/>
                <w:b w:val="0"/>
                <w:sz w:val="24"/>
              </w:rPr>
            </w:r>
            <w:r w:rsidRPr="00193AE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Texas RE</w:t>
            </w:r>
            <w:r w:rsidR="00090578" w:rsidRPr="00193AE7">
              <w:rPr>
                <w:rStyle w:val="BoxText"/>
                <w:rFonts w:asciiTheme="minorHAnsi" w:hAnsiTheme="minorHAnsi"/>
                <w:b w:val="0"/>
                <w:sz w:val="24"/>
              </w:rPr>
              <w:t xml:space="preserve"> </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sidRPr="00193AE7">
              <w:rPr>
                <w:rStyle w:val="BoxText"/>
                <w:rFonts w:asciiTheme="minorHAnsi" w:hAnsiTheme="minorHAnsi"/>
                <w:b w:val="0"/>
                <w:sz w:val="24"/>
              </w:rPr>
              <w:t xml:space="preserve"> WECC</w:t>
            </w:r>
          </w:p>
        </w:tc>
        <w:tc>
          <w:tcPr>
            <w:tcW w:w="5942" w:type="dxa"/>
          </w:tcPr>
          <w:p w14:paraId="43389655" w14:textId="001A965D" w:rsidR="00FD1345" w:rsidRPr="00193AE7" w:rsidRDefault="00FF620E" w:rsidP="00FF620E">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3808965C" w14:textId="65C013B4" w:rsidR="00260BED" w:rsidRDefault="00260BED"/>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710"/>
        <w:gridCol w:w="2250"/>
        <w:gridCol w:w="1980"/>
        <w:gridCol w:w="3951"/>
        <w:gridCol w:w="11"/>
      </w:tblGrid>
      <w:tr w:rsidR="00563006" w:rsidRPr="00081BCE" w14:paraId="43389658" w14:textId="77777777" w:rsidTr="00523945">
        <w:trPr>
          <w:trHeight w:val="621"/>
          <w:jc w:val="center"/>
        </w:trPr>
        <w:tc>
          <w:tcPr>
            <w:tcW w:w="10356" w:type="dxa"/>
            <w:gridSpan w:val="6"/>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52394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52394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52394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52394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52394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52394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52394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52394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52394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52394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lastRenderedPageBreak/>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52394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Pr="00997A70">
              <w:rPr>
                <w:rStyle w:val="BoxText"/>
                <w:rFonts w:ascii="Verdana" w:hAnsi="Verdana"/>
                <w:b w:val="0"/>
                <w:sz w:val="24"/>
              </w:rPr>
            </w:r>
            <w:r w:rsidRPr="00997A70">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5"/>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4338967B" w14:textId="77777777" w:rsidTr="00523945">
        <w:tblPrEx>
          <w:tblLook w:val="0000" w:firstRow="0" w:lastRow="0" w:firstColumn="0" w:lastColumn="0" w:noHBand="0" w:noVBand="0"/>
        </w:tblPrEx>
        <w:trPr>
          <w:cantSplit/>
          <w:trHeight w:val="350"/>
          <w:jc w:val="center"/>
        </w:trPr>
        <w:tc>
          <w:tcPr>
            <w:tcW w:w="10356" w:type="dxa"/>
            <w:gridSpan w:val="6"/>
            <w:shd w:val="clear" w:color="auto" w:fill="204C81"/>
            <w:vAlign w:val="center"/>
          </w:tcPr>
          <w:p w14:paraId="4338967A" w14:textId="3A25A462" w:rsidR="00FD1345" w:rsidRPr="00081BCE" w:rsidRDefault="00FD1345">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 xml:space="preserve">Select each Function in which you have current or prior expertise: </w:t>
            </w:r>
          </w:p>
        </w:tc>
      </w:tr>
      <w:tr w:rsidR="00FD1345" w:rsidRPr="00E23D20" w14:paraId="4338968D" w14:textId="77777777" w:rsidTr="00523945">
        <w:tblPrEx>
          <w:tblLook w:val="0000" w:firstRow="0" w:lastRow="0" w:firstColumn="0" w:lastColumn="0" w:noHBand="0" w:noVBand="0"/>
        </w:tblPrEx>
        <w:trPr>
          <w:cantSplit/>
          <w:trHeight w:val="621"/>
          <w:jc w:val="center"/>
        </w:trPr>
        <w:tc>
          <w:tcPr>
            <w:tcW w:w="4414" w:type="dxa"/>
            <w:gridSpan w:val="3"/>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gridSpan w:val="3"/>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r w:rsidR="00FD1345" w:rsidRPr="00081BCE" w14:paraId="4338968F" w14:textId="77777777" w:rsidTr="00523945">
        <w:tblPrEx>
          <w:tblLook w:val="0000" w:firstRow="0" w:lastRow="0" w:firstColumn="0" w:lastColumn="0" w:noHBand="0" w:noVBand="0"/>
        </w:tblPrEx>
        <w:trPr>
          <w:gridAfter w:val="1"/>
          <w:wAfter w:w="11" w:type="dxa"/>
          <w:cantSplit/>
          <w:jc w:val="center"/>
        </w:trPr>
        <w:tc>
          <w:tcPr>
            <w:tcW w:w="10345" w:type="dxa"/>
            <w:gridSpan w:val="5"/>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523945">
        <w:tblPrEx>
          <w:tblLook w:val="0000" w:firstRow="0" w:lastRow="0" w:firstColumn="0" w:lastColumn="0" w:noHBand="0" w:noVBand="0"/>
        </w:tblPrEx>
        <w:trPr>
          <w:gridAfter w:val="1"/>
          <w:wAfter w:w="11" w:type="dxa"/>
          <w:cantSplit/>
          <w:jc w:val="center"/>
        </w:trPr>
        <w:tc>
          <w:tcPr>
            <w:tcW w:w="2164" w:type="dxa"/>
            <w:gridSpan w:val="2"/>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523945">
        <w:tblPrEx>
          <w:tblLook w:val="0000" w:firstRow="0" w:lastRow="0" w:firstColumn="0" w:lastColumn="0" w:noHBand="0" w:noVBand="0"/>
        </w:tblPrEx>
        <w:trPr>
          <w:gridAfter w:val="1"/>
          <w:wAfter w:w="11" w:type="dxa"/>
          <w:cantSplit/>
          <w:jc w:val="center"/>
        </w:trPr>
        <w:tc>
          <w:tcPr>
            <w:tcW w:w="2164" w:type="dxa"/>
            <w:gridSpan w:val="2"/>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523945">
        <w:tblPrEx>
          <w:tblLook w:val="0000" w:firstRow="0" w:lastRow="0" w:firstColumn="0" w:lastColumn="0" w:noHBand="0" w:noVBand="0"/>
        </w:tblPrEx>
        <w:trPr>
          <w:gridAfter w:val="1"/>
          <w:wAfter w:w="11" w:type="dxa"/>
          <w:cantSplit/>
          <w:jc w:val="center"/>
        </w:trPr>
        <w:tc>
          <w:tcPr>
            <w:tcW w:w="2164" w:type="dxa"/>
            <w:gridSpan w:val="2"/>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523945">
        <w:tblPrEx>
          <w:tblLook w:val="0000" w:firstRow="0" w:lastRow="0" w:firstColumn="0" w:lastColumn="0" w:noHBand="0" w:noVBand="0"/>
        </w:tblPrEx>
        <w:trPr>
          <w:gridAfter w:val="1"/>
          <w:wAfter w:w="11" w:type="dxa"/>
          <w:cantSplit/>
          <w:jc w:val="center"/>
        </w:trPr>
        <w:tc>
          <w:tcPr>
            <w:tcW w:w="2164" w:type="dxa"/>
            <w:gridSpan w:val="2"/>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13BBA053"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r w:rsidR="00202BB5" w:rsidRPr="004D5128" w14:paraId="23BF324E" w14:textId="77777777" w:rsidTr="00523945">
        <w:tblPrEx>
          <w:tblLook w:val="04A0" w:firstRow="1" w:lastRow="0" w:firstColumn="1" w:lastColumn="0" w:noHBand="0" w:noVBand="1"/>
        </w:tblPrEx>
        <w:trPr>
          <w:gridAfter w:val="1"/>
          <w:wAfter w:w="11" w:type="dxa"/>
          <w:cantSplit/>
          <w:jc w:val="center"/>
        </w:trPr>
        <w:tc>
          <w:tcPr>
            <w:tcW w:w="10345" w:type="dxa"/>
            <w:gridSpan w:val="5"/>
            <w:tcBorders>
              <w:top w:val="single" w:sz="4" w:space="0" w:color="auto"/>
              <w:left w:val="single" w:sz="4" w:space="0" w:color="auto"/>
              <w:bottom w:val="single" w:sz="4" w:space="0" w:color="auto"/>
              <w:right w:val="single" w:sz="4" w:space="0" w:color="auto"/>
            </w:tcBorders>
            <w:shd w:val="clear" w:color="auto" w:fill="204C81"/>
            <w:hideMark/>
          </w:tcPr>
          <w:p w14:paraId="21B7D04F" w14:textId="168E2BAA" w:rsidR="00202BB5" w:rsidRPr="004D5128" w:rsidRDefault="00202BB5">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523945">
        <w:tblPrEx>
          <w:tblLook w:val="04A0" w:firstRow="1" w:lastRow="0" w:firstColumn="1" w:lastColumn="0" w:noHBand="0" w:noVBand="1"/>
        </w:tblPrEx>
        <w:trPr>
          <w:gridAfter w:val="1"/>
          <w:wAfter w:w="11" w:type="dxa"/>
          <w:cantSplit/>
          <w:jc w:val="center"/>
        </w:trPr>
        <w:tc>
          <w:tcPr>
            <w:tcW w:w="2164" w:type="dxa"/>
            <w:gridSpan w:val="2"/>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pPr>
              <w:spacing w:before="120" w:after="120"/>
              <w:rPr>
                <w:rStyle w:val="BoxText"/>
                <w:b w:val="0"/>
              </w:rPr>
            </w:pPr>
          </w:p>
        </w:tc>
      </w:tr>
      <w:tr w:rsidR="00202BB5" w14:paraId="79AF3B7F" w14:textId="77777777" w:rsidTr="00523945">
        <w:tblPrEx>
          <w:tblLook w:val="04A0" w:firstRow="1" w:lastRow="0" w:firstColumn="1" w:lastColumn="0" w:noHBand="0" w:noVBand="1"/>
        </w:tblPrEx>
        <w:trPr>
          <w:gridAfter w:val="1"/>
          <w:wAfter w:w="11" w:type="dxa"/>
          <w:cantSplit/>
          <w:jc w:val="center"/>
        </w:trPr>
        <w:tc>
          <w:tcPr>
            <w:tcW w:w="2164" w:type="dxa"/>
            <w:gridSpan w:val="2"/>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pPr>
              <w:spacing w:before="120" w:after="120"/>
              <w:rPr>
                <w:rStyle w:val="BoxText"/>
                <w:b w:val="0"/>
              </w:rPr>
            </w:pPr>
          </w:p>
        </w:tc>
      </w:tr>
    </w:tbl>
    <w:p w14:paraId="433896A4" w14:textId="330A2A75" w:rsidR="00360626" w:rsidRDefault="00081BCE" w:rsidP="00360626">
      <w:pPr>
        <w:pStyle w:val="NormalTimes"/>
        <w:spacing w:after="0"/>
        <w:rPr>
          <w:rFonts w:asciiTheme="minorHAnsi" w:hAnsiTheme="minorHAnsi"/>
          <w:sz w:val="24"/>
          <w:szCs w:val="24"/>
        </w:rPr>
      </w:pPr>
      <w:r>
        <w:rPr>
          <w:rFonts w:asciiTheme="minorHAnsi" w:hAnsiTheme="minorHAnsi"/>
          <w:sz w:val="24"/>
          <w:szCs w:val="24"/>
        </w:rPr>
        <w:br/>
      </w:r>
    </w:p>
    <w:p w14:paraId="280B8EFD" w14:textId="77777777" w:rsidR="00360626" w:rsidRDefault="00360626">
      <w:r>
        <w:br w:type="page"/>
      </w:r>
    </w:p>
    <w:bookmarkEnd w:id="0"/>
    <w:p w14:paraId="2602DAB6" w14:textId="77344BCB" w:rsidR="00E50C48" w:rsidRDefault="007B6097" w:rsidP="00E50C48">
      <w:pPr>
        <w:pStyle w:val="Heading1"/>
      </w:pPr>
      <w:r>
        <w:lastRenderedPageBreak/>
        <w:t>Ver</w:t>
      </w:r>
      <w:r w:rsidR="00E50C48">
        <w:t>sion History</w:t>
      </w:r>
    </w:p>
    <w:tbl>
      <w:tblPr>
        <w:tblStyle w:val="GridTable4-Accent1"/>
        <w:tblW w:w="10530" w:type="dxa"/>
        <w:tblBorders>
          <w:top w:val="single" w:sz="4" w:space="0" w:color="204C81" w:themeColor="accent1"/>
          <w:left w:val="single" w:sz="4" w:space="0" w:color="204C81" w:themeColor="accent1"/>
          <w:bottom w:val="single" w:sz="4" w:space="0" w:color="204C81" w:themeColor="accent1"/>
          <w:right w:val="single" w:sz="4" w:space="0" w:color="204C81" w:themeColor="accent1"/>
          <w:insideH w:val="single" w:sz="4" w:space="0" w:color="204C81" w:themeColor="accent1"/>
          <w:insideV w:val="single" w:sz="4" w:space="0" w:color="204C81" w:themeColor="accent1"/>
        </w:tblBorders>
        <w:tblLayout w:type="fixed"/>
        <w:tblLook w:val="04A0" w:firstRow="1" w:lastRow="0" w:firstColumn="1" w:lastColumn="0" w:noHBand="0" w:noVBand="1"/>
      </w:tblPr>
      <w:tblGrid>
        <w:gridCol w:w="1885"/>
        <w:gridCol w:w="1710"/>
        <w:gridCol w:w="6935"/>
      </w:tblGrid>
      <w:tr w:rsidR="00523945" w:rsidRPr="00523945" w14:paraId="5DFFBB6F" w14:textId="77777777" w:rsidTr="007B6097">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single" w:sz="4" w:space="0" w:color="auto"/>
              <w:bottom w:val="single" w:sz="4" w:space="0" w:color="auto"/>
              <w:right w:val="single" w:sz="4" w:space="0" w:color="auto"/>
            </w:tcBorders>
            <w:shd w:val="clear" w:color="auto" w:fill="204C81"/>
            <w:vAlign w:val="center"/>
            <w:hideMark/>
          </w:tcPr>
          <w:p w14:paraId="2E741516" w14:textId="77777777" w:rsidR="00E50C48" w:rsidRPr="00523945" w:rsidRDefault="00E50C48" w:rsidP="00523945">
            <w:pPr>
              <w:jc w:val="center"/>
              <w:rPr>
                <w:rFonts w:ascii="Tahoma" w:hAnsi="Tahoma" w:cs="Tahoma"/>
                <w:b w:val="0"/>
                <w:bCs w:val="0"/>
                <w:sz w:val="22"/>
                <w:szCs w:val="22"/>
              </w:rPr>
            </w:pPr>
            <w:r w:rsidRPr="00523945">
              <w:rPr>
                <w:rFonts w:ascii="Tahoma" w:hAnsi="Tahoma" w:cs="Tahoma"/>
                <w:sz w:val="22"/>
                <w:szCs w:val="22"/>
              </w:rPr>
              <w:t>Version</w:t>
            </w:r>
          </w:p>
        </w:tc>
        <w:tc>
          <w:tcPr>
            <w:tcW w:w="1710" w:type="dxa"/>
            <w:tcBorders>
              <w:top w:val="single" w:sz="4" w:space="0" w:color="auto"/>
              <w:left w:val="single" w:sz="4" w:space="0" w:color="auto"/>
              <w:bottom w:val="single" w:sz="4" w:space="0" w:color="auto"/>
              <w:right w:val="single" w:sz="4" w:space="0" w:color="auto"/>
            </w:tcBorders>
            <w:shd w:val="clear" w:color="auto" w:fill="204C81"/>
            <w:vAlign w:val="center"/>
          </w:tcPr>
          <w:p w14:paraId="3659BD04" w14:textId="2F092C61" w:rsidR="00E50C48" w:rsidRPr="00523945" w:rsidRDefault="00E50C48" w:rsidP="00523945">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2"/>
                <w:szCs w:val="22"/>
              </w:rPr>
            </w:pPr>
            <w:r w:rsidRPr="00523945">
              <w:rPr>
                <w:rFonts w:ascii="Tahoma" w:hAnsi="Tahoma" w:cs="Tahoma"/>
                <w:sz w:val="22"/>
                <w:szCs w:val="22"/>
              </w:rPr>
              <w:t>Date</w:t>
            </w:r>
          </w:p>
        </w:tc>
        <w:tc>
          <w:tcPr>
            <w:tcW w:w="6935" w:type="dxa"/>
            <w:tcBorders>
              <w:top w:val="single" w:sz="4" w:space="0" w:color="auto"/>
              <w:left w:val="single" w:sz="4" w:space="0" w:color="auto"/>
              <w:bottom w:val="single" w:sz="4" w:space="0" w:color="auto"/>
              <w:right w:val="single" w:sz="4" w:space="0" w:color="auto"/>
            </w:tcBorders>
            <w:shd w:val="clear" w:color="auto" w:fill="204C81"/>
            <w:vAlign w:val="center"/>
          </w:tcPr>
          <w:p w14:paraId="2BB51BFE" w14:textId="77777777" w:rsidR="00E50C48" w:rsidRPr="00523945" w:rsidRDefault="00E50C48" w:rsidP="00523945">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2"/>
                <w:szCs w:val="22"/>
              </w:rPr>
            </w:pPr>
            <w:r w:rsidRPr="00523945">
              <w:rPr>
                <w:rFonts w:ascii="Tahoma" w:hAnsi="Tahoma" w:cs="Tahoma"/>
                <w:sz w:val="22"/>
                <w:szCs w:val="22"/>
              </w:rPr>
              <w:t>Revision Details</w:t>
            </w:r>
          </w:p>
        </w:tc>
      </w:tr>
      <w:tr w:rsidR="00E50C48" w:rsidRPr="00C91FFF" w14:paraId="792F2EE2" w14:textId="77777777" w:rsidTr="0036062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tcBorders>
            <w:shd w:val="clear" w:color="auto" w:fill="auto"/>
          </w:tcPr>
          <w:p w14:paraId="36C67B33" w14:textId="77777777" w:rsidR="00E50C48" w:rsidRPr="00523945" w:rsidRDefault="00E50C48" w:rsidP="00523945">
            <w:pPr>
              <w:spacing w:before="120" w:after="120"/>
              <w:jc w:val="center"/>
              <w:rPr>
                <w:rFonts w:ascii="Calibri" w:hAnsi="Calibri"/>
                <w:b w:val="0"/>
                <w:bCs w:val="0"/>
                <w:color w:val="000000"/>
                <w:sz w:val="22"/>
                <w:szCs w:val="22"/>
              </w:rPr>
            </w:pPr>
            <w:r w:rsidRPr="00523945">
              <w:rPr>
                <w:rFonts w:ascii="Calibri" w:hAnsi="Calibri"/>
                <w:b w:val="0"/>
                <w:bCs w:val="0"/>
                <w:color w:val="000000"/>
                <w:sz w:val="22"/>
                <w:szCs w:val="22"/>
              </w:rPr>
              <w:t>1.0</w:t>
            </w:r>
          </w:p>
        </w:tc>
        <w:tc>
          <w:tcPr>
            <w:tcW w:w="1710" w:type="dxa"/>
            <w:tcBorders>
              <w:top w:val="single" w:sz="4" w:space="0" w:color="auto"/>
            </w:tcBorders>
            <w:shd w:val="clear" w:color="auto" w:fill="auto"/>
          </w:tcPr>
          <w:p w14:paraId="77712040" w14:textId="564FD8D6" w:rsidR="00E50C48" w:rsidRPr="00523945" w:rsidRDefault="00CD06C3" w:rsidP="00523945">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7</w:t>
            </w:r>
            <w:r w:rsidR="00E50C48" w:rsidRPr="00523945">
              <w:rPr>
                <w:sz w:val="22"/>
                <w:szCs w:val="22"/>
              </w:rPr>
              <w:t>/2</w:t>
            </w:r>
            <w:r>
              <w:rPr>
                <w:sz w:val="22"/>
                <w:szCs w:val="22"/>
              </w:rPr>
              <w:t>5</w:t>
            </w:r>
            <w:r w:rsidR="00E50C48" w:rsidRPr="00523945">
              <w:rPr>
                <w:sz w:val="22"/>
                <w:szCs w:val="22"/>
              </w:rPr>
              <w:t>/202</w:t>
            </w:r>
            <w:r>
              <w:rPr>
                <w:sz w:val="22"/>
                <w:szCs w:val="22"/>
              </w:rPr>
              <w:t>3</w:t>
            </w:r>
          </w:p>
        </w:tc>
        <w:tc>
          <w:tcPr>
            <w:tcW w:w="6935" w:type="dxa"/>
            <w:tcBorders>
              <w:top w:val="single" w:sz="4" w:space="0" w:color="auto"/>
            </w:tcBorders>
            <w:shd w:val="clear" w:color="auto" w:fill="auto"/>
          </w:tcPr>
          <w:p w14:paraId="49EF3774" w14:textId="520299EC" w:rsidR="00E50C48" w:rsidRPr="00523945" w:rsidRDefault="00CD06C3" w:rsidP="00523945">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r>
              <w:rPr>
                <w:color w:val="000000" w:themeColor="accent6"/>
                <w:sz w:val="22"/>
                <w:szCs w:val="22"/>
              </w:rPr>
              <w:t>Removed footnote to NERC Functional Model</w:t>
            </w:r>
          </w:p>
        </w:tc>
      </w:tr>
      <w:tr w:rsidR="00E50C48" w:rsidRPr="00C91FFF" w14:paraId="0491268D" w14:textId="77777777" w:rsidTr="00523945">
        <w:trPr>
          <w:trHeight w:val="288"/>
        </w:trPr>
        <w:tc>
          <w:tcPr>
            <w:cnfStyle w:val="001000000000" w:firstRow="0" w:lastRow="0" w:firstColumn="1" w:lastColumn="0" w:oddVBand="0" w:evenVBand="0" w:oddHBand="0" w:evenHBand="0" w:firstRowFirstColumn="0" w:firstRowLastColumn="0" w:lastRowFirstColumn="0" w:lastRowLastColumn="0"/>
            <w:tcW w:w="1885" w:type="dxa"/>
          </w:tcPr>
          <w:p w14:paraId="22269AD3" w14:textId="1C155507" w:rsidR="00E50C48" w:rsidRPr="00523945" w:rsidRDefault="00E50C48" w:rsidP="00523945">
            <w:pPr>
              <w:spacing w:before="120" w:after="120"/>
              <w:jc w:val="center"/>
              <w:rPr>
                <w:rFonts w:ascii="Calibri" w:hAnsi="Calibri"/>
                <w:b w:val="0"/>
                <w:bCs w:val="0"/>
                <w:color w:val="000000"/>
                <w:sz w:val="22"/>
                <w:szCs w:val="22"/>
              </w:rPr>
            </w:pPr>
            <w:r w:rsidRPr="00523945">
              <w:rPr>
                <w:rFonts w:ascii="Calibri" w:hAnsi="Calibri"/>
                <w:b w:val="0"/>
                <w:bCs w:val="0"/>
                <w:color w:val="000000"/>
                <w:sz w:val="22"/>
                <w:szCs w:val="22"/>
              </w:rPr>
              <w:t>2.0</w:t>
            </w:r>
          </w:p>
        </w:tc>
        <w:tc>
          <w:tcPr>
            <w:tcW w:w="1710" w:type="dxa"/>
          </w:tcPr>
          <w:p w14:paraId="3E0E5AE8" w14:textId="4B29742B" w:rsidR="00E50C48" w:rsidRPr="00523945" w:rsidRDefault="00E50C48" w:rsidP="0052394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523945">
              <w:rPr>
                <w:rFonts w:ascii="Calibri" w:hAnsi="Calibri"/>
                <w:color w:val="000000"/>
                <w:sz w:val="22"/>
                <w:szCs w:val="22"/>
              </w:rPr>
              <w:t>8/22/2023</w:t>
            </w:r>
          </w:p>
        </w:tc>
        <w:tc>
          <w:tcPr>
            <w:tcW w:w="6935" w:type="dxa"/>
          </w:tcPr>
          <w:p w14:paraId="47C25058" w14:textId="5C3CF91C" w:rsidR="00E50C48" w:rsidRPr="00523945" w:rsidRDefault="00E50C48" w:rsidP="00523945">
            <w:pPr>
              <w:spacing w:before="120" w:after="12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523945">
              <w:rPr>
                <w:color w:val="000000"/>
                <w:sz w:val="22"/>
                <w:szCs w:val="22"/>
              </w:rPr>
              <w:t xml:space="preserve">Updated </w:t>
            </w:r>
            <w:r w:rsidR="00CD06C3">
              <w:rPr>
                <w:color w:val="000000"/>
                <w:sz w:val="22"/>
                <w:szCs w:val="22"/>
              </w:rPr>
              <w:t>to include</w:t>
            </w:r>
            <w:r w:rsidRPr="00523945">
              <w:rPr>
                <w:color w:val="000000"/>
                <w:sz w:val="22"/>
                <w:szCs w:val="22"/>
              </w:rPr>
              <w:t xml:space="preserve"> project information headers</w:t>
            </w:r>
            <w:r w:rsidR="00646F0A">
              <w:rPr>
                <w:color w:val="000000"/>
                <w:sz w:val="22"/>
                <w:szCs w:val="22"/>
              </w:rPr>
              <w:t>,</w:t>
            </w:r>
            <w:r w:rsidRPr="00523945">
              <w:rPr>
                <w:color w:val="000000"/>
                <w:sz w:val="22"/>
                <w:szCs w:val="22"/>
              </w:rPr>
              <w:t xml:space="preserve"> language regarding time commitments</w:t>
            </w:r>
            <w:r w:rsidR="00CD06C3">
              <w:rPr>
                <w:color w:val="000000"/>
                <w:sz w:val="22"/>
                <w:szCs w:val="22"/>
              </w:rPr>
              <w:t>,</w:t>
            </w:r>
            <w:r w:rsidR="00646F0A">
              <w:rPr>
                <w:color w:val="000000"/>
                <w:sz w:val="22"/>
                <w:szCs w:val="22"/>
              </w:rPr>
              <w:t xml:space="preserve"> and project priority</w:t>
            </w:r>
          </w:p>
        </w:tc>
      </w:tr>
    </w:tbl>
    <w:p w14:paraId="60794A18" w14:textId="4ACC1DF4" w:rsidR="002F2BFE" w:rsidRDefault="002F2BFE" w:rsidP="00E50C48">
      <w:pPr>
        <w:pStyle w:val="Heading1"/>
      </w:pPr>
    </w:p>
    <w:sectPr w:rsidR="002F2BFE" w:rsidSect="004A60CD">
      <w:headerReference w:type="default" r:id="rId17"/>
      <w:footerReference w:type="default" r:id="rId18"/>
      <w:headerReference w:type="first" r:id="rId19"/>
      <w:footerReference w:type="first" r:id="rId20"/>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A32A9" w14:textId="77777777" w:rsidR="006D2BCF" w:rsidRDefault="006D2BCF">
      <w:r>
        <w:separator/>
      </w:r>
    </w:p>
  </w:endnote>
  <w:endnote w:type="continuationSeparator" w:id="0">
    <w:p w14:paraId="7D4F72B0" w14:textId="77777777" w:rsidR="006D2BCF" w:rsidRDefault="006D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B" w14:textId="200247AD" w:rsidR="00896153" w:rsidRPr="00855BA8" w:rsidRDefault="00896153" w:rsidP="0002368A">
    <w:pPr>
      <w:pStyle w:val="Footer"/>
      <w:tabs>
        <w:tab w:val="clear" w:pos="10354"/>
        <w:tab w:val="right" w:pos="10350"/>
      </w:tabs>
      <w:ind w:left="0" w:right="18"/>
    </w:pPr>
    <w:r>
      <w:t>Unofficial Nomination Form</w:t>
    </w:r>
    <w:r w:rsidR="0002368A">
      <w:br/>
    </w:r>
    <w:r w:rsidR="004F7D69" w:rsidRPr="004F7D69">
      <w:t xml:space="preserve">2022-05 Modifications to CIP-008 Reporting Threshold </w:t>
    </w:r>
    <w:r w:rsidR="00833311" w:rsidRPr="00833311">
      <w:t xml:space="preserve">| </w:t>
    </w:r>
    <w:r w:rsidR="000C7FA4">
      <w:t xml:space="preserve">September </w:t>
    </w:r>
    <w:r w:rsidR="004F7D69">
      <w:t>2025</w:t>
    </w:r>
    <w:r>
      <w:tab/>
    </w:r>
    <w:r w:rsidR="001F52FD">
      <w:fldChar w:fldCharType="begin"/>
    </w:r>
    <w:r w:rsidR="001F52FD">
      <w:instrText xml:space="preserve"> PAGE </w:instrText>
    </w:r>
    <w:r w:rsidR="001F52FD">
      <w:fldChar w:fldCharType="separate"/>
    </w:r>
    <w:r w:rsidR="00465B83">
      <w:rPr>
        <w:noProof/>
      </w:rPr>
      <w:t>6</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C8E73" w14:textId="77777777" w:rsidR="00FF620E" w:rsidRDefault="00FF620E" w:rsidP="00FF620E"/>
  <w:p w14:paraId="433896AE" w14:textId="7DE8CB49" w:rsidR="00896153" w:rsidRPr="00FF620E" w:rsidRDefault="00FF620E" w:rsidP="00FF620E">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58638" w14:textId="77777777" w:rsidR="006D2BCF" w:rsidRDefault="006D2BCF">
      <w:r>
        <w:separator/>
      </w:r>
    </w:p>
  </w:footnote>
  <w:footnote w:type="continuationSeparator" w:id="0">
    <w:p w14:paraId="7B068304" w14:textId="77777777" w:rsidR="006D2BCF" w:rsidRDefault="006D2BCF">
      <w:r>
        <w:continuationSeparator/>
      </w:r>
    </w:p>
  </w:footnote>
  <w:footnote w:id="1">
    <w:p w14:paraId="51421252" w14:textId="77777777" w:rsidR="00B74DD4" w:rsidRDefault="00B74DD4" w:rsidP="00B74DD4">
      <w:pPr>
        <w:pStyle w:val="FootnoteText"/>
      </w:pPr>
      <w:r>
        <w:rPr>
          <w:rStyle w:val="FootnoteReference"/>
        </w:rPr>
        <w:footnoteRef/>
      </w:r>
      <w:r>
        <w:t xml:space="preserve"> </w:t>
      </w:r>
      <w:hyperlink r:id="rId1" w:history="1">
        <w:r w:rsidRPr="00A95ABE">
          <w:rPr>
            <w:rStyle w:val="Hyperlink"/>
          </w:rPr>
          <w:t>https://www.nerc.com/FilingsOrders/us/FERCOrdersRules/E-1_Order%20No.%20848.pdf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A" w14:textId="3C2A65E0" w:rsidR="00896153" w:rsidRDefault="00260BED">
    <w:r>
      <w:rPr>
        <w:noProof/>
      </w:rPr>
      <w:drawing>
        <wp:anchor distT="0" distB="0" distL="114300" distR="114300" simplePos="0" relativeHeight="251658241"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C" w14:textId="36570B23" w:rsidR="00896153" w:rsidRPr="00465B83" w:rsidRDefault="00260BED" w:rsidP="00465B83">
    <w:pPr>
      <w:jc w:val="right"/>
      <w:rPr>
        <w:b/>
      </w:rPr>
    </w:pPr>
    <w:r w:rsidRPr="00465B83">
      <w:rPr>
        <w:b/>
        <w:noProof/>
      </w:rPr>
      <w:drawing>
        <wp:anchor distT="0" distB="0" distL="114300" distR="114300" simplePos="0" relativeHeight="251658240"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DB28DF"/>
    <w:multiLevelType w:val="hybridMultilevel"/>
    <w:tmpl w:val="C2F4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0"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3AE511F"/>
    <w:multiLevelType w:val="hybridMultilevel"/>
    <w:tmpl w:val="4BC080B4"/>
    <w:lvl w:ilvl="0" w:tplc="04090001">
      <w:start w:val="1"/>
      <w:numFmt w:val="bullet"/>
      <w:lvlText w:val=""/>
      <w:lvlJc w:val="left"/>
      <w:pPr>
        <w:ind w:left="715" w:hanging="360"/>
      </w:pPr>
      <w:rPr>
        <w:rFonts w:ascii="Symbol" w:hAnsi="Symbol"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2"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562651">
    <w:abstractNumId w:val="20"/>
  </w:num>
  <w:num w:numId="2" w16cid:durableId="1971278155">
    <w:abstractNumId w:val="12"/>
  </w:num>
  <w:num w:numId="3" w16cid:durableId="89014297">
    <w:abstractNumId w:val="22"/>
  </w:num>
  <w:num w:numId="4" w16cid:durableId="223299752">
    <w:abstractNumId w:val="16"/>
  </w:num>
  <w:num w:numId="5" w16cid:durableId="831414163">
    <w:abstractNumId w:val="23"/>
  </w:num>
  <w:num w:numId="6" w16cid:durableId="225259505">
    <w:abstractNumId w:val="9"/>
  </w:num>
  <w:num w:numId="7" w16cid:durableId="1774591990">
    <w:abstractNumId w:val="7"/>
  </w:num>
  <w:num w:numId="8" w16cid:durableId="2123575028">
    <w:abstractNumId w:val="6"/>
  </w:num>
  <w:num w:numId="9" w16cid:durableId="1956329289">
    <w:abstractNumId w:val="5"/>
  </w:num>
  <w:num w:numId="10" w16cid:durableId="1190099704">
    <w:abstractNumId w:val="4"/>
  </w:num>
  <w:num w:numId="11" w16cid:durableId="1191526356">
    <w:abstractNumId w:val="8"/>
  </w:num>
  <w:num w:numId="12" w16cid:durableId="1253706439">
    <w:abstractNumId w:val="3"/>
  </w:num>
  <w:num w:numId="13" w16cid:durableId="1298992049">
    <w:abstractNumId w:val="2"/>
  </w:num>
  <w:num w:numId="14" w16cid:durableId="1636713059">
    <w:abstractNumId w:val="1"/>
  </w:num>
  <w:num w:numId="15" w16cid:durableId="36853813">
    <w:abstractNumId w:val="0"/>
  </w:num>
  <w:num w:numId="16" w16cid:durableId="1544518372">
    <w:abstractNumId w:val="17"/>
  </w:num>
  <w:num w:numId="17" w16cid:durableId="162167589">
    <w:abstractNumId w:val="13"/>
  </w:num>
  <w:num w:numId="18" w16cid:durableId="2014449625">
    <w:abstractNumId w:val="15"/>
  </w:num>
  <w:num w:numId="19" w16cid:durableId="1529874869">
    <w:abstractNumId w:val="11"/>
  </w:num>
  <w:num w:numId="20" w16cid:durableId="225578886">
    <w:abstractNumId w:val="19"/>
  </w:num>
  <w:num w:numId="21" w16cid:durableId="1328948050">
    <w:abstractNumId w:val="14"/>
  </w:num>
  <w:num w:numId="22" w16cid:durableId="1990472938">
    <w:abstractNumId w:val="10"/>
  </w:num>
  <w:num w:numId="23" w16cid:durableId="2134639146">
    <w:abstractNumId w:val="24"/>
  </w:num>
  <w:num w:numId="24" w16cid:durableId="280653828">
    <w:abstractNumId w:val="18"/>
  </w:num>
  <w:num w:numId="25" w16cid:durableId="176445030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D3B"/>
    <w:rsid w:val="0000166A"/>
    <w:rsid w:val="000067C8"/>
    <w:rsid w:val="00011D42"/>
    <w:rsid w:val="0002368A"/>
    <w:rsid w:val="00026538"/>
    <w:rsid w:val="000334DF"/>
    <w:rsid w:val="00047DCD"/>
    <w:rsid w:val="0005763D"/>
    <w:rsid w:val="00064B26"/>
    <w:rsid w:val="00074AA7"/>
    <w:rsid w:val="00081BCE"/>
    <w:rsid w:val="00090578"/>
    <w:rsid w:val="000A70BC"/>
    <w:rsid w:val="000B36CB"/>
    <w:rsid w:val="000B7A04"/>
    <w:rsid w:val="000C32BD"/>
    <w:rsid w:val="000C7FA4"/>
    <w:rsid w:val="000D7162"/>
    <w:rsid w:val="000E3AB0"/>
    <w:rsid w:val="000F23AD"/>
    <w:rsid w:val="00102A01"/>
    <w:rsid w:val="00104317"/>
    <w:rsid w:val="001346AA"/>
    <w:rsid w:val="00136931"/>
    <w:rsid w:val="001574EA"/>
    <w:rsid w:val="00193AE7"/>
    <w:rsid w:val="00196FDD"/>
    <w:rsid w:val="001A6FC8"/>
    <w:rsid w:val="001D47FD"/>
    <w:rsid w:val="001F52FD"/>
    <w:rsid w:val="001F53FB"/>
    <w:rsid w:val="002025AF"/>
    <w:rsid w:val="00202BB5"/>
    <w:rsid w:val="00217B25"/>
    <w:rsid w:val="00222203"/>
    <w:rsid w:val="00240726"/>
    <w:rsid w:val="00246CC0"/>
    <w:rsid w:val="00257B0C"/>
    <w:rsid w:val="00260BED"/>
    <w:rsid w:val="00283FB4"/>
    <w:rsid w:val="002B29E4"/>
    <w:rsid w:val="002E2423"/>
    <w:rsid w:val="002E488B"/>
    <w:rsid w:val="002F2BFE"/>
    <w:rsid w:val="00300ABD"/>
    <w:rsid w:val="003134D1"/>
    <w:rsid w:val="00360626"/>
    <w:rsid w:val="003655E5"/>
    <w:rsid w:val="00366A96"/>
    <w:rsid w:val="0038676B"/>
    <w:rsid w:val="0039275D"/>
    <w:rsid w:val="003B6D64"/>
    <w:rsid w:val="003E1C41"/>
    <w:rsid w:val="003E3883"/>
    <w:rsid w:val="0040580D"/>
    <w:rsid w:val="0041064C"/>
    <w:rsid w:val="0042115B"/>
    <w:rsid w:val="00430700"/>
    <w:rsid w:val="00442ED0"/>
    <w:rsid w:val="0044688D"/>
    <w:rsid w:val="00447F09"/>
    <w:rsid w:val="00456B99"/>
    <w:rsid w:val="004631BF"/>
    <w:rsid w:val="00465B83"/>
    <w:rsid w:val="00467326"/>
    <w:rsid w:val="00476B91"/>
    <w:rsid w:val="004800C7"/>
    <w:rsid w:val="004859C6"/>
    <w:rsid w:val="0048765A"/>
    <w:rsid w:val="00487E9F"/>
    <w:rsid w:val="004A1B6D"/>
    <w:rsid w:val="004A3B85"/>
    <w:rsid w:val="004A60CD"/>
    <w:rsid w:val="004B7DE3"/>
    <w:rsid w:val="004C1DAF"/>
    <w:rsid w:val="004C2CD1"/>
    <w:rsid w:val="004C7EEE"/>
    <w:rsid w:val="004D5953"/>
    <w:rsid w:val="004E3CDD"/>
    <w:rsid w:val="004E7B5C"/>
    <w:rsid w:val="004F7D69"/>
    <w:rsid w:val="00510652"/>
    <w:rsid w:val="00520FD1"/>
    <w:rsid w:val="00523945"/>
    <w:rsid w:val="005316C6"/>
    <w:rsid w:val="005316F3"/>
    <w:rsid w:val="00536AF2"/>
    <w:rsid w:val="005426EA"/>
    <w:rsid w:val="005460C0"/>
    <w:rsid w:val="00555F79"/>
    <w:rsid w:val="00563006"/>
    <w:rsid w:val="00565AB5"/>
    <w:rsid w:val="00573832"/>
    <w:rsid w:val="00583A5C"/>
    <w:rsid w:val="005A10E2"/>
    <w:rsid w:val="005A721A"/>
    <w:rsid w:val="005B7382"/>
    <w:rsid w:val="005D3F72"/>
    <w:rsid w:val="00601482"/>
    <w:rsid w:val="00614E63"/>
    <w:rsid w:val="00623196"/>
    <w:rsid w:val="0062446B"/>
    <w:rsid w:val="00631E0B"/>
    <w:rsid w:val="00635FCA"/>
    <w:rsid w:val="00646F0A"/>
    <w:rsid w:val="00652754"/>
    <w:rsid w:val="00663305"/>
    <w:rsid w:val="00676CFA"/>
    <w:rsid w:val="006826D0"/>
    <w:rsid w:val="00692F16"/>
    <w:rsid w:val="00694CD1"/>
    <w:rsid w:val="006A71F1"/>
    <w:rsid w:val="006B3EC7"/>
    <w:rsid w:val="006C1F78"/>
    <w:rsid w:val="006C3C30"/>
    <w:rsid w:val="006C6BAC"/>
    <w:rsid w:val="006D2BCF"/>
    <w:rsid w:val="006E67B7"/>
    <w:rsid w:val="006E7855"/>
    <w:rsid w:val="006E7949"/>
    <w:rsid w:val="006F7708"/>
    <w:rsid w:val="007028C0"/>
    <w:rsid w:val="0070514B"/>
    <w:rsid w:val="00707018"/>
    <w:rsid w:val="007254EA"/>
    <w:rsid w:val="00726A02"/>
    <w:rsid w:val="00733724"/>
    <w:rsid w:val="0074626C"/>
    <w:rsid w:val="00753704"/>
    <w:rsid w:val="00791651"/>
    <w:rsid w:val="00792581"/>
    <w:rsid w:val="007B016D"/>
    <w:rsid w:val="007B6097"/>
    <w:rsid w:val="007C4B0F"/>
    <w:rsid w:val="007C5DB6"/>
    <w:rsid w:val="007E79B4"/>
    <w:rsid w:val="0080753A"/>
    <w:rsid w:val="00816016"/>
    <w:rsid w:val="00833311"/>
    <w:rsid w:val="00855BA8"/>
    <w:rsid w:val="0086391A"/>
    <w:rsid w:val="008866E7"/>
    <w:rsid w:val="00896153"/>
    <w:rsid w:val="008A07D5"/>
    <w:rsid w:val="008A2272"/>
    <w:rsid w:val="008A60E1"/>
    <w:rsid w:val="008A7F35"/>
    <w:rsid w:val="008C572D"/>
    <w:rsid w:val="008F3E6E"/>
    <w:rsid w:val="00905DC1"/>
    <w:rsid w:val="00916793"/>
    <w:rsid w:val="0091727B"/>
    <w:rsid w:val="00930D3B"/>
    <w:rsid w:val="00972C26"/>
    <w:rsid w:val="00975BF0"/>
    <w:rsid w:val="00976181"/>
    <w:rsid w:val="00996585"/>
    <w:rsid w:val="00997A70"/>
    <w:rsid w:val="009A4ED6"/>
    <w:rsid w:val="009E317C"/>
    <w:rsid w:val="009E390D"/>
    <w:rsid w:val="00A15C0A"/>
    <w:rsid w:val="00A35DA7"/>
    <w:rsid w:val="00A6738A"/>
    <w:rsid w:val="00A77766"/>
    <w:rsid w:val="00A93E2D"/>
    <w:rsid w:val="00AB4D4A"/>
    <w:rsid w:val="00AC0C35"/>
    <w:rsid w:val="00AD1865"/>
    <w:rsid w:val="00AF0340"/>
    <w:rsid w:val="00B1229D"/>
    <w:rsid w:val="00B1269D"/>
    <w:rsid w:val="00B146D4"/>
    <w:rsid w:val="00B240FF"/>
    <w:rsid w:val="00B375B5"/>
    <w:rsid w:val="00B62A1A"/>
    <w:rsid w:val="00B74DD4"/>
    <w:rsid w:val="00B86AB0"/>
    <w:rsid w:val="00BA34E0"/>
    <w:rsid w:val="00BE5580"/>
    <w:rsid w:val="00BF7EF4"/>
    <w:rsid w:val="00C0512A"/>
    <w:rsid w:val="00C31EA1"/>
    <w:rsid w:val="00C52B81"/>
    <w:rsid w:val="00C802A9"/>
    <w:rsid w:val="00C80B80"/>
    <w:rsid w:val="00C87293"/>
    <w:rsid w:val="00C975FA"/>
    <w:rsid w:val="00CC7BE7"/>
    <w:rsid w:val="00CD06C3"/>
    <w:rsid w:val="00CF6E4A"/>
    <w:rsid w:val="00D054CF"/>
    <w:rsid w:val="00D06D7D"/>
    <w:rsid w:val="00D228D6"/>
    <w:rsid w:val="00D32C96"/>
    <w:rsid w:val="00D34F9C"/>
    <w:rsid w:val="00D56EBF"/>
    <w:rsid w:val="00D5715F"/>
    <w:rsid w:val="00D6749B"/>
    <w:rsid w:val="00D71B57"/>
    <w:rsid w:val="00D71BA8"/>
    <w:rsid w:val="00D8646B"/>
    <w:rsid w:val="00D87778"/>
    <w:rsid w:val="00D92C90"/>
    <w:rsid w:val="00D933A3"/>
    <w:rsid w:val="00D945B5"/>
    <w:rsid w:val="00D94DDC"/>
    <w:rsid w:val="00D9670F"/>
    <w:rsid w:val="00D96A22"/>
    <w:rsid w:val="00D97BFE"/>
    <w:rsid w:val="00DA13F7"/>
    <w:rsid w:val="00DA634C"/>
    <w:rsid w:val="00DB028B"/>
    <w:rsid w:val="00DB62EC"/>
    <w:rsid w:val="00DB7C23"/>
    <w:rsid w:val="00DD3E6B"/>
    <w:rsid w:val="00DD63A3"/>
    <w:rsid w:val="00E12250"/>
    <w:rsid w:val="00E24246"/>
    <w:rsid w:val="00E435C7"/>
    <w:rsid w:val="00E50C48"/>
    <w:rsid w:val="00E65B2F"/>
    <w:rsid w:val="00E84AA3"/>
    <w:rsid w:val="00F1133F"/>
    <w:rsid w:val="00F200CF"/>
    <w:rsid w:val="00F31926"/>
    <w:rsid w:val="00F359FF"/>
    <w:rsid w:val="00F5557A"/>
    <w:rsid w:val="00FB5404"/>
    <w:rsid w:val="00FC7B36"/>
    <w:rsid w:val="00FD1345"/>
    <w:rsid w:val="00FF1E1F"/>
    <w:rsid w:val="00FF5C65"/>
    <w:rsid w:val="00FF620E"/>
    <w:rsid w:val="00FF6BE1"/>
    <w:rsid w:val="2DE500C2"/>
    <w:rsid w:val="6B35AFDF"/>
    <w:rsid w:val="7214D0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iPriority w:val="99"/>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 w:type="table" w:styleId="GridTable4-Accent1">
    <w:name w:val="Grid Table 4 Accent 1"/>
    <w:basedOn w:val="TableNormal"/>
    <w:uiPriority w:val="49"/>
    <w:rsid w:val="00465B83"/>
    <w:tblPr>
      <w:tblStyleRowBandSize w:val="1"/>
      <w:tblStyleColBandSize w:val="1"/>
      <w:tblBorders>
        <w:top w:val="single" w:sz="4" w:space="0" w:color="578FD5" w:themeColor="accent1" w:themeTint="99"/>
        <w:left w:val="single" w:sz="4" w:space="0" w:color="578FD5" w:themeColor="accent1" w:themeTint="99"/>
        <w:bottom w:val="single" w:sz="4" w:space="0" w:color="578FD5" w:themeColor="accent1" w:themeTint="99"/>
        <w:right w:val="single" w:sz="4" w:space="0" w:color="578FD5" w:themeColor="accent1" w:themeTint="99"/>
        <w:insideH w:val="single" w:sz="4" w:space="0" w:color="578FD5" w:themeColor="accent1" w:themeTint="99"/>
        <w:insideV w:val="single" w:sz="4" w:space="0" w:color="578FD5" w:themeColor="accent1" w:themeTint="99"/>
      </w:tblBorders>
    </w:tblPr>
    <w:tblStylePr w:type="firstRow">
      <w:rPr>
        <w:b/>
        <w:bCs/>
        <w:color w:val="FFFFFF" w:themeColor="background1"/>
      </w:rPr>
      <w:tblPr/>
      <w:tcPr>
        <w:tcBorders>
          <w:top w:val="single" w:sz="4" w:space="0" w:color="204C81" w:themeColor="accent1"/>
          <w:left w:val="single" w:sz="4" w:space="0" w:color="204C81" w:themeColor="accent1"/>
          <w:bottom w:val="single" w:sz="4" w:space="0" w:color="204C81" w:themeColor="accent1"/>
          <w:right w:val="single" w:sz="4" w:space="0" w:color="204C81" w:themeColor="accent1"/>
          <w:insideH w:val="nil"/>
          <w:insideV w:val="nil"/>
        </w:tcBorders>
        <w:shd w:val="clear" w:color="auto" w:fill="204C81" w:themeFill="accent1"/>
      </w:tcPr>
    </w:tblStylePr>
    <w:tblStylePr w:type="lastRow">
      <w:rPr>
        <w:b/>
        <w:bCs/>
      </w:rPr>
      <w:tblPr/>
      <w:tcPr>
        <w:tcBorders>
          <w:top w:val="double" w:sz="4" w:space="0" w:color="204C81" w:themeColor="accent1"/>
        </w:tcBorders>
      </w:tcPr>
    </w:tblStylePr>
    <w:tblStylePr w:type="firstCol">
      <w:rPr>
        <w:b/>
        <w:bCs/>
      </w:rPr>
    </w:tblStylePr>
    <w:tblStylePr w:type="lastCol">
      <w:rPr>
        <w:b/>
        <w:bCs/>
      </w:rPr>
    </w:tblStylePr>
    <w:tblStylePr w:type="band1Vert">
      <w:tblPr/>
      <w:tcPr>
        <w:shd w:val="clear" w:color="auto" w:fill="C6D9F1" w:themeFill="accent1" w:themeFillTint="33"/>
      </w:tcPr>
    </w:tblStylePr>
    <w:tblStylePr w:type="band1Horz">
      <w:tblPr/>
      <w:tcPr>
        <w:shd w:val="clear" w:color="auto" w:fill="C6D9F1" w:themeFill="accent1" w:themeFillTint="33"/>
      </w:tcPr>
    </w:tblStylePr>
  </w:style>
  <w:style w:type="character" w:customStyle="1" w:styleId="normaltextrun">
    <w:name w:val="normaltextrun"/>
    <w:basedOn w:val="DefaultParagraphFont"/>
    <w:rsid w:val="00B74DD4"/>
  </w:style>
  <w:style w:type="paragraph" w:styleId="Revision">
    <w:name w:val="Revision"/>
    <w:hidden/>
    <w:uiPriority w:val="99"/>
    <w:semiHidden/>
    <w:rsid w:val="000C7FA4"/>
    <w:rPr>
      <w:rFonts w:asciiTheme="minorHAnsi" w:hAnsiTheme="minorHAnsi"/>
      <w:sz w:val="24"/>
      <w:szCs w:val="24"/>
    </w:rPr>
  </w:style>
  <w:style w:type="character" w:styleId="UnresolvedMention">
    <w:name w:val="Unresolved Mention"/>
    <w:basedOn w:val="DefaultParagraphFont"/>
    <w:uiPriority w:val="99"/>
    <w:semiHidden/>
    <w:unhideWhenUsed/>
    <w:rsid w:val="000C7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061281">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0" Type="http://schemas.openxmlformats.org/officeDocument/2006/relationships/footer" Target="footer2.xml"/><Relationship Id="rId16" Type="http://schemas.openxmlformats.org/officeDocument/2006/relationships/hyperlink" Target="mailto:Josh.Blume@nerc.ne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nerc.com/pa/Stand/Pages/Project2022-05ModificationstoCIP-008-aspx.aspx" TargetMode="External"/><Relationship Id="rId10" Type="http://schemas.openxmlformats.org/officeDocument/2006/relationships/settings" Target="settings.xml"/><Relationship Id="rId19" Type="http://schemas.openxmlformats.org/officeDocument/2006/relationships/header" Target="header2.xml"/><Relationship Id="rId22" Type="http://schemas.openxmlformats.org/officeDocument/2006/relationships/theme" Target="theme/theme1.xml"/><Relationship Id="rId9" Type="http://schemas.openxmlformats.org/officeDocument/2006/relationships/styles" Target="styles.xml"/><Relationship Id="rId14" Type="http://schemas.openxmlformats.org/officeDocument/2006/relationships/hyperlink" Target="https://nerc.checkboxonline.com/5543422D-3559-42F2-8B91-90142A2C68A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erc.com/FilingsOrders/us/FERCOrdersRules/E-1_Order%20No.%2084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_dlc_DocId xmlns="cbf880be-c7c2-4487-81cc-39803b2f2238">V5FEZNQ3RRSY-729300196-7052</_dlc_DocId>
    <_dlc_DocIdUrl xmlns="cbf880be-c7c2-4487-81cc-39803b2f2238">
      <Url>https://departments.internal.nerc.com/StandardsDev/_layouts/15/DocIdRedir.aspx?ID=V5FEZNQ3RRSY-729300196-7052</Url>
      <Description>V5FEZNQ3RRSY-729300196-7052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6CEE196D17EFB4AB257F11B5A4F7CC7" ma:contentTypeVersion="1" ma:contentTypeDescription="Create a new document." ma:contentTypeScope="" ma:versionID="8753b79e47d28b5a811b091f4a1df9d3">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4df4c985-e251-4ac9-94dd-cae0264b19bc" local="false">
  <p:Name>Record Retention - 15 years</p:Name>
  <p:Description>Once a record is declared it will be maintained for 15 years</p:Description>
  <p:Statement>Maintain for 15 years.</p:Statement>
  <p:PolicyItems>
    <p:PolicyItem featureId="Microsoft.Office.RecordsManagement.PolicyFeatures.Expiration" staticId="0x01010078EEA3ECF0D5C6409A451734D31E55AF8900631D604F236CA840A89F4AFA292F5FD0|733160618" UniqueId="e70abc81-25fa-4d4d-be0f-4f0fe8c678c6">
      <p:Name>Retention</p:Name>
      <p:Description>Automatic scheduling of content for processing, and performing a retention action on content that has reached its due date.</p:Description>
      <p:CustomData>
        <Schedules nextStageId="2" default="false">
          <Schedule type="Default">
            <stages/>
          </Schedule>
          <Schedule type="Record">
            <stages>
              <data stageId="1">
                <formula id="Microsoft.Office.RecordsManagement.PolicyFeatures.Expiration.Formula.BuiltIn">
                  <number>15</number>
                  <property>_vti_ItemDeclaredRecord</property>
                  <propertyId>f9a44731-84eb-43a4-9973-cd2953ad8646</propertyId>
                  <period>years</period>
                </formula>
                <action type="action" id="Microsoft.Office.RecordsManagement.PolicyFeatures.Expiration.Action.MoveToRecycleBin"/>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FA1D400-2C2F-43CE-9427-E3BA39C934FD}">
  <ds:schemaRefs>
    <ds:schemaRef ds:uri="http://schemas.microsoft.com/office/2006/metadata/properties"/>
    <ds:schemaRef ds:uri="be72bb46-7b96-43f6-b3d2-cb56bca42853"/>
    <ds:schemaRef ds:uri="http://schemas.microsoft.com/sharepoint/v4"/>
    <ds:schemaRef ds:uri="3e1050e7-7faf-40ec-88f1-5bdab33a6ff5"/>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D783B2B-0B77-404F-924E-3A4B32A0A4BF}">
  <ds:schemaRefs>
    <ds:schemaRef ds:uri="http://schemas.microsoft.com/sharepoint/events"/>
  </ds:schemaRefs>
</ds:datastoreItem>
</file>

<file path=customXml/itemProps3.xml><?xml version="1.0" encoding="utf-8"?>
<ds:datastoreItem xmlns:ds="http://schemas.openxmlformats.org/officeDocument/2006/customXml" ds:itemID="{F181D5F5-E3A7-40AA-9863-E572EBA1C932}"/>
</file>

<file path=customXml/itemProps4.xml><?xml version="1.0" encoding="utf-8"?>
<ds:datastoreItem xmlns:ds="http://schemas.openxmlformats.org/officeDocument/2006/customXml" ds:itemID="{B465E88C-0480-40DE-9904-F12475BED27D}">
  <ds:schemaRefs>
    <ds:schemaRef ds:uri="office.server.policy"/>
  </ds:schemaRefs>
</ds:datastoreItem>
</file>

<file path=customXml/itemProps5.xml><?xml version="1.0" encoding="utf-8"?>
<ds:datastoreItem xmlns:ds="http://schemas.openxmlformats.org/officeDocument/2006/customXml" ds:itemID="{98890F0B-04D6-4AEF-9C73-C1C1F4A57783}">
  <ds:schemaRefs>
    <ds:schemaRef ds:uri="http://schemas.microsoft.com/sharepoint/v3/contenttype/forms"/>
  </ds:schemaRefs>
</ds:datastoreItem>
</file>

<file path=customXml/itemProps6.xml><?xml version="1.0" encoding="utf-8"?>
<ds:datastoreItem xmlns:ds="http://schemas.openxmlformats.org/officeDocument/2006/customXml" ds:itemID="{DB3DDDA6-9F17-4E49-8123-B6A502A5286B}">
  <ds:schemaRefs>
    <ds:schemaRef ds:uri="http://schemas.openxmlformats.org/officeDocument/2006/bibliography"/>
  </ds:schemaRefs>
</ds:datastoreItem>
</file>

<file path=customXml/itemProps7.xml><?xml version="1.0" encoding="utf-8"?>
<ds:datastoreItem xmlns:ds="http://schemas.openxmlformats.org/officeDocument/2006/customXml" ds:itemID="{39BADE56-1AA9-4571-9B92-6E9C77648DF4}"/>
</file>

<file path=docMetadata/LabelInfo.xml><?xml version="1.0" encoding="utf-8"?>
<clbl:labelList xmlns:clbl="http://schemas.microsoft.com/office/2020/mipLabelMetadata">
  <clbl:label id="{b16d0a29-7bab-41bf-9a27-8bca820ba65b}" enabled="1" method="Privilege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2022-05_Unofficial_Nomination_Form_supplemental_090425</vt:lpstr>
    </vt:vector>
  </TitlesOfParts>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2022-05_Unofficial_Nomination_Form_supplemental_090425</dc:title>
  <dc:subject/>
  <dc:creator/>
  <cp:keywords>Unofficial Nomination Form</cp:keywords>
  <cp:lastModifiedBy/>
  <cp:revision>1</cp:revision>
  <dcterms:created xsi:type="dcterms:W3CDTF">2025-09-04T13:27:00Z</dcterms:created>
  <dcterms:modified xsi:type="dcterms:W3CDTF">2025-09-04T13:27:00Z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0x01010006CEE196D17EFB4AB257F11B5A4F7CC7</vt:lpwstr>
  </property>
  <property fmtid="{D5CDD505-2E9C-101B-9397-08002B2CF9AE}" pid="3" name="_dlc_DocIdItemGuid">
    <vt:lpwstr>83195e39-a596-40b1-a7d5-1eaa1dbf6004</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10268;#Unofficial Nomination Form|7abeece3-6426-4a37-a640-66c063dff836</vt:lpwstr>
  </property>
  <property fmtid="{D5CDD505-2E9C-101B-9397-08002B2CF9AE}" pid="10" name="Document Status">
    <vt:lpwstr/>
  </property>
  <property fmtid="{D5CDD505-2E9C-101B-9397-08002B2CF9AE}" pid="11" name="Data Classification">
    <vt:lpwstr>1;#Confidential - Internal|aa40a886-0bc0-4ba6-a22c-37ccbc8c9bd8</vt:lpwstr>
  </property>
  <property fmtid="{D5CDD505-2E9C-101B-9397-08002B2CF9AE}" pid="12" name="ha854ffd4af946f1b23e64bfa0f7277a">
    <vt:lpwstr/>
  </property>
  <property fmtid="{D5CDD505-2E9C-101B-9397-08002B2CF9AE}" pid="13" name="Standards Project Number">
    <vt:lpwstr/>
  </property>
  <property fmtid="{D5CDD505-2E9C-101B-9397-08002B2CF9AE}" pid="14" name="_dlc_policyId">
    <vt:lpwstr/>
  </property>
  <property fmtid="{D5CDD505-2E9C-101B-9397-08002B2CF9AE}" pid="15" name="ItemRetentionFormula">
    <vt:lpwstr/>
  </property>
  <property fmtid="{D5CDD505-2E9C-101B-9397-08002B2CF9AE}" pid="16" name="Standard Action">
    <vt:lpwstr>10176;#Nomination|87e67c26-2862-471f-aaf2-c620cc145ae1</vt:lpwstr>
  </property>
  <property fmtid="{D5CDD505-2E9C-101B-9397-08002B2CF9AE}" pid="17" name="SD Project Type">
    <vt:lpwstr/>
  </property>
  <property fmtid="{D5CDD505-2E9C-101B-9397-08002B2CF9AE}" pid="18" name="Standard Number - New">
    <vt:lpwstr/>
  </property>
</Properties>
</file>