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394" w14:textId="05E3C602" w:rsidR="001E0197"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w:t>
      </w:r>
      <w:r w:rsidR="006405CE">
        <w:rPr>
          <w:b w:val="0"/>
          <w:sz w:val="32"/>
          <w:szCs w:val="32"/>
        </w:rPr>
        <w:t>3-01 EOP-004 IBR Event Reporting</w:t>
      </w:r>
    </w:p>
    <w:p w14:paraId="4338961C" w14:textId="3E32E8CB" w:rsidR="00FD1345" w:rsidRDefault="00B024CF" w:rsidP="00FD1345">
      <w:pPr>
        <w:pStyle w:val="DocumentTitle"/>
        <w:rPr>
          <w:rFonts w:ascii="Verdana" w:hAnsi="Verdana"/>
          <w:sz w:val="24"/>
        </w:rPr>
      </w:pPr>
      <w:r>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Pr>
          <w:b w:val="0"/>
          <w:sz w:val="32"/>
          <w:szCs w:val="32"/>
        </w:rPr>
        <w:t xml:space="preserve"> </w:t>
      </w:r>
      <w:r w:rsidR="0000166A" w:rsidRPr="00833311">
        <w:rPr>
          <w:b w:val="0"/>
          <w:sz w:val="36"/>
          <w:szCs w:val="36"/>
        </w:rPr>
        <w:br/>
      </w:r>
    </w:p>
    <w:p w14:paraId="4338961D" w14:textId="43AC9CCB"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CD5CE3">
          <w:rPr>
            <w:rStyle w:val="Hyperlink"/>
            <w:rFonts w:cs="Arial"/>
          </w:rPr>
          <w:t>electronic form</w:t>
        </w:r>
      </w:hyperlink>
      <w:bookmarkStart w:id="1" w:name="_GoBack"/>
      <w:bookmarkEnd w:id="1"/>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1E271A">
        <w:rPr>
          <w:rFonts w:cs="Arial"/>
          <w:b/>
        </w:rPr>
        <w:t>Project</w:t>
      </w:r>
      <w:r w:rsidR="00F61D61">
        <w:rPr>
          <w:rFonts w:cs="Arial"/>
          <w:b/>
        </w:rPr>
        <w:t xml:space="preserve"> </w:t>
      </w:r>
      <w:r w:rsidR="001E0197">
        <w:rPr>
          <w:rFonts w:cs="Arial"/>
          <w:b/>
        </w:rPr>
        <w:t>202</w:t>
      </w:r>
      <w:r w:rsidR="00D34CB2">
        <w:rPr>
          <w:rFonts w:cs="Arial"/>
          <w:b/>
        </w:rPr>
        <w:t>3-01 EOP-004 IBR Event Reporting</w:t>
      </w:r>
      <w:r w:rsidR="00E06346">
        <w:rPr>
          <w:rFonts w:cs="Arial"/>
          <w:b/>
        </w:rPr>
        <w:t xml:space="preserve"> </w:t>
      </w:r>
      <w:r w:rsidR="009A1706">
        <w:rPr>
          <w:rFonts w:cs="Arial"/>
        </w:rPr>
        <w:t>S</w:t>
      </w:r>
      <w:r w:rsidR="00CF2EF5">
        <w:rPr>
          <w:rFonts w:cs="Arial"/>
        </w:rPr>
        <w:t xml:space="preserve">tandard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 xml:space="preserve">team </w:t>
      </w:r>
      <w:r w:rsidR="00320F83" w:rsidRPr="004908F2">
        <w:rPr>
          <w:rFonts w:cs="Arial"/>
        </w:rPr>
        <w:t>members</w:t>
      </w:r>
      <w:r w:rsidR="00492832" w:rsidRPr="004908F2">
        <w:rPr>
          <w:rFonts w:cs="Arial"/>
        </w:rPr>
        <w:t xml:space="preserve"> </w:t>
      </w:r>
      <w:r w:rsidR="00833311" w:rsidRPr="004908F2">
        <w:rPr>
          <w:rFonts w:cs="Arial"/>
        </w:rPr>
        <w:t>by</w:t>
      </w:r>
      <w:r w:rsidRPr="004908F2">
        <w:rPr>
          <w:rFonts w:cs="Arial"/>
        </w:rPr>
        <w:t xml:space="preserve"> </w:t>
      </w:r>
      <w:r w:rsidR="00663305" w:rsidRPr="009C7991">
        <w:rPr>
          <w:rStyle w:val="Strong"/>
          <w:rFonts w:ascii="Calibri" w:hAnsi="Calibri" w:cs="Arial"/>
        </w:rPr>
        <w:t xml:space="preserve">8 p.m. Eastern, </w:t>
      </w:r>
      <w:r w:rsidR="00F26BC8">
        <w:rPr>
          <w:rStyle w:val="Strong"/>
          <w:rFonts w:ascii="Calibri" w:hAnsi="Calibri" w:cs="Arial"/>
        </w:rPr>
        <w:t>Wednes</w:t>
      </w:r>
      <w:r w:rsidR="00112003" w:rsidRPr="009C7991">
        <w:rPr>
          <w:rStyle w:val="Strong"/>
          <w:rFonts w:ascii="Calibri" w:hAnsi="Calibri" w:cs="Arial"/>
        </w:rPr>
        <w:t>day</w:t>
      </w:r>
      <w:r w:rsidR="009F017C" w:rsidRPr="009C7991">
        <w:rPr>
          <w:rStyle w:val="Strong"/>
          <w:rFonts w:ascii="Calibri" w:hAnsi="Calibri" w:cs="Arial"/>
        </w:rPr>
        <w:t>,</w:t>
      </w:r>
      <w:r w:rsidR="00D34CB2" w:rsidRPr="009C7991">
        <w:rPr>
          <w:rStyle w:val="Strong"/>
          <w:rFonts w:ascii="Calibri" w:hAnsi="Calibri" w:cs="Arial"/>
        </w:rPr>
        <w:t xml:space="preserve"> March </w:t>
      </w:r>
      <w:r w:rsidR="00F26BC8">
        <w:rPr>
          <w:rStyle w:val="Strong"/>
          <w:rFonts w:ascii="Calibri" w:hAnsi="Calibri" w:cs="Arial"/>
        </w:rPr>
        <w:t>8</w:t>
      </w:r>
      <w:r w:rsidR="00D34CB2" w:rsidRPr="009C7991">
        <w:rPr>
          <w:rStyle w:val="Strong"/>
          <w:rFonts w:ascii="Calibri" w:hAnsi="Calibri" w:cs="Arial"/>
        </w:rPr>
        <w:t>, 2023</w:t>
      </w:r>
      <w:r w:rsidR="00816016" w:rsidRPr="004908F2">
        <w:rPr>
          <w:rFonts w:cs="Arial"/>
          <w:b/>
        </w:rPr>
        <w:t>.</w:t>
      </w:r>
      <w:r w:rsidR="00816016" w:rsidRPr="004908F2">
        <w:rPr>
          <w:rFonts w:cs="Arial"/>
        </w:rPr>
        <w:t xml:space="preserve"> </w:t>
      </w:r>
      <w:r w:rsidR="00663305" w:rsidRPr="004908F2">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6485D088"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9C7991">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1E271A" w:rsidRPr="001E271A">
          <w:rPr>
            <w:rStyle w:val="Hyperlink"/>
          </w:rPr>
          <w:t>Chris Larson</w:t>
        </w:r>
      </w:hyperlink>
      <w:r w:rsidR="00833311" w:rsidRPr="00F86A52">
        <w:t xml:space="preserve"> (via email)</w:t>
      </w:r>
      <w:r w:rsidR="00833311">
        <w:t>,</w:t>
      </w:r>
      <w:r w:rsidR="00833311" w:rsidRPr="00F86A52">
        <w:t xml:space="preserve"> or at </w:t>
      </w:r>
      <w:r w:rsidR="00B024CF">
        <w:t>4</w:t>
      </w:r>
      <w:r w:rsidR="00F26BC8">
        <w:t>70</w:t>
      </w:r>
      <w:r w:rsidR="00B024CF">
        <w:t>-</w:t>
      </w:r>
      <w:r w:rsidR="00F26BC8">
        <w:t>599</w:t>
      </w:r>
      <w:r w:rsidR="00B024CF">
        <w:t>-</w:t>
      </w:r>
      <w:r w:rsidR="00F26BC8">
        <w:t>3</w:t>
      </w:r>
      <w:r w:rsidR="001E271A">
        <w:t>8</w:t>
      </w:r>
      <w:r w:rsidR="00F26BC8">
        <w:t>51</w:t>
      </w:r>
      <w:r w:rsidR="00833311">
        <w:t>.</w:t>
      </w:r>
    </w:p>
    <w:p w14:paraId="4338961F" w14:textId="77777777" w:rsidR="00816016" w:rsidRDefault="00816016" w:rsidP="00816016">
      <w:pPr>
        <w:rPr>
          <w:rFonts w:ascii="Verdana" w:hAnsi="Verdana" w:cs="Arial"/>
          <w:sz w:val="18"/>
          <w:szCs w:val="18"/>
        </w:rPr>
      </w:pPr>
    </w:p>
    <w:p w14:paraId="43389620" w14:textId="15F30CDD"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w:t>
      </w:r>
      <w:r w:rsidR="00ED148B">
        <w:rPr>
          <w:color w:val="000000"/>
        </w:rPr>
        <w:t>p</w:t>
      </w:r>
      <w:r w:rsidRPr="00B367D4">
        <w:rPr>
          <w:color w:val="000000"/>
        </w:rPr>
        <w:t xml:space="preserve">articipate in </w:t>
      </w:r>
      <w:r w:rsidR="00972C26">
        <w:rPr>
          <w:color w:val="000000"/>
        </w:rPr>
        <w:t>face-to-face meetings</w:t>
      </w:r>
      <w:r w:rsidR="00F57CAA">
        <w:rPr>
          <w:color w:val="000000"/>
        </w:rPr>
        <w:t xml:space="preserve"> </w:t>
      </w:r>
      <w:r w:rsidR="00972C26">
        <w:rPr>
          <w:color w:val="000000"/>
        </w:rPr>
        <w:t xml:space="preserve">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535712D9" w14:textId="35A33A33" w:rsidR="00E9708B" w:rsidRPr="00E9708B" w:rsidRDefault="00E9708B" w:rsidP="00E9708B">
      <w:pPr>
        <w:shd w:val="clear" w:color="auto" w:fill="FFFFFF"/>
        <w:rPr>
          <w:color w:val="000000"/>
        </w:rPr>
      </w:pPr>
      <w:r w:rsidRPr="00E9708B">
        <w:rPr>
          <w:color w:val="000000"/>
        </w:rPr>
        <w:t xml:space="preserve">The SAR proposes enhancements to EOP-004-4 (EOP-004) focused on ensuring timely reporting by industry to the Electric Reliability Organization (ERO) Enterprise through reporting of events involving inverter-based resources (IBRs). Currently, the standard has relatively large generator loss size thresholds and uses language more suitable for synchronous generation. The SAR proposes to enhance the standard by adding clarity and lowering the generator loss threshold to encompass the lessons from widespread IBR loss events that have occurred. </w:t>
      </w:r>
    </w:p>
    <w:p w14:paraId="77DF0B09" w14:textId="77777777" w:rsidR="00E9708B" w:rsidRPr="00E9708B" w:rsidRDefault="00E9708B" w:rsidP="00E9708B">
      <w:pPr>
        <w:shd w:val="clear" w:color="auto" w:fill="FFFFFF"/>
        <w:rPr>
          <w:color w:val="000000"/>
        </w:rPr>
      </w:pPr>
    </w:p>
    <w:p w14:paraId="5D14A656" w14:textId="4046D17A" w:rsidR="00E9708B" w:rsidRPr="00E9708B" w:rsidRDefault="00E9708B" w:rsidP="00E9708B">
      <w:pPr>
        <w:shd w:val="clear" w:color="auto" w:fill="FFFFFF"/>
        <w:rPr>
          <w:color w:val="000000"/>
        </w:rPr>
      </w:pPr>
      <w:r w:rsidRPr="00E9708B">
        <w:rPr>
          <w:color w:val="000000"/>
        </w:rPr>
        <w:t xml:space="preserve">The proposed project will address the issue that reporting of generation loss events, per the current EOP-004, uses relatively large size thresholds more suitable for synchronous generation; however, NERC and the Regional Entities have analyzed multiple widespread solar PV loss events (some also involving other generation losses as well) across a large number of resources that did not meet the EOP-004 criteria, yet have highlighted systemic reliability risks posed by IBRs that should be reported by applicable entities. This project will modify the existing generation loss criteria so it is more suitable and appropriate for reporting IBR events and so it aligns with past large-scale disturbances analyzed by the ERO. Without these improvements, the ERO must lean on ad hoc reporting per the NERC Event Analysis Process, which is voluntary in nature and involves significantly longer reporting timelines. The EOP-004 standard should be aligned with this process from a reporting size criteria perspective. As reported in numerous ERO disturbance reports, access to data useful for event analysis and risk mitigation following large-scale disturbances has been challenging for IBRs. This has resulted in data unavailability and overwriting by affected facilities since the ERO Enterprise is unable to send requests for information in a timely manner (i.e., must wait for the brief report to be submitted by the associated Reliability Coordinator first). Improved reporting will enable quicker response to widespread IBR loss events and ultimately lead to </w:t>
      </w:r>
      <w:r w:rsidRPr="00E9708B">
        <w:rPr>
          <w:color w:val="000000"/>
        </w:rPr>
        <w:lastRenderedPageBreak/>
        <w:t>improved performance of the generation fleet through more detailed analysis and coordination with affected entities, where applicable. </w:t>
      </w:r>
    </w:p>
    <w:p w14:paraId="21302E67" w14:textId="77777777" w:rsidR="00E9708B" w:rsidRPr="00E9708B" w:rsidRDefault="00E9708B" w:rsidP="00E9708B">
      <w:pPr>
        <w:shd w:val="clear" w:color="auto" w:fill="FFFFFF"/>
        <w:rPr>
          <w:color w:val="000000"/>
        </w:rPr>
      </w:pPr>
    </w:p>
    <w:p w14:paraId="75FF7DE2" w14:textId="78829888"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224901">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E9708B">
        <w:rPr>
          <w:rStyle w:val="BoxText"/>
          <w:rFonts w:ascii="Tahoma" w:eastAsiaTheme="minorHAnsi" w:hAnsi="Tahoma"/>
          <w:sz w:val="22"/>
          <w:szCs w:val="22"/>
        </w:rPr>
        <w:t>EOP-004-4</w:t>
      </w:r>
    </w:p>
    <w:p w14:paraId="1D375709" w14:textId="2BAD1D3F" w:rsidR="007674AC" w:rsidRDefault="002D13B6" w:rsidP="007674AC">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4F8576D0" w14:textId="18FD9E76" w:rsidR="001E6E22" w:rsidRDefault="001E6E22"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Developing and implementing event reporting Operating Plans in accordance with EOP-004</w:t>
      </w:r>
    </w:p>
    <w:p w14:paraId="6609086A" w14:textId="09DA03DE"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Understanding of IBR events and event thresholds</w:t>
      </w:r>
    </w:p>
    <w:p w14:paraId="0BD30A8F" w14:textId="78ECC546"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Understanding of EOP-004 Attachment 2: Event Reporting Form and/or DOE-OE-417 form</w:t>
      </w:r>
    </w:p>
    <w:p w14:paraId="6A833264" w14:textId="05A5244C"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Understanding of event types, reporting responsibility, and thresholds for reporting as outlined in EOP-004 Attachment 1: Reportable Events</w:t>
      </w:r>
    </w:p>
    <w:p w14:paraId="4259FA41" w14:textId="0A69AF57"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 xml:space="preserve">Understanding of event reporting time requirements </w:t>
      </w:r>
    </w:p>
    <w:p w14:paraId="13785494" w14:textId="541000E7" w:rsid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Understanding of EOP-004 VSLs/VRFs</w:t>
      </w:r>
    </w:p>
    <w:p w14:paraId="04FF7DC1" w14:textId="24C624C1"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Pr>
          <w:rFonts w:asciiTheme="minorHAnsi" w:eastAsia="Times New Roman" w:hAnsiTheme="minorHAnsi"/>
          <w:sz w:val="24"/>
          <w:szCs w:val="24"/>
          <w:lang w:eastAsia="en-US"/>
        </w:rPr>
        <w:t xml:space="preserve">Understanding </w:t>
      </w:r>
      <w:r w:rsidR="009C7991">
        <w:rPr>
          <w:rFonts w:asciiTheme="minorHAnsi" w:eastAsia="Times New Roman" w:hAnsiTheme="minorHAnsi"/>
          <w:sz w:val="24"/>
          <w:szCs w:val="24"/>
          <w:lang w:eastAsia="en-US"/>
        </w:rPr>
        <w:t xml:space="preserve">how </w:t>
      </w:r>
      <w:r>
        <w:rPr>
          <w:rFonts w:asciiTheme="minorHAnsi" w:eastAsia="Times New Roman" w:hAnsiTheme="minorHAnsi"/>
          <w:sz w:val="24"/>
          <w:szCs w:val="24"/>
          <w:lang w:eastAsia="en-US"/>
        </w:rPr>
        <w:t>EOP-004 event reports are used by the ERO</w:t>
      </w:r>
    </w:p>
    <w:p w14:paraId="4E7A409C" w14:textId="1B0963E7"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Responsible entity compliance related to the areas listed above</w:t>
      </w:r>
    </w:p>
    <w:p w14:paraId="4338962C" w14:textId="72408C2A"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D5CE3">
              <w:rPr>
                <w:rFonts w:cs="Arial"/>
              </w:rPr>
            </w:r>
            <w:r w:rsidR="00CD5CE3">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D5CE3">
              <w:rPr>
                <w:rFonts w:cs="Arial"/>
              </w:rPr>
            </w:r>
            <w:r w:rsidR="00CD5CE3">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blPrEx>
          <w:tblLook w:val="01E0" w:firstRow="1" w:lastRow="1" w:firstColumn="1" w:lastColumn="1" w:noHBand="0" w:noVBand="0"/>
        </w:tblPrEx>
        <w:trPr>
          <w:trHeight w:val="621"/>
          <w:jc w:val="center"/>
        </w:trPr>
        <w:tc>
          <w:tcPr>
            <w:tcW w:w="10356" w:type="dxa"/>
            <w:gridSpan w:val="2"/>
          </w:tcPr>
          <w:p w14:paraId="43389646" w14:textId="77777777"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D5CE3">
              <w:rPr>
                <w:rFonts w:cs="Arial"/>
              </w:rPr>
            </w:r>
            <w:r w:rsidR="00CD5CE3">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D5CE3">
              <w:rPr>
                <w:rFonts w:cs="Arial"/>
              </w:rPr>
            </w:r>
            <w:r w:rsidR="00CD5CE3">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66664C6" w14:textId="2C8179CB" w:rsidR="00E5718E" w:rsidRPr="00FE410D" w:rsidRDefault="00E5718E" w:rsidP="00E5718E">
            <w:pPr>
              <w:autoSpaceDE w:val="0"/>
              <w:autoSpaceDN w:val="0"/>
              <w:spacing w:before="40" w:after="40"/>
              <w:rPr>
                <w:b/>
              </w:rPr>
            </w:pPr>
            <w:r w:rsidRPr="00FE410D">
              <w:rPr>
                <w:b/>
              </w:rPr>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CD5CE3">
              <w:rPr>
                <w:rFonts w:cs="Arial"/>
              </w:rPr>
            </w:r>
            <w:r w:rsidR="00CD5CE3">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D5CE3">
              <w:rPr>
                <w:rStyle w:val="BoxText"/>
                <w:rFonts w:asciiTheme="minorHAnsi" w:hAnsiTheme="minorHAnsi"/>
                <w:b w:val="0"/>
                <w:sz w:val="24"/>
              </w:rPr>
            </w:r>
            <w:r w:rsidR="00CD5CE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D5CE3">
              <w:rPr>
                <w:rStyle w:val="BoxText"/>
                <w:rFonts w:asciiTheme="minorHAnsi" w:hAnsiTheme="minorHAnsi"/>
                <w:b w:val="0"/>
                <w:sz w:val="24"/>
              </w:rPr>
            </w:r>
            <w:r w:rsidR="00CD5CE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D5CE3">
              <w:rPr>
                <w:rStyle w:val="BoxText"/>
                <w:rFonts w:asciiTheme="minorHAnsi" w:hAnsiTheme="minorHAnsi"/>
                <w:b w:val="0"/>
                <w:sz w:val="24"/>
              </w:rPr>
            </w:r>
            <w:r w:rsidR="00CD5CE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D5CE3">
              <w:rPr>
                <w:rStyle w:val="BoxText"/>
                <w:rFonts w:asciiTheme="minorHAnsi" w:hAnsiTheme="minorHAnsi"/>
                <w:b w:val="0"/>
                <w:sz w:val="24"/>
              </w:rPr>
            </w:r>
            <w:r w:rsidR="00CD5CE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D5CE3">
              <w:rPr>
                <w:rStyle w:val="BoxText"/>
                <w:rFonts w:asciiTheme="minorHAnsi" w:hAnsiTheme="minorHAnsi"/>
                <w:b w:val="0"/>
                <w:sz w:val="24"/>
              </w:rPr>
            </w:r>
            <w:r w:rsidR="00CD5CE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D5CE3">
              <w:rPr>
                <w:rStyle w:val="BoxText"/>
                <w:rFonts w:asciiTheme="minorHAnsi" w:hAnsiTheme="minorHAnsi"/>
                <w:b w:val="0"/>
                <w:sz w:val="24"/>
              </w:rPr>
            </w:r>
            <w:r w:rsidR="00CD5CE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D5CE3">
              <w:rPr>
                <w:rFonts w:cs="Arial"/>
              </w:rPr>
            </w:r>
            <w:r w:rsidR="00CD5CE3">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D5CE3">
              <w:rPr>
                <w:rFonts w:ascii="Verdana" w:hAnsi="Verdana" w:cs="Arial"/>
              </w:rPr>
            </w:r>
            <w:r w:rsidR="00CD5CE3">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CD5CE3">
              <w:rPr>
                <w:rStyle w:val="BoxText"/>
                <w:rFonts w:ascii="Verdana" w:hAnsi="Verdana"/>
                <w:b w:val="0"/>
                <w:sz w:val="24"/>
              </w:rPr>
            </w:r>
            <w:r w:rsidR="00CD5CE3">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D5CE3">
              <w:rPr>
                <w:rStyle w:val="BoxText"/>
                <w:rFonts w:asciiTheme="minorHAnsi" w:hAnsiTheme="minorHAnsi" w:cs="Arial"/>
                <w:b w:val="0"/>
                <w:sz w:val="24"/>
              </w:rPr>
            </w:r>
            <w:r w:rsidR="00CD5C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4696" w14:textId="77777777" w:rsidR="005B7280" w:rsidRDefault="005B7280">
      <w:r>
        <w:separator/>
      </w:r>
    </w:p>
  </w:endnote>
  <w:endnote w:type="continuationSeparator" w:id="0">
    <w:p w14:paraId="4559A838" w14:textId="77777777" w:rsidR="005B7280" w:rsidRDefault="005B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26B10694" w:rsidR="00896153" w:rsidRPr="00855BA8" w:rsidRDefault="00896153" w:rsidP="0002368A">
    <w:pPr>
      <w:pStyle w:val="Footer"/>
      <w:tabs>
        <w:tab w:val="clear" w:pos="10354"/>
        <w:tab w:val="right" w:pos="10350"/>
      </w:tabs>
      <w:ind w:left="0" w:right="18"/>
    </w:pPr>
    <w:r>
      <w:t>Unofficial Nomination Form</w:t>
    </w:r>
    <w:r w:rsidR="0002368A">
      <w:br/>
    </w:r>
    <w:r w:rsidR="001E6E22">
      <w:t>Project 2023-01</w:t>
    </w:r>
    <w:r w:rsidR="000D461B" w:rsidRPr="000D461B">
      <w:t xml:space="preserve"> </w:t>
    </w:r>
    <w:r w:rsidR="001E6E22">
      <w:t>EOP-004 IBR Event Reporting</w:t>
    </w:r>
    <w:r w:rsidR="000D461B">
      <w:rPr>
        <w:bCs/>
      </w:rPr>
      <w:t xml:space="preserve"> </w:t>
    </w:r>
    <w:r w:rsidR="00833311" w:rsidRPr="00833311">
      <w:t xml:space="preserve">| </w:t>
    </w:r>
    <w:r w:rsidR="001E6E22">
      <w:t>February 2023</w:t>
    </w:r>
    <w:r>
      <w:tab/>
    </w:r>
    <w:r w:rsidR="001F52FD">
      <w:fldChar w:fldCharType="begin"/>
    </w:r>
    <w:r w:rsidR="001F52FD">
      <w:instrText xml:space="preserve"> PAGE </w:instrText>
    </w:r>
    <w:r w:rsidR="001F52FD">
      <w:fldChar w:fldCharType="separate"/>
    </w:r>
    <w:r w:rsidR="00CD5CE3">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96EE" w14:textId="77777777" w:rsidR="005B7280" w:rsidRDefault="005B7280">
      <w:r>
        <w:separator/>
      </w:r>
    </w:p>
  </w:footnote>
  <w:footnote w:type="continuationSeparator" w:id="0">
    <w:p w14:paraId="13E85B14" w14:textId="77777777" w:rsidR="005B7280" w:rsidRDefault="005B7280">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20"/>
  </w:num>
  <w:num w:numId="29">
    <w:abstractNumId w:val="25"/>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000"/>
    <w:rsid w:val="000334DF"/>
    <w:rsid w:val="00056CDA"/>
    <w:rsid w:val="0005763D"/>
    <w:rsid w:val="00064B26"/>
    <w:rsid w:val="0007121A"/>
    <w:rsid w:val="00081BCE"/>
    <w:rsid w:val="000A70BC"/>
    <w:rsid w:val="000B36CB"/>
    <w:rsid w:val="000B7A04"/>
    <w:rsid w:val="000C0C50"/>
    <w:rsid w:val="000C32BD"/>
    <w:rsid w:val="000D41C9"/>
    <w:rsid w:val="000D461B"/>
    <w:rsid w:val="000D6D9A"/>
    <w:rsid w:val="000D6EA8"/>
    <w:rsid w:val="000D7162"/>
    <w:rsid w:val="000E3AB0"/>
    <w:rsid w:val="00102A01"/>
    <w:rsid w:val="00104317"/>
    <w:rsid w:val="00112003"/>
    <w:rsid w:val="001227D9"/>
    <w:rsid w:val="001346AA"/>
    <w:rsid w:val="00136931"/>
    <w:rsid w:val="001574EA"/>
    <w:rsid w:val="00163256"/>
    <w:rsid w:val="00193AE7"/>
    <w:rsid w:val="00196FDD"/>
    <w:rsid w:val="001A6FC8"/>
    <w:rsid w:val="001B2796"/>
    <w:rsid w:val="001B5F7E"/>
    <w:rsid w:val="001D04FF"/>
    <w:rsid w:val="001D2F35"/>
    <w:rsid w:val="001D3211"/>
    <w:rsid w:val="001D47FD"/>
    <w:rsid w:val="001E0197"/>
    <w:rsid w:val="001E271A"/>
    <w:rsid w:val="001E6E22"/>
    <w:rsid w:val="001F52FD"/>
    <w:rsid w:val="00202BB5"/>
    <w:rsid w:val="00202EC3"/>
    <w:rsid w:val="00222203"/>
    <w:rsid w:val="00224040"/>
    <w:rsid w:val="00224901"/>
    <w:rsid w:val="002344CB"/>
    <w:rsid w:val="00240726"/>
    <w:rsid w:val="00250F26"/>
    <w:rsid w:val="00257B0C"/>
    <w:rsid w:val="00260BED"/>
    <w:rsid w:val="00283FB4"/>
    <w:rsid w:val="002B29E4"/>
    <w:rsid w:val="002D13B6"/>
    <w:rsid w:val="002E2423"/>
    <w:rsid w:val="002E488B"/>
    <w:rsid w:val="002F2BFE"/>
    <w:rsid w:val="00300ABD"/>
    <w:rsid w:val="0030697D"/>
    <w:rsid w:val="003134D1"/>
    <w:rsid w:val="00320F83"/>
    <w:rsid w:val="00343628"/>
    <w:rsid w:val="00366A96"/>
    <w:rsid w:val="0038676B"/>
    <w:rsid w:val="0039275D"/>
    <w:rsid w:val="00392C0E"/>
    <w:rsid w:val="003E1C41"/>
    <w:rsid w:val="0040580D"/>
    <w:rsid w:val="0041064C"/>
    <w:rsid w:val="00414DA7"/>
    <w:rsid w:val="00417BDB"/>
    <w:rsid w:val="00417ED0"/>
    <w:rsid w:val="004251DC"/>
    <w:rsid w:val="00427342"/>
    <w:rsid w:val="00433545"/>
    <w:rsid w:val="00442ED0"/>
    <w:rsid w:val="00456B99"/>
    <w:rsid w:val="004631BF"/>
    <w:rsid w:val="00464B6E"/>
    <w:rsid w:val="00467326"/>
    <w:rsid w:val="00476B91"/>
    <w:rsid w:val="004800C7"/>
    <w:rsid w:val="004859C6"/>
    <w:rsid w:val="0048765A"/>
    <w:rsid w:val="00487E9F"/>
    <w:rsid w:val="00490621"/>
    <w:rsid w:val="004908F2"/>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280"/>
    <w:rsid w:val="005B7382"/>
    <w:rsid w:val="005D3F72"/>
    <w:rsid w:val="005F795A"/>
    <w:rsid w:val="00614E63"/>
    <w:rsid w:val="0062446B"/>
    <w:rsid w:val="00631E0B"/>
    <w:rsid w:val="006405CE"/>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186D"/>
    <w:rsid w:val="00712441"/>
    <w:rsid w:val="007254EA"/>
    <w:rsid w:val="00733724"/>
    <w:rsid w:val="0074626C"/>
    <w:rsid w:val="007674AC"/>
    <w:rsid w:val="00775059"/>
    <w:rsid w:val="00791651"/>
    <w:rsid w:val="007A298B"/>
    <w:rsid w:val="007C5DB6"/>
    <w:rsid w:val="007E79B4"/>
    <w:rsid w:val="007F5550"/>
    <w:rsid w:val="0080753A"/>
    <w:rsid w:val="0081097D"/>
    <w:rsid w:val="00816016"/>
    <w:rsid w:val="008201B3"/>
    <w:rsid w:val="00833311"/>
    <w:rsid w:val="008358AD"/>
    <w:rsid w:val="00847155"/>
    <w:rsid w:val="0084795C"/>
    <w:rsid w:val="00855BA8"/>
    <w:rsid w:val="008866E7"/>
    <w:rsid w:val="00893876"/>
    <w:rsid w:val="00896153"/>
    <w:rsid w:val="008A2272"/>
    <w:rsid w:val="008C4165"/>
    <w:rsid w:val="008C572D"/>
    <w:rsid w:val="008F3E6E"/>
    <w:rsid w:val="00904152"/>
    <w:rsid w:val="00905DC1"/>
    <w:rsid w:val="00930D3B"/>
    <w:rsid w:val="0094240B"/>
    <w:rsid w:val="00972C26"/>
    <w:rsid w:val="00981B60"/>
    <w:rsid w:val="00984B4E"/>
    <w:rsid w:val="00991273"/>
    <w:rsid w:val="00997A70"/>
    <w:rsid w:val="009A1706"/>
    <w:rsid w:val="009A4ED6"/>
    <w:rsid w:val="009A6370"/>
    <w:rsid w:val="009C265C"/>
    <w:rsid w:val="009C7991"/>
    <w:rsid w:val="009E317C"/>
    <w:rsid w:val="009F017C"/>
    <w:rsid w:val="009F12EC"/>
    <w:rsid w:val="00A15C0A"/>
    <w:rsid w:val="00A35DA7"/>
    <w:rsid w:val="00A50C16"/>
    <w:rsid w:val="00A6738A"/>
    <w:rsid w:val="00A702E4"/>
    <w:rsid w:val="00A8651E"/>
    <w:rsid w:val="00AA1112"/>
    <w:rsid w:val="00AA1E23"/>
    <w:rsid w:val="00AC0C35"/>
    <w:rsid w:val="00AC6EB2"/>
    <w:rsid w:val="00AD1865"/>
    <w:rsid w:val="00AD4F86"/>
    <w:rsid w:val="00B024CF"/>
    <w:rsid w:val="00B146D4"/>
    <w:rsid w:val="00B240FF"/>
    <w:rsid w:val="00B375B5"/>
    <w:rsid w:val="00B62A1A"/>
    <w:rsid w:val="00B86AB0"/>
    <w:rsid w:val="00BA34E0"/>
    <w:rsid w:val="00BD4C49"/>
    <w:rsid w:val="00BD65A2"/>
    <w:rsid w:val="00BE5580"/>
    <w:rsid w:val="00BF7EF4"/>
    <w:rsid w:val="00C16E96"/>
    <w:rsid w:val="00C200DC"/>
    <w:rsid w:val="00C31EA1"/>
    <w:rsid w:val="00C52B81"/>
    <w:rsid w:val="00C76CE7"/>
    <w:rsid w:val="00C802A9"/>
    <w:rsid w:val="00C83532"/>
    <w:rsid w:val="00C87293"/>
    <w:rsid w:val="00C9009F"/>
    <w:rsid w:val="00C975FA"/>
    <w:rsid w:val="00CC2185"/>
    <w:rsid w:val="00CC7BE7"/>
    <w:rsid w:val="00CD5CE3"/>
    <w:rsid w:val="00CF2EF5"/>
    <w:rsid w:val="00CF6888"/>
    <w:rsid w:val="00CF6E4A"/>
    <w:rsid w:val="00D06D7D"/>
    <w:rsid w:val="00D228D6"/>
    <w:rsid w:val="00D2329A"/>
    <w:rsid w:val="00D34CB2"/>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06346"/>
    <w:rsid w:val="00E16635"/>
    <w:rsid w:val="00E24246"/>
    <w:rsid w:val="00E246C2"/>
    <w:rsid w:val="00E3058A"/>
    <w:rsid w:val="00E5718E"/>
    <w:rsid w:val="00E65B2F"/>
    <w:rsid w:val="00E66591"/>
    <w:rsid w:val="00E961A0"/>
    <w:rsid w:val="00E9708B"/>
    <w:rsid w:val="00EA0F7D"/>
    <w:rsid w:val="00EC3CF4"/>
    <w:rsid w:val="00EC78A6"/>
    <w:rsid w:val="00ED148B"/>
    <w:rsid w:val="00F200CF"/>
    <w:rsid w:val="00F26BC8"/>
    <w:rsid w:val="00F31926"/>
    <w:rsid w:val="00F359FF"/>
    <w:rsid w:val="00F52D8A"/>
    <w:rsid w:val="00F5557A"/>
    <w:rsid w:val="00F57CAA"/>
    <w:rsid w:val="00F61D61"/>
    <w:rsid w:val="00FA1378"/>
    <w:rsid w:val="00FB38E5"/>
    <w:rsid w:val="00FB5404"/>
    <w:rsid w:val="00FC180D"/>
    <w:rsid w:val="00FC7B36"/>
    <w:rsid w:val="00FD1345"/>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Project-2023-01-EOP-004-IBR-Event-Reporting--SAR-Drafting-Tea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1-EOP-004-IBR-Event-Reporting.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V5FEZNQ3RRSY-729300196-3275</_dlc_DocId>
    <_dlc_DocIdUrl xmlns="cbf880be-c7c2-4487-81cc-39803b2f2238">
      <Url>http://departments.internal.nerc.com/StandardsDev/_layouts/15/DocIdRedir.aspx?ID=V5FEZNQ3RRSY-729300196-3275</Url>
      <Description>V5FEZNQ3RRSY-729300196-3275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552068733C0449B55038BE654B3284" ma:contentTypeVersion="1" ma:contentTypeDescription="Create a new document." ma:contentTypeScope="" ma:versionID="74a65f11df407c5547183bdcfcd78c29">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5C01-DFA7-40CD-95BA-2111F64EDD14}"/>
</file>

<file path=customXml/itemProps2.xml><?xml version="1.0" encoding="utf-8"?>
<ds:datastoreItem xmlns:ds="http://schemas.openxmlformats.org/officeDocument/2006/customXml" ds:itemID="{1FA1D400-2C2F-43CE-9427-E3BA39C934FD}">
  <ds:schemaRefs>
    <ds:schemaRef ds:uri="http://schemas.microsoft.com/office/infopath/2007/PartnerControl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3e1050e7-7faf-40ec-88f1-5bdab33a6ff5"/>
    <ds:schemaRef ds:uri="http://schemas.microsoft.com/sharepoint/v4"/>
    <ds:schemaRef ds:uri="be72bb46-7b96-43f6-b3d2-cb56bca42853"/>
  </ds:schemaRefs>
</ds:datastoreItem>
</file>

<file path=customXml/itemProps3.xml><?xml version="1.0" encoding="utf-8"?>
<ds:datastoreItem xmlns:ds="http://schemas.openxmlformats.org/officeDocument/2006/customXml" ds:itemID="{87D6E524-334F-479B-889A-EEE9885B3E5F}"/>
</file>

<file path=customXml/itemProps4.xml><?xml version="1.0" encoding="utf-8"?>
<ds:datastoreItem xmlns:ds="http://schemas.openxmlformats.org/officeDocument/2006/customXml" ds:itemID="{0D2AD7D2-F848-48C5-A290-1C0DA9479CBE}">
  <ds:schemaRefs>
    <ds:schemaRef ds:uri="http://schemas.microsoft.com/sharepoint/events"/>
  </ds:schemaRefs>
</ds:datastoreItem>
</file>

<file path=customXml/itemProps5.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6.xml><?xml version="1.0" encoding="utf-8"?>
<ds:datastoreItem xmlns:ds="http://schemas.openxmlformats.org/officeDocument/2006/customXml" ds:itemID="{E7A0E843-EDC9-4427-B132-1008211C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6773</Characters>
  <Application>Microsoft Office Word</Application>
  <DocSecurity>0</DocSecurity>
  <Lines>173</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2023-01-31T14:48:00Z</dcterms:created>
  <dcterms:modified xsi:type="dcterms:W3CDTF">2023-01-31T16:06:00Z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0x01010006552068733C0449B55038BE654B3284</vt:lpwstr>
  </property>
  <property fmtid="{D5CDD505-2E9C-101B-9397-08002B2CF9AE}" pid="3" name="_dlc_DocIdItemGuid">
    <vt:lpwstr>2a578344-3b59-45aa-974f-4db517efc4a8</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13762;#2023-01|e5ff79b2-714d-403e-8d90-450c9837bf4f</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