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B1" w:rsidRDefault="006644DB" w:rsidP="00FD1345">
      <w:pPr>
        <w:pStyle w:val="DocumentTitle"/>
        <w:rPr>
          <w:b w:val="0"/>
          <w:sz w:val="36"/>
          <w:szCs w:val="36"/>
        </w:rPr>
      </w:pPr>
      <w:bookmarkStart w:id="0" w:name="_Toc195946478"/>
      <w:proofErr w:type="spellStart"/>
      <w:r>
        <w:rPr>
          <w:sz w:val="48"/>
          <w:szCs w:val="48"/>
        </w:rPr>
        <w:t>Unoffical</w:t>
      </w:r>
      <w:proofErr w:type="spellEnd"/>
      <w:r>
        <w:rPr>
          <w:sz w:val="48"/>
          <w:szCs w:val="48"/>
        </w:rPr>
        <w:t xml:space="preserve"> </w:t>
      </w:r>
      <w:r w:rsidR="00193AE7" w:rsidRPr="006644DB">
        <w:rPr>
          <w:sz w:val="48"/>
          <w:szCs w:val="48"/>
        </w:rPr>
        <w:t>Nomination Form</w:t>
      </w:r>
      <w:r w:rsidR="00193AE7" w:rsidRPr="006644DB">
        <w:rPr>
          <w:sz w:val="48"/>
          <w:szCs w:val="48"/>
        </w:rPr>
        <w:br/>
      </w:r>
      <w:r w:rsidR="0000166A" w:rsidRPr="00896153">
        <w:rPr>
          <w:b w:val="0"/>
          <w:sz w:val="36"/>
          <w:szCs w:val="36"/>
        </w:rPr>
        <w:t xml:space="preserve">Project </w:t>
      </w:r>
      <w:r w:rsidR="00476B91">
        <w:rPr>
          <w:b w:val="0"/>
          <w:sz w:val="36"/>
          <w:szCs w:val="36"/>
        </w:rPr>
        <w:t>2015</w:t>
      </w:r>
      <w:r w:rsidR="001014B1">
        <w:rPr>
          <w:b w:val="0"/>
          <w:sz w:val="36"/>
          <w:szCs w:val="36"/>
        </w:rPr>
        <w:t>-10</w:t>
      </w:r>
      <w:r w:rsidR="0000166A" w:rsidRPr="00896153">
        <w:rPr>
          <w:b w:val="0"/>
          <w:sz w:val="36"/>
          <w:szCs w:val="36"/>
        </w:rPr>
        <w:t xml:space="preserve"> </w:t>
      </w:r>
      <w:r w:rsidR="001014B1" w:rsidRPr="001014B1">
        <w:rPr>
          <w:b w:val="0"/>
          <w:sz w:val="36"/>
          <w:szCs w:val="36"/>
        </w:rPr>
        <w:t>Single Points of Failure – TPL-001</w:t>
      </w:r>
    </w:p>
    <w:p w:rsidR="00FD1345" w:rsidRDefault="00050B69" w:rsidP="00FD1345">
      <w:pPr>
        <w:pStyle w:val="DocumentTitle"/>
        <w:rPr>
          <w:rFonts w:ascii="Verdana" w:hAnsi="Verdana"/>
          <w:sz w:val="24"/>
        </w:rPr>
      </w:pPr>
      <w:r w:rsidRPr="00050B69">
        <w:rPr>
          <w:b w:val="0"/>
          <w:sz w:val="36"/>
          <w:szCs w:val="36"/>
        </w:rPr>
        <w:t>Standards Authorization Request</w:t>
      </w:r>
      <w:r w:rsidR="00476B91">
        <w:rPr>
          <w:b w:val="0"/>
          <w:sz w:val="36"/>
          <w:szCs w:val="36"/>
        </w:rPr>
        <w:t xml:space="preserve"> </w:t>
      </w:r>
      <w:r w:rsidR="00E24246">
        <w:rPr>
          <w:b w:val="0"/>
          <w:sz w:val="36"/>
          <w:szCs w:val="36"/>
        </w:rPr>
        <w:t>Drafting</w:t>
      </w:r>
      <w:r w:rsidR="00476B91">
        <w:rPr>
          <w:b w:val="0"/>
          <w:sz w:val="36"/>
          <w:szCs w:val="36"/>
        </w:rPr>
        <w:t xml:space="preserve"> Team</w:t>
      </w:r>
      <w:r w:rsidR="0000166A" w:rsidRPr="00896153">
        <w:rPr>
          <w:b w:val="0"/>
          <w:sz w:val="36"/>
          <w:szCs w:val="36"/>
        </w:rPr>
        <w:br/>
      </w:r>
    </w:p>
    <w:p w:rsidR="00816016" w:rsidRPr="00816016" w:rsidRDefault="006644DB" w:rsidP="00816016">
      <w:pPr>
        <w:rPr>
          <w:rFonts w:cs="Arial"/>
        </w:rPr>
      </w:pPr>
      <w:r w:rsidRPr="006644DB">
        <w:rPr>
          <w:rFonts w:cs="Arial"/>
          <w:b/>
        </w:rPr>
        <w:t>Do not</w:t>
      </w:r>
      <w:r>
        <w:rPr>
          <w:rFonts w:cs="Arial"/>
        </w:rPr>
        <w:t xml:space="preserve"> use this form for submitting nominations. Use the </w:t>
      </w:r>
      <w:hyperlink r:id="rId12" w:history="1">
        <w:r w:rsidRPr="007D3FFD">
          <w:rPr>
            <w:rStyle w:val="Hyperlink"/>
            <w:rFonts w:cs="Arial"/>
          </w:rPr>
          <w:t>electronic form</w:t>
        </w:r>
      </w:hyperlink>
      <w:r>
        <w:rPr>
          <w:rFonts w:cs="Arial"/>
        </w:rPr>
        <w:t xml:space="preserve"> to submit nominations by </w:t>
      </w:r>
      <w:r w:rsidR="001014B1" w:rsidRPr="001014B1">
        <w:rPr>
          <w:rStyle w:val="Strong"/>
          <w:rFonts w:ascii="Calibri" w:hAnsi="Calibri" w:cs="Arial"/>
        </w:rPr>
        <w:t>8</w:t>
      </w:r>
      <w:r>
        <w:rPr>
          <w:rStyle w:val="Strong"/>
          <w:rFonts w:ascii="Calibri" w:hAnsi="Calibri" w:cs="Arial"/>
        </w:rPr>
        <w:t xml:space="preserve"> </w:t>
      </w:r>
      <w:r w:rsidR="001014B1" w:rsidRPr="001014B1">
        <w:rPr>
          <w:rStyle w:val="Strong"/>
          <w:rFonts w:ascii="Calibri" w:hAnsi="Calibri" w:cs="Arial"/>
        </w:rPr>
        <w:t>p</w:t>
      </w:r>
      <w:r>
        <w:rPr>
          <w:rStyle w:val="Strong"/>
          <w:rFonts w:ascii="Calibri" w:hAnsi="Calibri" w:cs="Arial"/>
        </w:rPr>
        <w:t>.</w:t>
      </w:r>
      <w:r w:rsidR="001014B1" w:rsidRPr="001014B1">
        <w:rPr>
          <w:rStyle w:val="Strong"/>
          <w:rFonts w:ascii="Calibri" w:hAnsi="Calibri" w:cs="Arial"/>
        </w:rPr>
        <w:t>m</w:t>
      </w:r>
      <w:r>
        <w:rPr>
          <w:rStyle w:val="Strong"/>
          <w:rFonts w:ascii="Calibri" w:hAnsi="Calibri" w:cs="Arial"/>
        </w:rPr>
        <w:t>. Eastern, Tuesday,</w:t>
      </w:r>
      <w:r w:rsidR="001014B1" w:rsidRPr="001014B1">
        <w:rPr>
          <w:rStyle w:val="Strong"/>
          <w:rFonts w:ascii="Calibri" w:hAnsi="Calibri" w:cs="Arial"/>
        </w:rPr>
        <w:t xml:space="preserve"> </w:t>
      </w:r>
      <w:r w:rsidR="0022410A">
        <w:rPr>
          <w:rStyle w:val="Strong"/>
          <w:rFonts w:ascii="Calibri" w:hAnsi="Calibri" w:cs="Arial"/>
        </w:rPr>
        <w:t>December 1</w:t>
      </w:r>
      <w:r w:rsidR="001014B1" w:rsidRPr="001014B1">
        <w:rPr>
          <w:rStyle w:val="Strong"/>
          <w:rFonts w:ascii="Calibri" w:hAnsi="Calibri" w:cs="Arial"/>
        </w:rPr>
        <w:t>, 2015.</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ascii="Calibri" w:hAnsi="Calibri" w:cs="Arial"/>
        </w:rPr>
        <w:br/>
      </w:r>
      <w:r>
        <w:rPr>
          <w:rFonts w:cs="Arial"/>
        </w:rPr>
        <w:t xml:space="preserve">Documents and information about this project are available on the </w:t>
      </w:r>
      <w:hyperlink r:id="rId13" w:history="1">
        <w:r w:rsidRPr="006644DB">
          <w:rPr>
            <w:rStyle w:val="Hyperlink"/>
            <w:rFonts w:cs="Arial"/>
          </w:rPr>
          <w:t>project page</w:t>
        </w:r>
      </w:hyperlink>
      <w:r>
        <w:rPr>
          <w:rFonts w:cs="Arial"/>
        </w:rPr>
        <w:t xml:space="preserve">. </w:t>
      </w:r>
      <w:r w:rsidR="00816016" w:rsidRPr="00816016">
        <w:rPr>
          <w:rFonts w:cs="Arial"/>
        </w:rPr>
        <w:t>If you have any questions, contact</w:t>
      </w:r>
      <w:r>
        <w:rPr>
          <w:rFonts w:cs="Arial"/>
        </w:rPr>
        <w:t xml:space="preserve"> Standards Developer,</w:t>
      </w:r>
      <w:r w:rsidR="00816016" w:rsidRPr="00816016">
        <w:rPr>
          <w:rFonts w:cs="Arial"/>
        </w:rPr>
        <w:t xml:space="preserve"> </w:t>
      </w:r>
      <w:hyperlink r:id="rId14" w:history="1">
        <w:r w:rsidR="001014B1">
          <w:rPr>
            <w:rStyle w:val="Hyperlink"/>
            <w:rFonts w:cs="Arial"/>
          </w:rPr>
          <w:t>Katherine Street</w:t>
        </w:r>
      </w:hyperlink>
      <w:r w:rsidR="00816016" w:rsidRPr="00816016">
        <w:rPr>
          <w:rFonts w:cs="Arial"/>
        </w:rPr>
        <w:t xml:space="preserve"> </w:t>
      </w:r>
      <w:r>
        <w:rPr>
          <w:rFonts w:cs="Arial"/>
        </w:rPr>
        <w:t xml:space="preserve">(via email) or at (404) </w:t>
      </w:r>
      <w:r w:rsidRPr="006644DB">
        <w:rPr>
          <w:rFonts w:cs="Arial"/>
        </w:rPr>
        <w:t>446-9702.</w:t>
      </w:r>
    </w:p>
    <w:p w:rsidR="00816016" w:rsidRDefault="00816016" w:rsidP="00816016">
      <w:pPr>
        <w:rPr>
          <w:rFonts w:ascii="Verdana" w:hAnsi="Verdana" w:cs="Arial"/>
          <w:sz w:val="18"/>
          <w:szCs w:val="18"/>
        </w:rPr>
      </w:pPr>
      <w:bookmarkStart w:id="1" w:name="_GoBack"/>
      <w:bookmarkEnd w:id="1"/>
    </w:p>
    <w:p w:rsidR="002B29E4" w:rsidRPr="004C0DCD" w:rsidRDefault="002B29E4" w:rsidP="002B29E4">
      <w:pPr>
        <w:ind w:left="-5" w:right="378"/>
        <w:rPr>
          <w:color w:val="000000"/>
        </w:rPr>
      </w:pPr>
      <w:r w:rsidRPr="00B367D4">
        <w:rPr>
          <w:color w:val="000000"/>
        </w:rPr>
        <w:t>By submitting a nomination form, you are indicating your willingness and agreement to actively participate in the review or drafting team meetings if appointed by the Standards Committee. If appointed, you are expected to attend most of the face-to-face drafting team meetings</w:t>
      </w:r>
      <w:r>
        <w:rPr>
          <w:color w:val="000000"/>
        </w:rPr>
        <w:t>,</w:t>
      </w:r>
      <w:r w:rsidRPr="00B367D4">
        <w:rPr>
          <w:color w:val="000000"/>
        </w:rPr>
        <w:t xml:space="preserve"> as well as participate in all the team meetings held via conference calls.</w:t>
      </w:r>
    </w:p>
    <w:p w:rsidR="002B29E4" w:rsidRDefault="002B29E4" w:rsidP="002B29E4">
      <w:pPr>
        <w:ind w:left="-5" w:right="378"/>
        <w:rPr>
          <w:color w:val="000000"/>
        </w:rPr>
      </w:pPr>
    </w:p>
    <w:p w:rsidR="002B29E4" w:rsidRDefault="002B29E4" w:rsidP="002B29E4">
      <w:pPr>
        <w:ind w:left="-5" w:right="378"/>
        <w:rPr>
          <w:color w:val="000000"/>
        </w:rPr>
      </w:pPr>
      <w:r w:rsidRPr="004C0DCD">
        <w:rPr>
          <w:color w:val="000000"/>
        </w:rPr>
        <w:t>The time commitment for these projects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Pr>
          <w:color w:val="000000"/>
        </w:rPr>
        <w:t>D</w:t>
      </w:r>
      <w:r w:rsidRPr="004C0DCD">
        <w:rPr>
          <w:color w:val="000000"/>
        </w:rPr>
        <w:t>rafting teams also will have side projects, either individually or by subgroup, to present to the larger team for discussion and review. Lastly, an important component of the review and drafting team efforts is outreach. Members of the team should be conducting outreach during development prior to posting to ensure all issues can be discussed and resolved.</w:t>
      </w:r>
    </w:p>
    <w:p w:rsidR="002B29E4" w:rsidRDefault="002B29E4" w:rsidP="002B29E4">
      <w:pPr>
        <w:ind w:left="-5" w:right="378"/>
        <w:rPr>
          <w:color w:val="000000"/>
        </w:rPr>
      </w:pPr>
    </w:p>
    <w:p w:rsidR="002B29E4" w:rsidRDefault="002B29E4" w:rsidP="002B29E4">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rsidR="00816016" w:rsidRDefault="00816016" w:rsidP="00816016">
      <w:pPr>
        <w:rPr>
          <w:rFonts w:ascii="Verdana" w:hAnsi="Verdana" w:cs="Arial"/>
          <w:sz w:val="20"/>
        </w:rPr>
      </w:pPr>
    </w:p>
    <w:p w:rsidR="00980822" w:rsidRPr="006644DB" w:rsidRDefault="00050B69" w:rsidP="00143DD2">
      <w:pPr>
        <w:rPr>
          <w:rStyle w:val="BoxText"/>
          <w:rFonts w:ascii="Tahoma" w:hAnsi="Tahoma" w:cs="Tahoma"/>
          <w:sz w:val="22"/>
          <w:szCs w:val="22"/>
        </w:rPr>
      </w:pPr>
      <w:r w:rsidRPr="006644DB">
        <w:rPr>
          <w:rStyle w:val="BoxText"/>
          <w:rFonts w:ascii="Tahoma" w:hAnsi="Tahoma" w:cs="Tahoma"/>
          <w:sz w:val="22"/>
          <w:szCs w:val="22"/>
        </w:rPr>
        <w:t>Project 2015-10 Single Points of Failure</w:t>
      </w:r>
    </w:p>
    <w:p w:rsidR="00143DD2" w:rsidRPr="00143DD2" w:rsidRDefault="00143DD2" w:rsidP="00143DD2">
      <w:r w:rsidRPr="00143DD2">
        <w:t xml:space="preserve">The purpose of the proposed project is to draft a Standards Authorization Request (SAR) to address the findings of the </w:t>
      </w:r>
      <w:r w:rsidR="00BF269E" w:rsidRPr="00BF269E">
        <w:t>System Protection and Control Subcommittee (SPCS) and the System Modeling a</w:t>
      </w:r>
      <w:r w:rsidR="00BF269E">
        <w:t>nd Analysis Subcommittee (SAMS)</w:t>
      </w:r>
      <w:r w:rsidRPr="00143DD2">
        <w:t xml:space="preserve"> assessment of protection system single points of failure, conducted in response to FERC Order No. 754,</w:t>
      </w:r>
      <w:r w:rsidR="00FF6FA0">
        <w:rPr>
          <w:rStyle w:val="FootnoteReference"/>
        </w:rPr>
        <w:footnoteReference w:id="1"/>
      </w:r>
      <w:r w:rsidRPr="00143DD2">
        <w:t xml:space="preserve"> including analysis of data from the NERC Rules of Procedure Section 1600 Request for Data or Information. The assessment confirms the existence of a reliability risk associated with single points of failure in protection systems that warrants further action.</w:t>
      </w:r>
    </w:p>
    <w:p w:rsidR="00143DD2" w:rsidRPr="00143DD2" w:rsidRDefault="00143DD2" w:rsidP="00143DD2"/>
    <w:p w:rsidR="00143DD2" w:rsidRPr="00143DD2" w:rsidRDefault="00143DD2" w:rsidP="00143DD2">
      <w:pPr>
        <w:rPr>
          <w:lang w:bidi="en-US"/>
        </w:rPr>
      </w:pPr>
      <w:r w:rsidRPr="00143DD2">
        <w:rPr>
          <w:lang w:bidi="en-US"/>
        </w:rPr>
        <w:lastRenderedPageBreak/>
        <w:t>As such, regarding single points of failure in protection systems, the SPCS and the SAMS proposed the following recommendations for modifying NERC Reliability Standard TPL-001-4 (Transmission System Planning Performance Requirements) through the NERC standards development process identified in the NERC Rules of Procedure:</w:t>
      </w:r>
    </w:p>
    <w:p w:rsidR="00143DD2" w:rsidRPr="00143DD2" w:rsidRDefault="00143DD2" w:rsidP="00143DD2"/>
    <w:p w:rsidR="00143DD2" w:rsidRPr="00143DD2" w:rsidRDefault="00143DD2" w:rsidP="00143DD2">
      <w:pPr>
        <w:numPr>
          <w:ilvl w:val="0"/>
          <w:numId w:val="24"/>
        </w:numPr>
      </w:pPr>
      <w:r w:rsidRPr="00143DD2">
        <w:t>For Table 1 – Steady State &amp; Stability Performance Planning Events, Category P5:</w:t>
      </w:r>
    </w:p>
    <w:p w:rsidR="00143DD2" w:rsidRPr="00143DD2" w:rsidRDefault="00143DD2" w:rsidP="00143DD2">
      <w:pPr>
        <w:numPr>
          <w:ilvl w:val="1"/>
          <w:numId w:val="24"/>
        </w:numPr>
      </w:pPr>
      <w:r w:rsidRPr="00143DD2">
        <w:t>Replace “relay” with “component of a Protection System,” and</w:t>
      </w:r>
    </w:p>
    <w:p w:rsidR="00143DD2" w:rsidRPr="00143DD2" w:rsidRDefault="00143DD2" w:rsidP="00143DD2">
      <w:pPr>
        <w:numPr>
          <w:ilvl w:val="1"/>
          <w:numId w:val="24"/>
        </w:numPr>
      </w:pPr>
      <w:r w:rsidRPr="00143DD2">
        <w:t>Add superscript “13” to reference footnote 13 for the replaced term under the “Category” column.</w:t>
      </w:r>
    </w:p>
    <w:p w:rsidR="00143DD2" w:rsidRPr="00143DD2" w:rsidRDefault="00143DD2" w:rsidP="00143DD2">
      <w:pPr>
        <w:numPr>
          <w:ilvl w:val="0"/>
          <w:numId w:val="24"/>
        </w:numPr>
      </w:pPr>
      <w:r w:rsidRPr="00143DD2">
        <w:t>For Table 1 – Steady State &amp; Stability Performance Extreme Events, under the Stability column, No. 2:</w:t>
      </w:r>
    </w:p>
    <w:p w:rsidR="00143DD2" w:rsidRPr="00143DD2" w:rsidRDefault="00143DD2" w:rsidP="00143DD2">
      <w:pPr>
        <w:numPr>
          <w:ilvl w:val="1"/>
          <w:numId w:val="24"/>
        </w:numPr>
      </w:pPr>
      <w:r w:rsidRPr="00143DD2">
        <w:t>Remove the phrase “or a relay failure” from items a, b, c, and d to create distinct events only for stuck breakers.</w:t>
      </w:r>
    </w:p>
    <w:p w:rsidR="00143DD2" w:rsidRPr="00143DD2" w:rsidRDefault="00143DD2" w:rsidP="00143DD2">
      <w:pPr>
        <w:numPr>
          <w:ilvl w:val="1"/>
          <w:numId w:val="24"/>
        </w:numPr>
      </w:pPr>
      <w:r w:rsidRPr="00143DD2">
        <w:t>Append four new events for the same items a, b, c, and d in the above bulleted item to create distinct events replacing “a relay failure” with “a component failure of a Protection System.”</w:t>
      </w:r>
    </w:p>
    <w:p w:rsidR="00143DD2" w:rsidRPr="00143DD2" w:rsidRDefault="00143DD2" w:rsidP="00143DD2">
      <w:pPr>
        <w:numPr>
          <w:ilvl w:val="0"/>
          <w:numId w:val="24"/>
        </w:numPr>
      </w:pPr>
      <w:r w:rsidRPr="00143DD2">
        <w:t>Replace footnote 13 in TPL-001-4 with, “The components from the definition of “Protection System” for the purposes of this standard include (1) protective relays that respond to electrical quantities, (2) single-station DC supply that is not monitored for both low voltage and open circuit, with alarms centrally monitored (i.e., reported within 24 hours of detecting an abnormal condition to a location where corrective action can be initiated), and (3) DC control circuitry associated with protective functions through the trip coil(s) of the circuit breakers or other interrupting devices.”</w:t>
      </w:r>
      <w:r w:rsidRPr="00143DD2">
        <w:rPr>
          <w:vertAlign w:val="superscript"/>
        </w:rPr>
        <w:footnoteReference w:id="2"/>
      </w:r>
    </w:p>
    <w:p w:rsidR="00E24246" w:rsidRDefault="00143DD2" w:rsidP="00143DD2">
      <w:pPr>
        <w:pStyle w:val="default0"/>
        <w:rPr>
          <w:rFonts w:asciiTheme="minorHAnsi" w:eastAsia="Times New Roman" w:hAnsiTheme="minorHAnsi"/>
          <w:color w:val="auto"/>
          <w:lang w:bidi="en-US"/>
        </w:rPr>
      </w:pPr>
      <w:r w:rsidRPr="00143DD2">
        <w:rPr>
          <w:rFonts w:asciiTheme="minorHAnsi" w:eastAsia="Times New Roman" w:hAnsiTheme="minorHAnsi"/>
          <w:color w:val="auto"/>
          <w:lang w:bidi="en-US"/>
        </w:rPr>
        <w:t>Modify TPL-001-4 (Part 4.5) so that extreme event assessments must include evaluation of the three-phase faults the described component failures of a Protection System</w:t>
      </w:r>
      <w:r w:rsidRPr="00143DD2">
        <w:rPr>
          <w:rFonts w:asciiTheme="minorHAnsi" w:eastAsia="Times New Roman" w:hAnsiTheme="minorHAnsi"/>
          <w:color w:val="auto"/>
          <w:vertAlign w:val="superscript"/>
          <w:lang w:bidi="en-US"/>
        </w:rPr>
        <w:t>13</w:t>
      </w:r>
      <w:r w:rsidRPr="00143DD2">
        <w:rPr>
          <w:rFonts w:asciiTheme="minorHAnsi" w:eastAsia="Times New Roman" w:hAnsiTheme="minorHAnsi"/>
          <w:color w:val="auto"/>
          <w:lang w:bidi="en-US"/>
        </w:rPr>
        <w:t xml:space="preserve"> that produce the more severe system impacts. For example, add a new second sentence that reads “[t]he list shall consider each of the extreme events in Table 1 – Steady State &amp; Stability Performance Extreme Events; Stability column item number 2.”</w:t>
      </w:r>
    </w:p>
    <w:p w:rsidR="00143DD2" w:rsidRDefault="00143DD2" w:rsidP="00143DD2">
      <w:pPr>
        <w:pStyle w:val="default0"/>
        <w:rPr>
          <w:rFonts w:asciiTheme="minorHAnsi" w:hAnsiTheme="minorHAnsi" w:cs="Tahoma"/>
        </w:rPr>
      </w:pPr>
    </w:p>
    <w:p w:rsidR="00476B91" w:rsidRPr="00476B91" w:rsidRDefault="00476B91" w:rsidP="00476B91">
      <w:pPr>
        <w:shd w:val="clear" w:color="auto" w:fill="FFFFFF"/>
        <w:ind w:left="1" w:right="2"/>
      </w:pPr>
      <w:r w:rsidRPr="00476B91">
        <w:rPr>
          <w:rFonts w:cs="Tahoma"/>
          <w:b/>
          <w:bCs/>
          <w:color w:val="000000"/>
        </w:rPr>
        <w:t xml:space="preserve">Standards affected: </w:t>
      </w:r>
      <w:r w:rsidR="004F0B63">
        <w:rPr>
          <w:rFonts w:cs="Tahoma"/>
          <w:color w:val="000000"/>
        </w:rPr>
        <w:t>TPL-001-4</w:t>
      </w:r>
    </w:p>
    <w:p w:rsidR="00816016" w:rsidRPr="00816016" w:rsidRDefault="00816016" w:rsidP="00816016">
      <w:pPr>
        <w:spacing w:before="120" w:after="120"/>
        <w:rPr>
          <w:rStyle w:val="BoxText"/>
          <w:rFonts w:asciiTheme="minorHAnsi" w:hAnsiTheme="minorHAnsi" w:cs="Arial"/>
          <w:b w:val="0"/>
          <w:sz w:val="24"/>
        </w:rPr>
      </w:pPr>
      <w:r w:rsidRPr="00816016">
        <w:rPr>
          <w:rStyle w:val="BoxText"/>
          <w:rFonts w:asciiTheme="minorHAnsi" w:hAnsiTheme="minorHAnsi" w:cs="Arial"/>
          <w:b w:val="0"/>
          <w:sz w:val="24"/>
        </w:rPr>
        <w:t xml:space="preserve">We are seeking a cross section of the industry to participate on the team, but in particular are seeking individuals who have experience and expertise with </w:t>
      </w:r>
      <w:r w:rsidR="002575AA" w:rsidRPr="002575AA">
        <w:rPr>
          <w:rStyle w:val="BoxText"/>
          <w:rFonts w:asciiTheme="minorHAnsi" w:hAnsiTheme="minorHAnsi" w:cs="Arial"/>
          <w:b w:val="0"/>
          <w:sz w:val="24"/>
        </w:rPr>
        <w:t>transmission planning in the United States and/or Canada.</w:t>
      </w:r>
      <w:r w:rsidRPr="00816016">
        <w:rPr>
          <w:rStyle w:val="BoxText"/>
          <w:rFonts w:asciiTheme="minorHAnsi" w:hAnsiTheme="minorHAnsi" w:cs="Arial"/>
          <w:b w:val="0"/>
          <w:sz w:val="24"/>
        </w:rPr>
        <w:t xml:space="preserve"> </w:t>
      </w:r>
    </w:p>
    <w:p w:rsidR="00816016" w:rsidRPr="00816016" w:rsidRDefault="00816016" w:rsidP="00816016">
      <w:pPr>
        <w:spacing w:before="120" w:after="120"/>
        <w:rPr>
          <w:rStyle w:val="BoxText"/>
          <w:rFonts w:asciiTheme="minorHAnsi" w:hAnsiTheme="minorHAnsi" w:cs="Arial"/>
          <w:b w:val="0"/>
          <w:sz w:val="24"/>
        </w:rPr>
      </w:pPr>
      <w:r w:rsidRPr="00816016">
        <w:rPr>
          <w:rStyle w:val="BoxText"/>
          <w:rFonts w:asciiTheme="minorHAnsi" w:hAnsiTheme="minorHAnsi" w:cs="Arial"/>
          <w:b w:val="0"/>
          <w:sz w:val="24"/>
        </w:rPr>
        <w:t>Experience with developing standards inside or outside (e.g., IEEE, NAESB, ANSI, etc.) of the NERC process is beneficial, but is not required, and should be highlighted in the information submitted</w:t>
      </w:r>
      <w:r w:rsidR="00476B91">
        <w:rPr>
          <w:rStyle w:val="BoxText"/>
          <w:rFonts w:asciiTheme="minorHAnsi" w:hAnsiTheme="minorHAnsi" w:cs="Arial"/>
          <w:b w:val="0"/>
          <w:sz w:val="24"/>
        </w:rPr>
        <w:t>,</w:t>
      </w:r>
      <w:r w:rsidRPr="00816016">
        <w:rPr>
          <w:rStyle w:val="BoxText"/>
          <w:rFonts w:asciiTheme="minorHAnsi" w:hAnsiTheme="minorHAnsi" w:cs="Arial"/>
          <w:b w:val="0"/>
          <w:sz w:val="24"/>
        </w:rPr>
        <w:t xml:space="preserve"> if applicable.</w:t>
      </w:r>
    </w:p>
    <w:p w:rsidR="00FD1345" w:rsidRPr="007F29A0" w:rsidRDefault="00816016" w:rsidP="00816016">
      <w:pPr>
        <w:rPr>
          <w:rFonts w:ascii="Verdana" w:hAnsi="Verdana" w:cs="Arial"/>
          <w:sz w:val="18"/>
          <w:szCs w:val="18"/>
        </w:rPr>
      </w:pPr>
      <w:r w:rsidRPr="00816016">
        <w:rPr>
          <w:rStyle w:val="BoxText"/>
          <w:rFonts w:asciiTheme="minorHAnsi" w:hAnsiTheme="minorHAnsi" w:cs="Arial"/>
          <w:b w:val="0"/>
          <w:sz w:val="24"/>
        </w:rPr>
        <w:t>Individuals who have facilitation skills and experience and/or legal or technical writing backgrounds are also strongly desired. Please include this in the description of qualifications as applicable.</w:t>
      </w:r>
    </w:p>
    <w:p w:rsidR="00FD1345" w:rsidRPr="00E23D20" w:rsidRDefault="00FD1345" w:rsidP="00FD1345">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620"/>
        <w:gridCol w:w="90"/>
        <w:gridCol w:w="2250"/>
        <w:gridCol w:w="1980"/>
        <w:gridCol w:w="3961"/>
      </w:tblGrid>
      <w:tr w:rsidR="00FD1345" w:rsidRPr="00E23D20" w:rsidTr="00563006">
        <w:trPr>
          <w:trHeight w:val="413"/>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67"/>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cantSplit/>
          <w:trHeight w:val="458"/>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Address:</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40"/>
          <w:jc w:val="center"/>
        </w:trPr>
        <w:tc>
          <w:tcPr>
            <w:tcW w:w="2075" w:type="dxa"/>
            <w:gridSpan w:val="2"/>
          </w:tcPr>
          <w:p w:rsidR="00FD1345" w:rsidRPr="00193AE7" w:rsidRDefault="00FD1345" w:rsidP="00DB028B">
            <w:pPr>
              <w:pStyle w:val="Heading5"/>
              <w:spacing w:after="60"/>
              <w:rPr>
                <w:rStyle w:val="BoxText"/>
                <w:rFonts w:asciiTheme="minorHAnsi" w:hAnsiTheme="minorHAnsi" w:cs="Arial"/>
                <w:b w:val="0"/>
                <w:sz w:val="24"/>
              </w:rPr>
            </w:pPr>
            <w:r w:rsidRPr="00193AE7">
              <w:rPr>
                <w:rStyle w:val="BoxText"/>
                <w:rFonts w:asciiTheme="minorHAnsi" w:hAnsiTheme="minorHAnsi" w:cs="Arial"/>
                <w:sz w:val="24"/>
              </w:rPr>
              <w:t>Telephone:</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40"/>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cantSplit/>
          <w:trHeight w:val="1232"/>
          <w:jc w:val="center"/>
        </w:trPr>
        <w:tc>
          <w:tcPr>
            <w:tcW w:w="10356" w:type="dxa"/>
            <w:gridSpan w:val="6"/>
          </w:tcPr>
          <w:p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rsidR="00FD1345" w:rsidRDefault="00FD1345" w:rsidP="00DB028B">
            <w:pPr>
              <w:spacing w:before="60" w:after="60"/>
              <w:rPr>
                <w:rStyle w:val="BoxText"/>
                <w:rFonts w:asciiTheme="minorHAnsi" w:hAnsiTheme="minorHAnsi" w:cs="Arial"/>
                <w:sz w:val="24"/>
              </w:rPr>
            </w:pPr>
          </w:p>
          <w:p w:rsidR="006A71F1" w:rsidRPr="00193AE7" w:rsidRDefault="006A71F1" w:rsidP="00DB028B">
            <w:pPr>
              <w:spacing w:before="60" w:after="60"/>
              <w:rPr>
                <w:rStyle w:val="BoxText"/>
                <w:rFonts w:asciiTheme="minorHAnsi" w:hAnsiTheme="minorHAnsi" w:cs="Arial"/>
                <w:sz w:val="24"/>
              </w:rPr>
            </w:pPr>
          </w:p>
        </w:tc>
      </w:tr>
      <w:tr w:rsidR="00FD1345" w:rsidRPr="00E23D20" w:rsidTr="00563006">
        <w:tblPrEx>
          <w:tblLook w:val="01E0" w:firstRow="1" w:lastRow="1" w:firstColumn="1" w:lastColumn="1" w:noHBand="0" w:noVBand="0"/>
        </w:tblPrEx>
        <w:trPr>
          <w:trHeight w:val="485"/>
          <w:jc w:val="center"/>
        </w:trPr>
        <w:tc>
          <w:tcPr>
            <w:tcW w:w="10356" w:type="dxa"/>
            <w:gridSpan w:val="6"/>
          </w:tcPr>
          <w:p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D3FFD">
              <w:rPr>
                <w:rFonts w:cs="Arial"/>
              </w:rPr>
            </w:r>
            <w:r w:rsidR="007D3FFD">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D3FFD">
              <w:rPr>
                <w:rFonts w:cs="Arial"/>
              </w:rPr>
            </w:r>
            <w:r w:rsidR="007D3FFD">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rsidTr="00563006">
        <w:tblPrEx>
          <w:tblLook w:val="01E0" w:firstRow="1" w:lastRow="1" w:firstColumn="1" w:lastColumn="1" w:noHBand="0" w:noVBand="0"/>
        </w:tblPrEx>
        <w:trPr>
          <w:trHeight w:val="621"/>
          <w:jc w:val="center"/>
        </w:trPr>
        <w:tc>
          <w:tcPr>
            <w:tcW w:w="10356" w:type="dxa"/>
            <w:gridSpan w:val="6"/>
            <w:tcBorders>
              <w:bottom w:val="single" w:sz="4" w:space="0" w:color="auto"/>
            </w:tcBorders>
          </w:tcPr>
          <w:p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D3FFD">
              <w:rPr>
                <w:rFonts w:cs="Arial"/>
              </w:rPr>
            </w:r>
            <w:r w:rsidR="007D3FFD">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D3FFD">
              <w:rPr>
                <w:rFonts w:cs="Arial"/>
              </w:rPr>
            </w:r>
            <w:r w:rsidR="007D3FFD">
              <w:rPr>
                <w:rFonts w:cs="Arial"/>
              </w:rPr>
              <w:fldChar w:fldCharType="separate"/>
            </w:r>
            <w:r w:rsidRPr="00193AE7">
              <w:rPr>
                <w:rFonts w:cs="Arial"/>
              </w:rPr>
              <w:fldChar w:fldCharType="end"/>
            </w:r>
            <w:r w:rsidR="00FD1345" w:rsidRPr="00193AE7">
              <w:rPr>
                <w:rFonts w:cs="Arial"/>
              </w:rPr>
              <w:t xml:space="preserve"> Prior experience on the following team(s):</w:t>
            </w:r>
          </w:p>
          <w:p w:rsidR="00FD1345" w:rsidRPr="00193AE7" w:rsidRDefault="00FD1345" w:rsidP="00DB028B">
            <w:pPr>
              <w:tabs>
                <w:tab w:val="left" w:pos="432"/>
              </w:tabs>
              <w:spacing w:before="60" w:after="60"/>
              <w:ind w:left="432"/>
              <w:rPr>
                <w:rFonts w:cs="Arial"/>
              </w:rPr>
            </w:pPr>
          </w:p>
        </w:tc>
      </w:tr>
      <w:tr w:rsidR="00FD1345" w:rsidRPr="00081BCE" w:rsidTr="00563006">
        <w:tblPrEx>
          <w:tblLook w:val="01E0" w:firstRow="1" w:lastRow="1" w:firstColumn="1" w:lastColumn="1" w:noHBand="0" w:noVBand="0"/>
        </w:tblPrEx>
        <w:trPr>
          <w:trHeight w:val="621"/>
          <w:jc w:val="center"/>
        </w:trPr>
        <w:tc>
          <w:tcPr>
            <w:tcW w:w="10356" w:type="dxa"/>
            <w:gridSpan w:val="6"/>
            <w:tcBorders>
              <w:bottom w:val="single" w:sz="4" w:space="0" w:color="auto"/>
            </w:tcBorders>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rsidTr="00563006">
        <w:trPr>
          <w:cantSplit/>
          <w:jc w:val="center"/>
        </w:trPr>
        <w:tc>
          <w:tcPr>
            <w:tcW w:w="2165" w:type="dxa"/>
            <w:gridSpan w:val="3"/>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D3FFD">
              <w:rPr>
                <w:rStyle w:val="BoxText"/>
                <w:rFonts w:asciiTheme="minorHAnsi" w:hAnsiTheme="minorHAnsi"/>
                <w:b w:val="0"/>
                <w:sz w:val="24"/>
              </w:rPr>
            </w:r>
            <w:r w:rsidR="007D3FF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t>
            </w:r>
            <w:r w:rsidR="002C220E">
              <w:rPr>
                <w:rStyle w:val="BoxText"/>
                <w:rFonts w:asciiTheme="minorHAnsi" w:hAnsiTheme="minorHAnsi"/>
                <w:b w:val="0"/>
                <w:sz w:val="24"/>
              </w:rPr>
              <w:t>TRE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D3FFD">
              <w:rPr>
                <w:rStyle w:val="BoxText"/>
                <w:rFonts w:asciiTheme="minorHAnsi" w:hAnsiTheme="minorHAnsi"/>
                <w:b w:val="0"/>
                <w:sz w:val="24"/>
              </w:rPr>
            </w:r>
            <w:r w:rsidR="007D3FF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D3FFD">
              <w:rPr>
                <w:rStyle w:val="BoxText"/>
                <w:rFonts w:asciiTheme="minorHAnsi" w:hAnsiTheme="minorHAnsi"/>
                <w:b w:val="0"/>
                <w:sz w:val="24"/>
              </w:rPr>
            </w:r>
            <w:r w:rsidR="007D3FF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D3FFD">
              <w:rPr>
                <w:rStyle w:val="BoxText"/>
                <w:rFonts w:asciiTheme="minorHAnsi" w:hAnsiTheme="minorHAnsi"/>
                <w:b w:val="0"/>
                <w:sz w:val="24"/>
              </w:rPr>
            </w:r>
            <w:r w:rsidR="007D3FF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D3FFD">
              <w:rPr>
                <w:rStyle w:val="BoxText"/>
                <w:rFonts w:asciiTheme="minorHAnsi" w:hAnsiTheme="minorHAnsi"/>
                <w:b w:val="0"/>
                <w:sz w:val="24"/>
              </w:rPr>
            </w:r>
            <w:r w:rsidR="007D3FF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RFC </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D3FFD">
              <w:rPr>
                <w:rStyle w:val="BoxText"/>
                <w:rFonts w:asciiTheme="minorHAnsi" w:hAnsiTheme="minorHAnsi"/>
                <w:b w:val="0"/>
                <w:sz w:val="24"/>
              </w:rPr>
            </w:r>
            <w:r w:rsidR="007D3FF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1" w:type="dxa"/>
            <w:gridSpan w:val="2"/>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D3FFD">
              <w:rPr>
                <w:rStyle w:val="BoxText"/>
                <w:rFonts w:asciiTheme="minorHAnsi" w:hAnsiTheme="minorHAnsi"/>
                <w:b w:val="0"/>
                <w:sz w:val="24"/>
              </w:rPr>
            </w:r>
            <w:r w:rsidR="007D3FF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D3FFD">
              <w:rPr>
                <w:rStyle w:val="BoxText"/>
                <w:rFonts w:asciiTheme="minorHAnsi" w:hAnsiTheme="minorHAnsi"/>
                <w:b w:val="0"/>
                <w:sz w:val="24"/>
              </w:rPr>
            </w:r>
            <w:r w:rsidR="007D3FF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D3FFD">
              <w:rPr>
                <w:rFonts w:cs="Arial"/>
              </w:rPr>
            </w:r>
            <w:r w:rsidR="007D3FFD">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r w:rsidR="00563006" w:rsidRPr="00081BCE" w:rsidTr="006826D0">
        <w:tblPrEx>
          <w:tblLook w:val="01E0" w:firstRow="1" w:lastRow="1" w:firstColumn="1" w:lastColumn="1" w:noHBand="0" w:noVBand="0"/>
        </w:tblPrEx>
        <w:trPr>
          <w:trHeight w:val="621"/>
          <w:jc w:val="center"/>
        </w:trPr>
        <w:tc>
          <w:tcPr>
            <w:tcW w:w="10356" w:type="dxa"/>
            <w:gridSpan w:val="6"/>
            <w:tcBorders>
              <w:bottom w:val="single" w:sz="4" w:space="0" w:color="auto"/>
            </w:tcBorders>
            <w:shd w:val="clear" w:color="auto" w:fill="204C81"/>
            <w:vAlign w:val="center"/>
          </w:tcPr>
          <w:p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rsidTr="00997A70">
        <w:tblPrEx>
          <w:tblLook w:val="01E0" w:firstRow="1" w:lastRow="1" w:firstColumn="1" w:lastColumn="1" w:noHBand="0" w:noVBand="0"/>
        </w:tblPrEx>
        <w:trPr>
          <w:cantSplit/>
          <w:trHeight w:val="512"/>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3FFD">
              <w:rPr>
                <w:rFonts w:ascii="Verdana" w:hAnsi="Verdana" w:cs="Arial"/>
              </w:rPr>
            </w:r>
            <w:r w:rsidR="007D3FF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rsidTr="00997A70">
        <w:tblPrEx>
          <w:tblLook w:val="01E0" w:firstRow="1" w:lastRow="1" w:firstColumn="1" w:lastColumn="1" w:noHBand="0" w:noVBand="0"/>
        </w:tblPrEx>
        <w:trPr>
          <w:cantSplit/>
          <w:trHeight w:val="288"/>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7D3FFD">
              <w:rPr>
                <w:rFonts w:ascii="Verdana" w:hAnsi="Verdana" w:cs="Arial"/>
              </w:rPr>
            </w:r>
            <w:r w:rsidR="007D3FF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rsidTr="00997A70">
        <w:tblPrEx>
          <w:tblLook w:val="01E0" w:firstRow="1" w:lastRow="1" w:firstColumn="1" w:lastColumn="1" w:noHBand="0" w:noVBand="0"/>
        </w:tblPrEx>
        <w:trPr>
          <w:cantSplit/>
          <w:trHeight w:val="305"/>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3FFD">
              <w:rPr>
                <w:rFonts w:ascii="Verdana" w:hAnsi="Verdana" w:cs="Arial"/>
              </w:rPr>
            </w:r>
            <w:r w:rsidR="007D3FF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rsidTr="00997A70">
        <w:tblPrEx>
          <w:tblLook w:val="01E0" w:firstRow="1" w:lastRow="1" w:firstColumn="1" w:lastColumn="1" w:noHBand="0" w:noVBand="0"/>
        </w:tblPrEx>
        <w:trPr>
          <w:cantSplit/>
          <w:trHeight w:val="278"/>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3FFD">
              <w:rPr>
                <w:rFonts w:ascii="Verdana" w:hAnsi="Verdana" w:cs="Arial"/>
              </w:rPr>
            </w:r>
            <w:r w:rsidR="007D3FF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4 — Transmission-dependent Utilities</w:t>
            </w:r>
          </w:p>
        </w:tc>
      </w:tr>
      <w:tr w:rsidR="00563006" w:rsidRPr="00E23D20" w:rsidTr="00997A70">
        <w:tblPrEx>
          <w:tblLook w:val="01E0" w:firstRow="1" w:lastRow="1" w:firstColumn="1" w:lastColumn="1" w:noHBand="0" w:noVBand="0"/>
        </w:tblPrEx>
        <w:trPr>
          <w:cantSplit/>
          <w:trHeight w:val="332"/>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3FFD">
              <w:rPr>
                <w:rFonts w:ascii="Verdana" w:hAnsi="Verdana" w:cs="Arial"/>
              </w:rPr>
            </w:r>
            <w:r w:rsidR="007D3FF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5 — Electric Generators</w:t>
            </w:r>
          </w:p>
        </w:tc>
      </w:tr>
      <w:tr w:rsidR="00563006" w:rsidRPr="00E23D20" w:rsidTr="00997A70">
        <w:tblPrEx>
          <w:tblLook w:val="01E0" w:firstRow="1" w:lastRow="1" w:firstColumn="1" w:lastColumn="1" w:noHBand="0" w:noVBand="0"/>
        </w:tblPrEx>
        <w:trPr>
          <w:cantSplit/>
          <w:trHeight w:val="260"/>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3FFD">
              <w:rPr>
                <w:rFonts w:ascii="Verdana" w:hAnsi="Verdana" w:cs="Arial"/>
              </w:rPr>
            </w:r>
            <w:r w:rsidR="007D3FF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rsidTr="00997A70">
        <w:tblPrEx>
          <w:tblLook w:val="01E0" w:firstRow="1" w:lastRow="1" w:firstColumn="1" w:lastColumn="1" w:noHBand="0" w:noVBand="0"/>
        </w:tblPrEx>
        <w:trPr>
          <w:cantSplit/>
          <w:trHeight w:val="305"/>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3FFD">
              <w:rPr>
                <w:rFonts w:ascii="Verdana" w:hAnsi="Verdana" w:cs="Arial"/>
              </w:rPr>
            </w:r>
            <w:r w:rsidR="007D3FF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7 — Large Electricity End Users</w:t>
            </w:r>
          </w:p>
        </w:tc>
      </w:tr>
      <w:tr w:rsidR="00563006" w:rsidRPr="00E23D20" w:rsidTr="00997A70">
        <w:tblPrEx>
          <w:tblLook w:val="01E0" w:firstRow="1" w:lastRow="1" w:firstColumn="1" w:lastColumn="1" w:noHBand="0" w:noVBand="0"/>
        </w:tblPrEx>
        <w:trPr>
          <w:cantSplit/>
          <w:trHeight w:val="308"/>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3FFD">
              <w:rPr>
                <w:rFonts w:ascii="Verdana" w:hAnsi="Verdana" w:cs="Arial"/>
              </w:rPr>
            </w:r>
            <w:r w:rsidR="007D3FF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8 — Small Electricity End Users</w:t>
            </w:r>
          </w:p>
        </w:tc>
      </w:tr>
      <w:tr w:rsidR="00563006" w:rsidRPr="00E23D20" w:rsidTr="00997A70">
        <w:tblPrEx>
          <w:tblLook w:val="01E0" w:firstRow="1" w:lastRow="1" w:firstColumn="1" w:lastColumn="1" w:noHBand="0" w:noVBand="0"/>
        </w:tblPrEx>
        <w:trPr>
          <w:cantSplit/>
          <w:trHeight w:val="270"/>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3FFD">
              <w:rPr>
                <w:rFonts w:ascii="Verdana" w:hAnsi="Verdana" w:cs="Arial"/>
              </w:rPr>
            </w:r>
            <w:r w:rsidR="007D3FF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rsidTr="00997A70">
        <w:tblPrEx>
          <w:tblLook w:val="01E0" w:firstRow="1" w:lastRow="1" w:firstColumn="1" w:lastColumn="1" w:noHBand="0" w:noVBand="0"/>
        </w:tblPrEx>
        <w:trPr>
          <w:cantSplit/>
          <w:trHeight w:val="270"/>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3FFD">
              <w:rPr>
                <w:rFonts w:ascii="Verdana" w:hAnsi="Verdana" w:cs="Arial"/>
              </w:rPr>
            </w:r>
            <w:r w:rsidR="007D3FF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rsidTr="00997A70">
        <w:tblPrEx>
          <w:tblLook w:val="01E0" w:firstRow="1" w:lastRow="1" w:firstColumn="1" w:lastColumn="1" w:noHBand="0" w:noVBand="0"/>
        </w:tblPrEx>
        <w:trPr>
          <w:cantSplit/>
          <w:trHeight w:val="270"/>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7D3FFD">
              <w:rPr>
                <w:rStyle w:val="BoxText"/>
                <w:rFonts w:ascii="Verdana" w:hAnsi="Verdana"/>
                <w:b w:val="0"/>
                <w:sz w:val="24"/>
              </w:rPr>
            </w:r>
            <w:r w:rsidR="007D3FFD">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1" w:type="dxa"/>
            <w:gridSpan w:val="5"/>
          </w:tcPr>
          <w:p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rsidTr="006826D0">
        <w:trPr>
          <w:cantSplit/>
          <w:trHeight w:val="350"/>
          <w:jc w:val="center"/>
        </w:trPr>
        <w:tc>
          <w:tcPr>
            <w:tcW w:w="10356" w:type="dxa"/>
            <w:gridSpan w:val="6"/>
            <w:shd w:val="clear" w:color="auto" w:fill="204C81"/>
            <w:vAlign w:val="center"/>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3"/>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rsidTr="00563006">
        <w:trPr>
          <w:cantSplit/>
          <w:trHeight w:val="621"/>
          <w:jc w:val="center"/>
        </w:trPr>
        <w:tc>
          <w:tcPr>
            <w:tcW w:w="4415" w:type="dxa"/>
            <w:gridSpan w:val="4"/>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1" w:type="dxa"/>
            <w:gridSpan w:val="2"/>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3FFD">
              <w:rPr>
                <w:rStyle w:val="BoxText"/>
                <w:rFonts w:asciiTheme="minorHAnsi" w:hAnsiTheme="minorHAnsi" w:cs="Arial"/>
                <w:b w:val="0"/>
                <w:sz w:val="24"/>
              </w:rPr>
            </w:r>
            <w:r w:rsidR="007D3FF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rsidTr="00563006">
        <w:trPr>
          <w:cantSplit/>
          <w:jc w:val="center"/>
        </w:trPr>
        <w:tc>
          <w:tcPr>
            <w:tcW w:w="10356" w:type="dxa"/>
            <w:gridSpan w:val="6"/>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rsidTr="00563006">
        <w:trPr>
          <w:cantSplit/>
          <w:jc w:val="center"/>
        </w:trPr>
        <w:tc>
          <w:tcPr>
            <w:tcW w:w="2165" w:type="dxa"/>
            <w:gridSpan w:val="3"/>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gridSpan w:val="3"/>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gridSpan w:val="3"/>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gridSpan w:val="3"/>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1"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r>
    </w:tbl>
    <w:p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rsidR="002F2BFE" w:rsidRDefault="002F2BFE" w:rsidP="00102A01">
      <w:pPr>
        <w:pStyle w:val="Heading1"/>
      </w:pPr>
    </w:p>
    <w:sectPr w:rsidR="002F2BFE" w:rsidSect="006644DB">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350" w:rsidRDefault="00740350">
      <w:r>
        <w:separator/>
      </w:r>
    </w:p>
  </w:endnote>
  <w:endnote w:type="continuationSeparator" w:id="0">
    <w:p w:rsidR="00740350" w:rsidRDefault="0074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Pr="00855BA8" w:rsidRDefault="00896153" w:rsidP="0002368A">
    <w:pPr>
      <w:pStyle w:val="Footer"/>
      <w:tabs>
        <w:tab w:val="clear" w:pos="10354"/>
        <w:tab w:val="right" w:pos="10350"/>
      </w:tabs>
      <w:ind w:left="0" w:right="18"/>
    </w:pPr>
    <w:r>
      <w:t>Unofficial Nomination Form</w:t>
    </w:r>
    <w:r w:rsidR="0002368A">
      <w:br/>
    </w:r>
    <w:r w:rsidR="00D0263C">
      <w:t xml:space="preserve">Project 2015-10 TPL </w:t>
    </w:r>
    <w:r w:rsidR="006644DB">
      <w:t>|</w:t>
    </w:r>
    <w:r w:rsidR="00D0263C">
      <w:t xml:space="preserve"> November</w:t>
    </w:r>
    <w:r w:rsidR="00676CFA">
      <w:t xml:space="preserve"> 2015</w:t>
    </w:r>
    <w:r>
      <w:tab/>
    </w:r>
    <w:r w:rsidR="001F52FD">
      <w:fldChar w:fldCharType="begin"/>
    </w:r>
    <w:r w:rsidR="001F52FD">
      <w:instrText xml:space="preserve"> PAGE </w:instrText>
    </w:r>
    <w:r w:rsidR="001F52FD">
      <w:fldChar w:fldCharType="separate"/>
    </w:r>
    <w:r w:rsidR="007D3FFD">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350" w:rsidRDefault="00740350">
      <w:r>
        <w:separator/>
      </w:r>
    </w:p>
  </w:footnote>
  <w:footnote w:type="continuationSeparator" w:id="0">
    <w:p w:rsidR="00740350" w:rsidRDefault="00740350">
      <w:r>
        <w:continuationSeparator/>
      </w:r>
    </w:p>
  </w:footnote>
  <w:footnote w:id="1">
    <w:p w:rsidR="00FF6FA0" w:rsidRDefault="00FF6FA0" w:rsidP="00FF6FA0">
      <w:pPr>
        <w:autoSpaceDE w:val="0"/>
        <w:autoSpaceDN w:val="0"/>
        <w:adjustRightInd w:val="0"/>
        <w:rPr>
          <w:rFonts w:ascii="Times New Roman" w:hAnsi="Times New Roman"/>
          <w:sz w:val="20"/>
          <w:szCs w:val="20"/>
        </w:rPr>
      </w:pPr>
      <w:r>
        <w:rPr>
          <w:rStyle w:val="FootnoteReference"/>
        </w:rPr>
        <w:footnoteRef/>
      </w:r>
      <w:r>
        <w:t xml:space="preserve"> </w:t>
      </w:r>
      <w:r>
        <w:rPr>
          <w:rFonts w:ascii="Times New Roman" w:hAnsi="Times New Roman"/>
          <w:sz w:val="20"/>
          <w:szCs w:val="20"/>
        </w:rPr>
        <w:t>In Order No. 754, the Commission expressed its concern that there was an issue concerning the study of a single point of</w:t>
      </w:r>
    </w:p>
    <w:p w:rsidR="00FF6FA0" w:rsidRDefault="00FF6FA0" w:rsidP="00FF6FA0">
      <w:pPr>
        <w:autoSpaceDE w:val="0"/>
        <w:autoSpaceDN w:val="0"/>
        <w:adjustRightInd w:val="0"/>
        <w:rPr>
          <w:rFonts w:ascii="Times New Roman" w:hAnsi="Times New Roman"/>
          <w:sz w:val="20"/>
          <w:szCs w:val="20"/>
        </w:rPr>
      </w:pPr>
      <w:proofErr w:type="gramStart"/>
      <w:r>
        <w:rPr>
          <w:rFonts w:ascii="Times New Roman" w:hAnsi="Times New Roman"/>
          <w:sz w:val="20"/>
          <w:szCs w:val="20"/>
        </w:rPr>
        <w:t>failure</w:t>
      </w:r>
      <w:proofErr w:type="gramEnd"/>
      <w:r>
        <w:rPr>
          <w:rFonts w:ascii="Times New Roman" w:hAnsi="Times New Roman"/>
          <w:sz w:val="20"/>
          <w:szCs w:val="20"/>
        </w:rPr>
        <w:t xml:space="preserve"> on protection systems. To address this issue, the Commission directed FERC staff to meet with NERC and its appropriate</w:t>
      </w:r>
    </w:p>
    <w:p w:rsidR="00FF6FA0" w:rsidRDefault="00FF6FA0" w:rsidP="00FF6FA0">
      <w:pPr>
        <w:autoSpaceDE w:val="0"/>
        <w:autoSpaceDN w:val="0"/>
        <w:adjustRightInd w:val="0"/>
        <w:rPr>
          <w:rFonts w:ascii="Times New Roman" w:hAnsi="Times New Roman"/>
          <w:sz w:val="20"/>
          <w:szCs w:val="20"/>
        </w:rPr>
      </w:pPr>
      <w:proofErr w:type="gramStart"/>
      <w:r>
        <w:rPr>
          <w:rFonts w:ascii="Times New Roman" w:hAnsi="Times New Roman"/>
          <w:sz w:val="20"/>
          <w:szCs w:val="20"/>
        </w:rPr>
        <w:t>subject</w:t>
      </w:r>
      <w:proofErr w:type="gramEnd"/>
      <w:r>
        <w:rPr>
          <w:rFonts w:ascii="Times New Roman" w:hAnsi="Times New Roman"/>
          <w:sz w:val="20"/>
          <w:szCs w:val="20"/>
        </w:rPr>
        <w:t xml:space="preserve"> matter experts to explore this reliability concern. The Commission also directed NERC to submit an informational filing</w:t>
      </w:r>
    </w:p>
    <w:p w:rsidR="00FF6FA0" w:rsidRDefault="00FF6FA0" w:rsidP="00FF6FA0">
      <w:pPr>
        <w:autoSpaceDE w:val="0"/>
        <w:autoSpaceDN w:val="0"/>
        <w:adjustRightInd w:val="0"/>
        <w:rPr>
          <w:rFonts w:ascii="Times New Roman" w:hAnsi="Times New Roman"/>
          <w:sz w:val="20"/>
          <w:szCs w:val="20"/>
        </w:rPr>
      </w:pPr>
      <w:r>
        <w:rPr>
          <w:rFonts w:ascii="Times New Roman" w:hAnsi="Times New Roman"/>
          <w:sz w:val="20"/>
          <w:szCs w:val="20"/>
        </w:rPr>
        <w:t>within six months explaining whether there is a further system protection issue that needs to be addressed and if so, what forum</w:t>
      </w:r>
    </w:p>
    <w:p w:rsidR="00FF6FA0" w:rsidRDefault="00FF6FA0" w:rsidP="00FF6FA0">
      <w:pPr>
        <w:autoSpaceDE w:val="0"/>
        <w:autoSpaceDN w:val="0"/>
        <w:adjustRightInd w:val="0"/>
        <w:rPr>
          <w:rFonts w:ascii="Times New Roman" w:hAnsi="Times New Roman"/>
          <w:i/>
          <w:iCs/>
          <w:sz w:val="20"/>
          <w:szCs w:val="20"/>
        </w:rPr>
      </w:pPr>
      <w:proofErr w:type="gramStart"/>
      <w:r>
        <w:rPr>
          <w:rFonts w:ascii="Times New Roman" w:hAnsi="Times New Roman"/>
          <w:sz w:val="20"/>
          <w:szCs w:val="20"/>
        </w:rPr>
        <w:t>and</w:t>
      </w:r>
      <w:proofErr w:type="gramEnd"/>
      <w:r>
        <w:rPr>
          <w:rFonts w:ascii="Times New Roman" w:hAnsi="Times New Roman"/>
          <w:sz w:val="20"/>
          <w:szCs w:val="20"/>
        </w:rPr>
        <w:t xml:space="preserve"> process should be used to address it and what priority it should be afforded. </w:t>
      </w:r>
      <w:r>
        <w:rPr>
          <w:rFonts w:ascii="Times New Roman" w:hAnsi="Times New Roman"/>
          <w:i/>
          <w:iCs/>
          <w:sz w:val="20"/>
          <w:szCs w:val="20"/>
        </w:rPr>
        <w:t>See Interpretation of Transmission Planning</w:t>
      </w:r>
    </w:p>
    <w:p w:rsidR="00FF6FA0" w:rsidRDefault="00FF6FA0" w:rsidP="00FF6FA0">
      <w:pPr>
        <w:pStyle w:val="FootnoteText"/>
      </w:pPr>
      <w:r>
        <w:rPr>
          <w:rFonts w:ascii="Times New Roman" w:hAnsi="Times New Roman"/>
          <w:i/>
          <w:iCs/>
          <w:sz w:val="20"/>
          <w:szCs w:val="20"/>
        </w:rPr>
        <w:t>Reliability Standard</w:t>
      </w:r>
      <w:r>
        <w:rPr>
          <w:rFonts w:ascii="Times New Roman" w:hAnsi="Times New Roman"/>
          <w:sz w:val="20"/>
          <w:szCs w:val="20"/>
        </w:rPr>
        <w:t>, Order No. 754, 136 FERC ¶ 61,186 at PP 19-20 (2011).</w:t>
      </w:r>
    </w:p>
  </w:footnote>
  <w:footnote w:id="2">
    <w:p w:rsidR="00143DD2" w:rsidRPr="00BB6861" w:rsidRDefault="00143DD2" w:rsidP="00143DD2">
      <w:pPr>
        <w:pStyle w:val="FootnoteText"/>
        <w:rPr>
          <w:szCs w:val="18"/>
        </w:rPr>
      </w:pPr>
      <w:r w:rsidRPr="00514B05">
        <w:rPr>
          <w:rStyle w:val="FootnoteReference"/>
          <w:szCs w:val="18"/>
        </w:rPr>
        <w:footnoteRef/>
      </w:r>
      <w:r w:rsidRPr="00514B05">
        <w:rPr>
          <w:szCs w:val="18"/>
        </w:rPr>
        <w:t xml:space="preserve"> </w:t>
      </w:r>
      <w:r w:rsidRPr="00F918EE">
        <w:rPr>
          <w:szCs w:val="18"/>
        </w:rPr>
        <w:t>See Order 754 (NERC website) Requests for Clarifications and Responses (</w:t>
      </w:r>
      <w:hyperlink r:id="rId1" w:history="1">
        <w:r w:rsidRPr="00F918EE">
          <w:rPr>
            <w:rStyle w:val="Hyperlink"/>
            <w:szCs w:val="18"/>
          </w:rPr>
          <w:t>http://www.nerc.com/pa/Stand/Order%20754%20DL/Order_</w:t>
        </w:r>
        <w:r w:rsidRPr="00BB6861">
          <w:rPr>
            <w:rStyle w:val="Hyperlink"/>
            <w:szCs w:val="18"/>
          </w:rPr>
          <w:br/>
        </w:r>
        <w:r w:rsidRPr="00F918EE">
          <w:rPr>
            <w:rStyle w:val="Hyperlink"/>
            <w:szCs w:val="18"/>
          </w:rPr>
          <w:t>754-Requests_for_Clarification_and_Responses_July2013.pdf</w:t>
        </w:r>
      </w:hyperlink>
      <w:r w:rsidRPr="00F918EE">
        <w:rPr>
          <w:szCs w:val="18"/>
        </w:rPr>
        <w:t>).</w:t>
      </w:r>
      <w:r w:rsidRPr="00BB6861">
        <w:rPr>
          <w:szCs w:val="18"/>
        </w:rPr>
        <w:t xml:space="preserve"> </w:t>
      </w:r>
    </w:p>
  </w:footnote>
  <w:footnote w:id="3">
    <w:p w:rsidR="00896153" w:rsidRDefault="00896153" w:rsidP="00FD1345">
      <w:pPr>
        <w:pStyle w:val="FootnoteText"/>
      </w:pPr>
      <w:r>
        <w:rPr>
          <w:rStyle w:val="FootnoteReference"/>
        </w:rPr>
        <w:footnoteRef/>
      </w:r>
      <w:r>
        <w:t xml:space="preserve"> These functions are defined in the NERC </w:t>
      </w:r>
      <w:hyperlink r:id="rId2"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p w:rsidR="00896153" w:rsidRDefault="00896153">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F2C35B6"/>
    <w:multiLevelType w:val="multilevel"/>
    <w:tmpl w:val="1866499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E410D42C"/>
    <w:numStyleLink w:val="NERCListBullets"/>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7"/>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1"/>
  </w:num>
  <w:num w:numId="20">
    <w:abstractNumId w:val="19"/>
  </w:num>
  <w:num w:numId="21">
    <w:abstractNumId w:val="15"/>
  </w:num>
  <w:num w:numId="22">
    <w:abstractNumId w:val="10"/>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44BCF"/>
    <w:rsid w:val="00050B69"/>
    <w:rsid w:val="0005763D"/>
    <w:rsid w:val="00064B26"/>
    <w:rsid w:val="000669DC"/>
    <w:rsid w:val="00081BCE"/>
    <w:rsid w:val="000A70BC"/>
    <w:rsid w:val="000B36CB"/>
    <w:rsid w:val="000B7A04"/>
    <w:rsid w:val="000C32BD"/>
    <w:rsid w:val="000D7162"/>
    <w:rsid w:val="000E3AB0"/>
    <w:rsid w:val="001014B1"/>
    <w:rsid w:val="00102A01"/>
    <w:rsid w:val="00104317"/>
    <w:rsid w:val="001346AA"/>
    <w:rsid w:val="00136931"/>
    <w:rsid w:val="00143DD2"/>
    <w:rsid w:val="001574EA"/>
    <w:rsid w:val="00193AE7"/>
    <w:rsid w:val="00196FDD"/>
    <w:rsid w:val="001A6FC8"/>
    <w:rsid w:val="001D47FD"/>
    <w:rsid w:val="001F52FD"/>
    <w:rsid w:val="00222203"/>
    <w:rsid w:val="0022410A"/>
    <w:rsid w:val="002575AA"/>
    <w:rsid w:val="002739D3"/>
    <w:rsid w:val="00283FB4"/>
    <w:rsid w:val="002B29E4"/>
    <w:rsid w:val="002C220E"/>
    <w:rsid w:val="002E2423"/>
    <w:rsid w:val="002F2BFE"/>
    <w:rsid w:val="00300ABD"/>
    <w:rsid w:val="003134D1"/>
    <w:rsid w:val="00325E77"/>
    <w:rsid w:val="00366A96"/>
    <w:rsid w:val="003741CB"/>
    <w:rsid w:val="0038676B"/>
    <w:rsid w:val="0039275D"/>
    <w:rsid w:val="003E1C41"/>
    <w:rsid w:val="0040580D"/>
    <w:rsid w:val="0041064C"/>
    <w:rsid w:val="00456B99"/>
    <w:rsid w:val="004631BF"/>
    <w:rsid w:val="00467326"/>
    <w:rsid w:val="00476B91"/>
    <w:rsid w:val="004800C7"/>
    <w:rsid w:val="004859C6"/>
    <w:rsid w:val="0048765A"/>
    <w:rsid w:val="004A1B6D"/>
    <w:rsid w:val="004B7DE3"/>
    <w:rsid w:val="004E7B5C"/>
    <w:rsid w:val="004F0B63"/>
    <w:rsid w:val="00510652"/>
    <w:rsid w:val="00520FD1"/>
    <w:rsid w:val="005316C6"/>
    <w:rsid w:val="005316F3"/>
    <w:rsid w:val="00555F79"/>
    <w:rsid w:val="00563006"/>
    <w:rsid w:val="00573832"/>
    <w:rsid w:val="00583A5C"/>
    <w:rsid w:val="0059232A"/>
    <w:rsid w:val="005A721A"/>
    <w:rsid w:val="005B7382"/>
    <w:rsid w:val="005C73F4"/>
    <w:rsid w:val="005D3F72"/>
    <w:rsid w:val="00617B21"/>
    <w:rsid w:val="00652754"/>
    <w:rsid w:val="00663305"/>
    <w:rsid w:val="006644DB"/>
    <w:rsid w:val="00676CFA"/>
    <w:rsid w:val="006826D0"/>
    <w:rsid w:val="00692F16"/>
    <w:rsid w:val="00694CD1"/>
    <w:rsid w:val="006A71F1"/>
    <w:rsid w:val="006B3EC7"/>
    <w:rsid w:val="006C1F78"/>
    <w:rsid w:val="006C3C30"/>
    <w:rsid w:val="006C6BAC"/>
    <w:rsid w:val="006E67B7"/>
    <w:rsid w:val="006E7855"/>
    <w:rsid w:val="006F24EE"/>
    <w:rsid w:val="00707018"/>
    <w:rsid w:val="007254EA"/>
    <w:rsid w:val="00733724"/>
    <w:rsid w:val="00740350"/>
    <w:rsid w:val="0074626C"/>
    <w:rsid w:val="00752421"/>
    <w:rsid w:val="00791651"/>
    <w:rsid w:val="0079628C"/>
    <w:rsid w:val="007D3FFD"/>
    <w:rsid w:val="00816016"/>
    <w:rsid w:val="008434BC"/>
    <w:rsid w:val="00855BA8"/>
    <w:rsid w:val="008866E7"/>
    <w:rsid w:val="00896153"/>
    <w:rsid w:val="008A2272"/>
    <w:rsid w:val="00905DC1"/>
    <w:rsid w:val="00930D3B"/>
    <w:rsid w:val="00980822"/>
    <w:rsid w:val="00997A70"/>
    <w:rsid w:val="009A4ED6"/>
    <w:rsid w:val="009E317C"/>
    <w:rsid w:val="00A15C0A"/>
    <w:rsid w:val="00A35DA7"/>
    <w:rsid w:val="00A6738A"/>
    <w:rsid w:val="00AC0C35"/>
    <w:rsid w:val="00AD1865"/>
    <w:rsid w:val="00B146D4"/>
    <w:rsid w:val="00B240FF"/>
    <w:rsid w:val="00B375B5"/>
    <w:rsid w:val="00B62A1A"/>
    <w:rsid w:val="00BA34E0"/>
    <w:rsid w:val="00BE5580"/>
    <w:rsid w:val="00BF269E"/>
    <w:rsid w:val="00C31EA1"/>
    <w:rsid w:val="00C52B81"/>
    <w:rsid w:val="00C802A9"/>
    <w:rsid w:val="00C87293"/>
    <w:rsid w:val="00C975FA"/>
    <w:rsid w:val="00CC7BE7"/>
    <w:rsid w:val="00CF6E4A"/>
    <w:rsid w:val="00D0263C"/>
    <w:rsid w:val="00D06D7D"/>
    <w:rsid w:val="00D228D6"/>
    <w:rsid w:val="00D56EBF"/>
    <w:rsid w:val="00D5715F"/>
    <w:rsid w:val="00D71B57"/>
    <w:rsid w:val="00D8646B"/>
    <w:rsid w:val="00D87778"/>
    <w:rsid w:val="00D933A3"/>
    <w:rsid w:val="00D945B5"/>
    <w:rsid w:val="00D94DDC"/>
    <w:rsid w:val="00D9670F"/>
    <w:rsid w:val="00D96A22"/>
    <w:rsid w:val="00DA634C"/>
    <w:rsid w:val="00DB028B"/>
    <w:rsid w:val="00DB62EC"/>
    <w:rsid w:val="00DB7C23"/>
    <w:rsid w:val="00DD3E6B"/>
    <w:rsid w:val="00DE5720"/>
    <w:rsid w:val="00E24246"/>
    <w:rsid w:val="00E65B2F"/>
    <w:rsid w:val="00F31926"/>
    <w:rsid w:val="00F359FF"/>
    <w:rsid w:val="00FB5404"/>
    <w:rsid w:val="00FC7B36"/>
    <w:rsid w:val="00FD1345"/>
    <w:rsid w:val="00FF1E1F"/>
    <w:rsid w:val="00FF6BE1"/>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5-10-Single-Points-of-Failure-TPL-001.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6ffac353bc67467da08c22db611448e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katherine.street@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ge.php?cid=2%7C247%7C108" TargetMode="External"/><Relationship Id="rId1" Type="http://schemas.openxmlformats.org/officeDocument/2006/relationships/hyperlink" Target="http://www.nerc.com/pa/Stand/Order%20754%20DL/Order_754-Requests_for_Clarification_and_Responses_July20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30EEBB7813D42A12013A23A584C67" ma:contentTypeVersion="0" ma:contentTypeDescription="Create a new document." ma:contentTypeScope="" ma:versionID="f0b9be83c695acb3aa209235c4bab5eb">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7C49AC0F37B0648B999B09A481F1ECC" ma:contentTypeVersion="48" ma:contentTypeDescription="Create a new document." ma:contentTypeScope="" ma:versionID="78acf4f804284146f01aa8251ee13836">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8DB56-92EB-4796-8EC0-0C069F4780F6}"/>
</file>

<file path=customXml/itemProps2.xml><?xml version="1.0" encoding="utf-8"?>
<ds:datastoreItem xmlns:ds="http://schemas.openxmlformats.org/officeDocument/2006/customXml" ds:itemID="{955CA275-2E4F-418E-82B0-DCE6C9F4052F}"/>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8E29FDB5-F68C-4641-AEB5-9E52531216B6}"/>
</file>

<file path=customXml/itemProps5.xml><?xml version="1.0" encoding="utf-8"?>
<ds:datastoreItem xmlns:ds="http://schemas.openxmlformats.org/officeDocument/2006/customXml" ds:itemID="{D765F481-B615-4864-8918-CEAA32424304}"/>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6894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Project_2015-08_EOP_Nomination_Form_July 2015</vt:lpstr>
    </vt:vector>
  </TitlesOfParts>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Project_2015-08_EOP_Nomination_Form_July 2015</dc:title>
  <dc:subject/>
  <dc:creator/>
  <cp:keywords/>
  <cp:lastModifiedBy/>
  <cp:revision>1</cp:revision>
  <dcterms:created xsi:type="dcterms:W3CDTF">2015-11-05T19:14:00Z</dcterms:created>
  <dcterms:modified xsi:type="dcterms:W3CDTF">2015-11-12T16:00:00Z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0x01010007C49AC0F37B0648B999B09A481F1ECC</vt:lpwstr>
  </property>
  <property fmtid="{D5CDD505-2E9C-101B-9397-08002B2CF9AE}" pid="3" name="_dlc_DocIdItemGuid">
    <vt:lpwstr>8a65a074-18d3-4321-a485-e63b25f26349</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