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5431C" w14:textId="54C6D386" w:rsidR="0031408B"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Regional Reliability Standard</w:t>
      </w:r>
    </w:p>
    <w:p w14:paraId="3D5C6A85" w14:textId="25FFB61D" w:rsidR="00BA0057" w:rsidRPr="00BA0057" w:rsidRDefault="0031408B" w:rsidP="00BA0057">
      <w:pPr>
        <w:rPr>
          <w:rFonts w:ascii="Tahoma" w:hAnsi="Tahoma"/>
          <w:color w:val="204C81"/>
          <w:sz w:val="32"/>
          <w:szCs w:val="20"/>
        </w:rPr>
      </w:pPr>
      <w:r>
        <w:rPr>
          <w:rFonts w:ascii="Tahoma" w:hAnsi="Tahoma"/>
          <w:bCs/>
          <w:color w:val="204C81"/>
          <w:sz w:val="36"/>
          <w:szCs w:val="36"/>
        </w:rPr>
        <w:t xml:space="preserve">Revised </w:t>
      </w:r>
      <w:r w:rsidR="003E57F0">
        <w:rPr>
          <w:rFonts w:ascii="Tahoma" w:hAnsi="Tahoma"/>
          <w:bCs/>
          <w:color w:val="204C81"/>
          <w:sz w:val="36"/>
          <w:szCs w:val="36"/>
        </w:rPr>
        <w:t>Retirement</w:t>
      </w:r>
      <w:r>
        <w:rPr>
          <w:rFonts w:ascii="Tahoma" w:hAnsi="Tahoma"/>
          <w:bCs/>
          <w:color w:val="204C81"/>
          <w:sz w:val="36"/>
          <w:szCs w:val="36"/>
        </w:rPr>
        <w:t xml:space="preserve"> Date </w:t>
      </w:r>
      <w:r w:rsidR="004B0846">
        <w:rPr>
          <w:rFonts w:ascii="Tahoma" w:hAnsi="Tahoma"/>
          <w:color w:val="204C81"/>
          <w:sz w:val="36"/>
          <w:szCs w:val="36"/>
        </w:rPr>
        <w:t>for</w:t>
      </w:r>
      <w:r>
        <w:rPr>
          <w:rFonts w:ascii="Tahoma" w:hAnsi="Tahoma"/>
          <w:color w:val="204C81"/>
          <w:sz w:val="36"/>
          <w:szCs w:val="36"/>
        </w:rPr>
        <w:t xml:space="preserve"> </w:t>
      </w:r>
      <w:r w:rsidR="00632127" w:rsidRPr="00632127">
        <w:rPr>
          <w:rFonts w:ascii="Tahoma" w:hAnsi="Tahoma"/>
          <w:color w:val="204C81"/>
          <w:sz w:val="36"/>
          <w:szCs w:val="36"/>
        </w:rPr>
        <w:t>PRC-004-WECC-</w:t>
      </w:r>
      <w:r w:rsidR="0092313A">
        <w:rPr>
          <w:rFonts w:ascii="Tahoma" w:hAnsi="Tahoma"/>
          <w:color w:val="204C81"/>
          <w:sz w:val="36"/>
          <w:szCs w:val="36"/>
        </w:rPr>
        <w:t>2</w:t>
      </w:r>
      <w:r w:rsidR="00632127">
        <w:rPr>
          <w:rFonts w:ascii="Tahoma" w:hAnsi="Tahoma"/>
          <w:color w:val="204C81"/>
          <w:sz w:val="36"/>
          <w:szCs w:val="36"/>
        </w:rPr>
        <w:t xml:space="preserve"> </w:t>
      </w:r>
    </w:p>
    <w:p w14:paraId="1D6F3554" w14:textId="77777777" w:rsidR="00D933A3" w:rsidRDefault="00D933A3" w:rsidP="00FE70BB">
      <w:pPr>
        <w:pStyle w:val="DocumentSubtitle"/>
      </w:pPr>
      <w:r w:rsidRPr="00687867">
        <w:t xml:space="preserve"> </w:t>
      </w:r>
    </w:p>
    <w:p w14:paraId="4E5D9628" w14:textId="3E7AE3D2"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sidRPr="00BA0057">
        <w:rPr>
          <w:rFonts w:ascii="Calibri" w:hAnsi="Calibri"/>
        </w:rPr>
        <w:t xml:space="preserve"> to submit comments on the proposed </w:t>
      </w:r>
      <w:r w:rsidR="009D2C00">
        <w:rPr>
          <w:rFonts w:ascii="Calibri" w:hAnsi="Calibri"/>
        </w:rPr>
        <w:t xml:space="preserve">revised </w:t>
      </w:r>
      <w:r w:rsidR="003E57F0">
        <w:rPr>
          <w:rFonts w:ascii="Calibri" w:hAnsi="Calibri"/>
        </w:rPr>
        <w:t xml:space="preserve">retirement </w:t>
      </w:r>
      <w:r w:rsidR="004B0846">
        <w:rPr>
          <w:rFonts w:ascii="Calibri" w:hAnsi="Calibri"/>
        </w:rPr>
        <w:t xml:space="preserve">date </w:t>
      </w:r>
      <w:r w:rsidR="00B52A6B">
        <w:rPr>
          <w:rFonts w:ascii="Calibri" w:hAnsi="Calibri"/>
        </w:rPr>
        <w:t>for</w:t>
      </w:r>
      <w:r w:rsidR="003E57F0">
        <w:rPr>
          <w:rFonts w:ascii="Calibri" w:hAnsi="Calibri"/>
        </w:rPr>
        <w:t xml:space="preserve"> </w:t>
      </w:r>
      <w:r w:rsidRPr="00BA0057">
        <w:rPr>
          <w:rFonts w:ascii="Calibri" w:hAnsi="Calibri"/>
        </w:rPr>
        <w:t>Regional Reliability Standard</w:t>
      </w:r>
      <w:r w:rsidR="003E57F0">
        <w:rPr>
          <w:rFonts w:ascii="Calibri" w:hAnsi="Calibri"/>
        </w:rPr>
        <w:t xml:space="preserve"> </w:t>
      </w:r>
      <w:r w:rsidR="003E57F0" w:rsidRPr="003E57F0">
        <w:rPr>
          <w:rFonts w:ascii="Calibri" w:hAnsi="Calibri"/>
          <w:b/>
        </w:rPr>
        <w:t>PRC-004-WECC-</w:t>
      </w:r>
      <w:r w:rsidR="0092313A">
        <w:rPr>
          <w:rFonts w:ascii="Calibri" w:hAnsi="Calibri"/>
          <w:b/>
        </w:rPr>
        <w:t>2</w:t>
      </w:r>
      <w:r w:rsidR="003E57F0" w:rsidRPr="003E57F0">
        <w:rPr>
          <w:rFonts w:ascii="Calibri" w:hAnsi="Calibri"/>
          <w:b/>
        </w:rPr>
        <w:t xml:space="preserve"> –</w:t>
      </w:r>
      <w:r w:rsidR="003E57F0">
        <w:rPr>
          <w:rFonts w:ascii="Calibri" w:hAnsi="Calibri"/>
        </w:rPr>
        <w:t xml:space="preserve"> </w:t>
      </w:r>
      <w:r w:rsidR="00632127" w:rsidRPr="00632127">
        <w:rPr>
          <w:rFonts w:ascii="Calibri" w:hAnsi="Calibri"/>
          <w:b/>
        </w:rPr>
        <w:t>Protection System and Remedial Action Scheme Misoperation</w:t>
      </w:r>
      <w:r w:rsidRPr="00BA0057">
        <w:rPr>
          <w:rFonts w:ascii="Calibri" w:hAnsi="Calibri"/>
        </w:rPr>
        <w:t xml:space="preserve">. The electronic form must </w:t>
      </w:r>
      <w:r w:rsidRPr="00667917">
        <w:rPr>
          <w:rFonts w:ascii="Calibri" w:hAnsi="Calibri"/>
        </w:rPr>
        <w:t xml:space="preserve">be submitted by </w:t>
      </w:r>
      <w:r w:rsidRPr="00667917">
        <w:rPr>
          <w:rFonts w:ascii="Calibri" w:hAnsi="Calibri"/>
          <w:b/>
        </w:rPr>
        <w:t xml:space="preserve">8 p.m. Eastern, </w:t>
      </w:r>
      <w:r w:rsidR="00FA4B1B">
        <w:rPr>
          <w:rFonts w:ascii="Calibri" w:hAnsi="Calibri"/>
          <w:b/>
        </w:rPr>
        <w:t>Tuesday</w:t>
      </w:r>
      <w:r w:rsidR="00A22C1B" w:rsidRPr="003A590E">
        <w:rPr>
          <w:rFonts w:ascii="Calibri" w:hAnsi="Calibri"/>
          <w:b/>
        </w:rPr>
        <w:t xml:space="preserve">, </w:t>
      </w:r>
      <w:r w:rsidR="004B0846">
        <w:rPr>
          <w:rFonts w:ascii="Calibri" w:hAnsi="Calibri"/>
          <w:b/>
        </w:rPr>
        <w:t>January 2</w:t>
      </w:r>
      <w:r w:rsidR="00FA4B1B">
        <w:rPr>
          <w:rFonts w:ascii="Calibri" w:hAnsi="Calibri"/>
          <w:b/>
        </w:rPr>
        <w:t>2</w:t>
      </w:r>
      <w:r w:rsidR="00A22C1B" w:rsidRPr="003A590E">
        <w:rPr>
          <w:rFonts w:ascii="Calibri" w:hAnsi="Calibri"/>
          <w:b/>
        </w:rPr>
        <w:t>, 201</w:t>
      </w:r>
      <w:r w:rsidR="004B0846">
        <w:rPr>
          <w:rFonts w:ascii="Calibri" w:hAnsi="Calibri"/>
          <w:b/>
        </w:rPr>
        <w:t>9</w:t>
      </w:r>
      <w:r w:rsidRPr="00667917">
        <w:rPr>
          <w:rFonts w:ascii="Calibri" w:hAnsi="Calibri"/>
          <w:b/>
        </w:rPr>
        <w:t>.</w:t>
      </w:r>
    </w:p>
    <w:p w14:paraId="775650AC" w14:textId="77777777" w:rsidR="00BA0057" w:rsidRPr="00BA0057" w:rsidRDefault="00BA0057" w:rsidP="00BA0057">
      <w:pPr>
        <w:rPr>
          <w:rFonts w:ascii="Calibri" w:hAnsi="Calibri"/>
          <w:b/>
        </w:rPr>
      </w:pPr>
    </w:p>
    <w:p w14:paraId="4561D603" w14:textId="2516348C"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3" w:history="1">
        <w:r w:rsidR="00C55059">
          <w:rPr>
            <w:rFonts w:ascii="Calibri" w:hAnsi="Calibri"/>
            <w:color w:val="0000FF"/>
            <w:u w:val="single"/>
          </w:rPr>
          <w:t>WECC’s</w:t>
        </w:r>
        <w:r w:rsidR="00C55059" w:rsidRPr="00BA0057">
          <w:rPr>
            <w:rFonts w:ascii="Calibri" w:hAnsi="Calibri"/>
            <w:color w:val="0000FF"/>
            <w:u w:val="single"/>
          </w:rPr>
          <w:t xml:space="preserve"> Standards Under Development</w:t>
        </w:r>
      </w:hyperlink>
      <w:r w:rsidRPr="00BA0057">
        <w:rPr>
          <w:rFonts w:ascii="Calibri" w:hAnsi="Calibri"/>
          <w:b/>
          <w:bCs/>
        </w:rPr>
        <w:t xml:space="preserve"> </w:t>
      </w:r>
      <w:r w:rsidRPr="00BA0057">
        <w:rPr>
          <w:rFonts w:ascii="Calibri" w:hAnsi="Calibri"/>
        </w:rPr>
        <w:t xml:space="preserve">page. If you have questions, contact </w:t>
      </w:r>
      <w:r w:rsidR="004B0846">
        <w:rPr>
          <w:rFonts w:ascii="Calibri" w:hAnsi="Calibri"/>
        </w:rPr>
        <w:t>Reliability Standards Analyst</w:t>
      </w:r>
      <w:r w:rsidRPr="00BA0057">
        <w:rPr>
          <w:rFonts w:ascii="Calibri" w:hAnsi="Calibri"/>
        </w:rPr>
        <w:t xml:space="preserve">, </w:t>
      </w:r>
      <w:hyperlink r:id="rId14" w:history="1">
        <w:r w:rsidR="004B0846" w:rsidRPr="004B0846">
          <w:rPr>
            <w:rStyle w:val="Hyperlink"/>
            <w:rFonts w:ascii="Calibri" w:hAnsi="Calibri"/>
          </w:rPr>
          <w:t>Nasheema Santos</w:t>
        </w:r>
      </w:hyperlink>
      <w:r w:rsidRPr="00BA0057">
        <w:rPr>
          <w:rFonts w:ascii="Calibri" w:hAnsi="Calibri"/>
        </w:rPr>
        <w:t xml:space="preserve"> (via email) or at (404) 446-</w:t>
      </w:r>
      <w:r w:rsidR="004B0846">
        <w:rPr>
          <w:rFonts w:ascii="Calibri" w:hAnsi="Calibri"/>
        </w:rPr>
        <w:t>2564</w:t>
      </w:r>
      <w:r w:rsidRPr="00BA0057">
        <w:rPr>
          <w:rFonts w:ascii="Calibri" w:hAnsi="Calibri"/>
        </w:rPr>
        <w:t xml:space="preserve">. </w:t>
      </w:r>
    </w:p>
    <w:p w14:paraId="555C10EC" w14:textId="77777777" w:rsidR="003948E2" w:rsidRDefault="003948E2" w:rsidP="00D933A3"/>
    <w:bookmarkEnd w:id="1"/>
    <w:p w14:paraId="480213C9" w14:textId="24BDD27B" w:rsid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2AE21302" w14:textId="64D4D2E4" w:rsidR="004B0846" w:rsidRPr="00AC6A0E" w:rsidRDefault="004B0846" w:rsidP="004B0846">
      <w:pPr>
        <w:rPr>
          <w:rFonts w:cs="Tahoma"/>
        </w:rPr>
      </w:pPr>
      <w:r w:rsidRPr="00AC6A0E">
        <w:rPr>
          <w:rFonts w:cs="Tahoma"/>
        </w:rPr>
        <w:t>The NERC Board of Trustees approved the retirement of Regional Standard PRC-004-WECC-2 at its February 2018 meeting; the retirement is currently pending regulatory approval. WECC initially proposed to retire the regional standard effective upon regulatory approval. WECC is proposing a revised retirement date of January 1, 2021 to coordinate the retirement of the regional standard with the effective date of continent-wide Reliability Standard PRC-012-2.</w:t>
      </w:r>
    </w:p>
    <w:p w14:paraId="494102DB" w14:textId="77777777" w:rsidR="004B0846" w:rsidRPr="00AC6A0E" w:rsidRDefault="004B0846" w:rsidP="004B0846">
      <w:pPr>
        <w:rPr>
          <w:rFonts w:cs="Tahoma"/>
        </w:rPr>
      </w:pPr>
    </w:p>
    <w:p w14:paraId="5E1764F2" w14:textId="3DFDCFB1" w:rsidR="004B0846" w:rsidRPr="00AC6A0E" w:rsidRDefault="004B0846" w:rsidP="004B0846">
      <w:pPr>
        <w:rPr>
          <w:rFonts w:cs="Tahoma"/>
        </w:rPr>
      </w:pPr>
      <w:r w:rsidRPr="00AC6A0E">
        <w:rPr>
          <w:rFonts w:cs="Tahoma"/>
        </w:rPr>
        <w:t>The WECC Board of Trustees approved the revised retirement date for PRC-004-WECC-2 on December 6, 2018.</w:t>
      </w:r>
    </w:p>
    <w:p w14:paraId="1B867279" w14:textId="6EAD84A5" w:rsidR="003948E2" w:rsidRDefault="003948E2" w:rsidP="00B137E2"/>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w:t>
      </w:r>
      <w:r w:rsidRPr="00BA0057">
        <w:rPr>
          <w:rFonts w:ascii="Calibri" w:hAnsi="Calibri"/>
        </w:rPr>
        <w:lastRenderedPageBreak/>
        <w:t xml:space="preserve">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All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49646D9D" w:rsidR="00BA0057" w:rsidRDefault="00BA0057" w:rsidP="00BA0057">
      <w:pPr>
        <w:rPr>
          <w:rFonts w:ascii="Calibri" w:hAnsi="Calibri"/>
        </w:rPr>
      </w:pPr>
      <w:r w:rsidRPr="00BA0057">
        <w:rPr>
          <w:rFonts w:ascii="Calibri" w:hAnsi="Calibri"/>
        </w:rPr>
        <w:t>Review the revised</w:t>
      </w:r>
      <w:r w:rsidR="00B52A6B">
        <w:rPr>
          <w:rFonts w:ascii="Calibri" w:hAnsi="Calibri"/>
        </w:rPr>
        <w:t xml:space="preserve"> retirement date for</w:t>
      </w:r>
      <w:r w:rsidRPr="00BA0057">
        <w:rPr>
          <w:rFonts w:ascii="Calibri" w:hAnsi="Calibri"/>
        </w:rPr>
        <w:t xml:space="preserve"> </w:t>
      </w:r>
      <w:r w:rsidR="003E57F0">
        <w:rPr>
          <w:rFonts w:ascii="Calibri" w:hAnsi="Calibri"/>
        </w:rPr>
        <w:t>the Regional Reliability Standard</w:t>
      </w:r>
      <w:r w:rsidRPr="00BA0057">
        <w:rPr>
          <w:rFonts w:ascii="Calibri" w:hAnsi="Calibri"/>
        </w:rPr>
        <w:t xml:space="preserve"> and answer the following questions.</w:t>
      </w:r>
    </w:p>
    <w:p w14:paraId="6028E8A4" w14:textId="77777777" w:rsidR="00CC32E7" w:rsidRPr="00BA0057" w:rsidRDefault="00CC32E7" w:rsidP="00BA0057">
      <w:pPr>
        <w:rPr>
          <w:rFonts w:ascii="Calibri" w:hAnsi="Calibri"/>
        </w:rPr>
      </w:pPr>
    </w:p>
    <w:p w14:paraId="1C71CE25" w14:textId="2F892E88" w:rsidR="00BA0057" w:rsidRPr="00BA0057" w:rsidRDefault="00BA0057" w:rsidP="00BA0057">
      <w:pPr>
        <w:numPr>
          <w:ilvl w:val="0"/>
          <w:numId w:val="26"/>
        </w:numPr>
        <w:spacing w:before="240"/>
        <w:contextualSpacing/>
        <w:rPr>
          <w:rFonts w:ascii="Calibri" w:hAnsi="Calibri"/>
        </w:rPr>
      </w:pPr>
      <w:r w:rsidRPr="00BA0057">
        <w:rPr>
          <w:rFonts w:ascii="Calibri" w:hAnsi="Calibri"/>
        </w:rPr>
        <w:t>Do you agree the development</w:t>
      </w:r>
      <w:r w:rsidR="00F008F5">
        <w:rPr>
          <w:rFonts w:ascii="Calibri" w:hAnsi="Calibri"/>
        </w:rPr>
        <w:t xml:space="preserve"> of the</w:t>
      </w:r>
      <w:r w:rsidR="004E01A9">
        <w:rPr>
          <w:rFonts w:ascii="Calibri" w:hAnsi="Calibri"/>
        </w:rPr>
        <w:t xml:space="preserve"> revised</w:t>
      </w:r>
      <w:r w:rsidR="00FF3A96">
        <w:rPr>
          <w:rFonts w:ascii="Calibri" w:hAnsi="Calibri"/>
        </w:rPr>
        <w:t xml:space="preserve"> </w:t>
      </w:r>
      <w:r w:rsidR="00F008F5">
        <w:rPr>
          <w:rFonts w:ascii="Calibri" w:hAnsi="Calibri"/>
        </w:rPr>
        <w:t xml:space="preserve">PRC-004-WECC-2 </w:t>
      </w:r>
      <w:r w:rsidR="00B52A6B">
        <w:rPr>
          <w:rFonts w:ascii="Calibri" w:hAnsi="Calibri"/>
        </w:rPr>
        <w:t>retirement</w:t>
      </w:r>
      <w:r w:rsidR="004E01A9">
        <w:rPr>
          <w:rFonts w:ascii="Calibri" w:hAnsi="Calibri"/>
        </w:rPr>
        <w:t xml:space="preserve"> effective date</w:t>
      </w:r>
      <w:r w:rsidR="00B52A6B" w:rsidRPr="00BA0057">
        <w:rPr>
          <w:rFonts w:ascii="Calibri" w:hAnsi="Calibri"/>
        </w:rPr>
        <w:t xml:space="preserve"> </w:t>
      </w:r>
      <w:r w:rsidRPr="00BA0057">
        <w:rPr>
          <w:rFonts w:ascii="Calibri" w:hAnsi="Calibri"/>
        </w:rPr>
        <w:t>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21F99616"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 xml:space="preserve">the </w:t>
      </w:r>
      <w:r w:rsidR="00FF3A96">
        <w:rPr>
          <w:rFonts w:ascii="Calibri" w:hAnsi="Calibri"/>
        </w:rPr>
        <w:t>revised PRC-004-WECC-2 retirement effective date</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7EFF8A2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 xml:space="preserve">the </w:t>
      </w:r>
      <w:r w:rsidR="00FF3A96">
        <w:rPr>
          <w:rFonts w:ascii="Calibri" w:hAnsi="Calibri"/>
        </w:rPr>
        <w:t>revised PRC-004-WECC-2 retirement effective dat</w:t>
      </w:r>
      <w:bookmarkStart w:id="2" w:name="_GoBack"/>
      <w:bookmarkEnd w:id="2"/>
      <w:r w:rsidR="00FF3A96">
        <w:rPr>
          <w:rFonts w:ascii="Calibri" w:hAnsi="Calibri"/>
        </w:rPr>
        <w:t>e</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55B50AE9" w14:textId="77777777" w:rsidR="00BA0057" w:rsidRPr="00BA0057" w:rsidRDefault="00BA0057" w:rsidP="00BA0057">
      <w:pPr>
        <w:ind w:left="720"/>
        <w:rPr>
          <w:rFonts w:ascii="Calibri" w:hAnsi="Calibri"/>
        </w:rPr>
      </w:pPr>
    </w:p>
    <w:p w14:paraId="1D707971" w14:textId="2C630069"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 xml:space="preserve">the </w:t>
      </w:r>
      <w:r w:rsidR="00FF3A96">
        <w:rPr>
          <w:rFonts w:ascii="Calibri" w:hAnsi="Calibri"/>
        </w:rPr>
        <w:t>revised PRC-004-WECC-2 retirement effective date</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6D138FB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 xml:space="preserve">the </w:t>
      </w:r>
      <w:r w:rsidR="00FF3A96">
        <w:rPr>
          <w:rFonts w:ascii="Calibri" w:hAnsi="Calibri"/>
        </w:rPr>
        <w:t>revised PRC-004-WECC-2 retirement effective date</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FA4B1B">
        <w:rPr>
          <w:rFonts w:ascii="Calibri" w:hAnsi="Calibri"/>
        </w:rPr>
      </w:r>
      <w:r w:rsidR="00FA4B1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5516" w14:textId="77777777" w:rsidR="00632127" w:rsidRDefault="00632127">
      <w:r>
        <w:separator/>
      </w:r>
    </w:p>
  </w:endnote>
  <w:endnote w:type="continuationSeparator" w:id="0">
    <w:p w14:paraId="6A29F66E" w14:textId="77777777" w:rsidR="00632127" w:rsidRDefault="006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0228D8A1" w:rsidR="00BD1C4B" w:rsidRPr="00FA460E" w:rsidRDefault="00BD1C4B" w:rsidP="002A2B4F">
    <w:pPr>
      <w:pStyle w:val="Footer"/>
      <w:ind w:left="0" w:right="18"/>
    </w:pPr>
    <w:r w:rsidRPr="00BA0057">
      <w:t>Unofficial Comment Form</w:t>
    </w:r>
    <w:r w:rsidRPr="00BA0057">
      <w:br/>
    </w:r>
    <w:r w:rsidR="003E57F0">
      <w:t>Regional Reliability Standard</w:t>
    </w:r>
    <w:r w:rsidR="00667917">
      <w:t xml:space="preserve"> PRC-004-WECC-2</w:t>
    </w:r>
    <w:r w:rsidRPr="00BA0057">
      <w:t xml:space="preserve"> | </w:t>
    </w:r>
    <w:r w:rsidR="004E01A9">
      <w:t>December 2018</w:t>
    </w:r>
    <w:r>
      <w:tab/>
    </w:r>
    <w:r w:rsidRPr="001F176A">
      <w:fldChar w:fldCharType="begin"/>
    </w:r>
    <w:r w:rsidRPr="001F176A">
      <w:instrText xml:space="preserve"> PAGE </w:instrText>
    </w:r>
    <w:r w:rsidRPr="001F176A">
      <w:fldChar w:fldCharType="separate"/>
    </w:r>
    <w:r w:rsidR="00FA4B1B">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CD4" w14:textId="77777777" w:rsidR="00632127" w:rsidRDefault="00632127">
      <w:r>
        <w:separator/>
      </w:r>
    </w:p>
  </w:footnote>
  <w:footnote w:type="continuationSeparator" w:id="0">
    <w:p w14:paraId="20786F78" w14:textId="77777777" w:rsidR="00632127" w:rsidRDefault="0063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BD1C4B" w:rsidRDefault="00BD1C4B">
    <w:r>
      <w:rPr>
        <w:noProof/>
      </w:rPr>
      <w:drawing>
        <wp:anchor distT="0" distB="0" distL="114300" distR="114300" simplePos="0" relativeHeight="25167923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BD1C4B" w:rsidRDefault="00BD1C4B">
    <w:r>
      <w:rPr>
        <w:noProof/>
      </w:rPr>
      <w:drawing>
        <wp:anchor distT="0" distB="0" distL="114300" distR="114300" simplePos="0" relativeHeight="251678208"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3685"/>
    <w:multiLevelType w:val="multilevel"/>
    <w:tmpl w:val="63E4A40E"/>
    <w:numStyleLink w:val="NERCListBullets"/>
  </w:abstractNum>
  <w:abstractNum w:abstractNumId="20"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32C66"/>
    <w:multiLevelType w:val="multilevel"/>
    <w:tmpl w:val="63E4A40E"/>
    <w:numStyleLink w:val="NERCListBullets"/>
  </w:abstractNum>
  <w:abstractNum w:abstractNumId="25"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7"/>
  </w:num>
  <w:num w:numId="4">
    <w:abstractNumId w:val="13"/>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2"/>
  </w:num>
  <w:num w:numId="20">
    <w:abstractNumId w:val="19"/>
  </w:num>
  <w:num w:numId="21">
    <w:abstractNumId w:val="24"/>
  </w:num>
  <w:num w:numId="22">
    <w:abstractNumId w:val="12"/>
  </w:num>
  <w:num w:numId="23">
    <w:abstractNumId w:val="26"/>
  </w:num>
  <w:num w:numId="24">
    <w:abstractNumId w:val="11"/>
  </w:num>
  <w:num w:numId="25">
    <w:abstractNumId w:val="23"/>
  </w:num>
  <w:num w:numId="26">
    <w:abstractNumId w:val="15"/>
  </w:num>
  <w:num w:numId="27">
    <w:abstractNumId w:val="20"/>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hideSpellingErrors/>
  <w:hideGrammaticalErrors/>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45442"/>
    <w:rsid w:val="000A70BC"/>
    <w:rsid w:val="000B36CB"/>
    <w:rsid w:val="000B412D"/>
    <w:rsid w:val="000B7A04"/>
    <w:rsid w:val="000C0883"/>
    <w:rsid w:val="000D7162"/>
    <w:rsid w:val="000E3AB0"/>
    <w:rsid w:val="00136931"/>
    <w:rsid w:val="001574EA"/>
    <w:rsid w:val="00185C24"/>
    <w:rsid w:val="001A5008"/>
    <w:rsid w:val="00223BC7"/>
    <w:rsid w:val="00283FB4"/>
    <w:rsid w:val="002A2B4F"/>
    <w:rsid w:val="002E7434"/>
    <w:rsid w:val="0031408B"/>
    <w:rsid w:val="00316985"/>
    <w:rsid w:val="003406F1"/>
    <w:rsid w:val="00366A96"/>
    <w:rsid w:val="00372CE6"/>
    <w:rsid w:val="0039275D"/>
    <w:rsid w:val="003948E2"/>
    <w:rsid w:val="003E1C41"/>
    <w:rsid w:val="003E57F0"/>
    <w:rsid w:val="00406EBC"/>
    <w:rsid w:val="00457486"/>
    <w:rsid w:val="004631BF"/>
    <w:rsid w:val="004800C7"/>
    <w:rsid w:val="004B0846"/>
    <w:rsid w:val="004B7DE3"/>
    <w:rsid w:val="004B7ED4"/>
    <w:rsid w:val="004D5B08"/>
    <w:rsid w:val="004E01A9"/>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67917"/>
    <w:rsid w:val="00693CC9"/>
    <w:rsid w:val="00694CD1"/>
    <w:rsid w:val="006B3EC7"/>
    <w:rsid w:val="006C1F78"/>
    <w:rsid w:val="007254EA"/>
    <w:rsid w:val="00736823"/>
    <w:rsid w:val="0074626C"/>
    <w:rsid w:val="0076365D"/>
    <w:rsid w:val="007776DB"/>
    <w:rsid w:val="00791651"/>
    <w:rsid w:val="007C1460"/>
    <w:rsid w:val="007D618E"/>
    <w:rsid w:val="008630C1"/>
    <w:rsid w:val="008C5D0A"/>
    <w:rsid w:val="0092313A"/>
    <w:rsid w:val="0095499D"/>
    <w:rsid w:val="009549ED"/>
    <w:rsid w:val="009B380B"/>
    <w:rsid w:val="009D2C00"/>
    <w:rsid w:val="00A11D01"/>
    <w:rsid w:val="00A13C83"/>
    <w:rsid w:val="00A22C1B"/>
    <w:rsid w:val="00A35DA7"/>
    <w:rsid w:val="00A54A7B"/>
    <w:rsid w:val="00A6738A"/>
    <w:rsid w:val="00AC6A0E"/>
    <w:rsid w:val="00AD41BD"/>
    <w:rsid w:val="00B137E2"/>
    <w:rsid w:val="00B146D4"/>
    <w:rsid w:val="00B375B5"/>
    <w:rsid w:val="00B52A6B"/>
    <w:rsid w:val="00BA0057"/>
    <w:rsid w:val="00BA34E0"/>
    <w:rsid w:val="00BB5E88"/>
    <w:rsid w:val="00BC04CC"/>
    <w:rsid w:val="00BC10A6"/>
    <w:rsid w:val="00BD1C4B"/>
    <w:rsid w:val="00BE5580"/>
    <w:rsid w:val="00BF1D49"/>
    <w:rsid w:val="00C04EB3"/>
    <w:rsid w:val="00C07558"/>
    <w:rsid w:val="00C36100"/>
    <w:rsid w:val="00C55059"/>
    <w:rsid w:val="00C657B9"/>
    <w:rsid w:val="00C661F0"/>
    <w:rsid w:val="00C73BB8"/>
    <w:rsid w:val="00C878C5"/>
    <w:rsid w:val="00C96094"/>
    <w:rsid w:val="00CC09A3"/>
    <w:rsid w:val="00CC32E7"/>
    <w:rsid w:val="00CC7BE7"/>
    <w:rsid w:val="00D20C70"/>
    <w:rsid w:val="00D228D6"/>
    <w:rsid w:val="00D4183D"/>
    <w:rsid w:val="00D933A3"/>
    <w:rsid w:val="00DA634C"/>
    <w:rsid w:val="00DB62EC"/>
    <w:rsid w:val="00E6135B"/>
    <w:rsid w:val="00E95C93"/>
    <w:rsid w:val="00EA3E18"/>
    <w:rsid w:val="00F008F5"/>
    <w:rsid w:val="00F06E1A"/>
    <w:rsid w:val="00F4013A"/>
    <w:rsid w:val="00FA460E"/>
    <w:rsid w:val="00FA4B1B"/>
    <w:rsid w:val="00FC22EA"/>
    <w:rsid w:val="00FC7B36"/>
    <w:rsid w:val="00FD012D"/>
    <w:rsid w:val="00FE29C7"/>
    <w:rsid w:val="00FE70BB"/>
    <w:rsid w:val="00FF3A96"/>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551">
      <w:bodyDiv w:val="1"/>
      <w:marLeft w:val="0"/>
      <w:marRight w:val="0"/>
      <w:marTop w:val="0"/>
      <w:marBottom w:val="0"/>
      <w:divBdr>
        <w:top w:val="none" w:sz="0" w:space="0" w:color="auto"/>
        <w:left w:val="none" w:sz="0" w:space="0" w:color="auto"/>
        <w:bottom w:val="none" w:sz="0" w:space="0" w:color="auto"/>
        <w:right w:val="none" w:sz="0" w:space="0" w:color="auto"/>
      </w:divBdr>
    </w:div>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biz/Standards/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nasheema.santos@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88" ma:contentTypeDescription="Standards Informational Regional Postings Document" ma:contentTypeScope="" ma:versionID="ad97090c911f5a68b8e06f43284981c4">
  <xsd:schema xmlns:xsd="http://www.w3.org/2001/XMLSchema" xmlns:xs="http://www.w3.org/2001/XMLSchema" xmlns:p="http://schemas.microsoft.com/office/2006/metadata/properties" xmlns:ns2="be72bb46-7b96-43f6-b3d2-cb56bca42853" targetNamespace="http://schemas.microsoft.com/office/2006/metadata/properties" ma:root="true" ma:fieldsID="fe33c45d16ab748fe66011b367845bdc" ns2:_="">
    <xsd:import namespace="be72bb46-7b96-43f6-b3d2-cb56bca42853"/>
    <xsd:element name="properties">
      <xsd:complexType>
        <xsd:sequence>
          <xsd:element name="documentManagement">
            <xsd:complexType>
              <xsd:all>
                <xsd:element ref="ns2:Data_x0020_Classification_x0020_Restrictions" minOccurs="0"/>
                <xsd:element ref="ns2:To" minOccurs="0"/>
                <xsd:element ref="ns2:From1" minOccurs="0"/>
                <xsd:element ref="ns2:Date_x0020_Received" minOccurs="0"/>
                <xsd:element ref="ns2:Review_x0020_History" minOccurs="0"/>
                <xsd:element ref="ns2:TaxCatchAllLabel"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d2d98d20ea2f4b9fbd08e30e5defd993" minOccurs="0"/>
                <xsd:element ref="ns2:i5013ccc260249c3be6806cd239cc29d" minOccurs="0"/>
                <xsd:element ref="ns2:Posting_x0020_Date" minOccurs="0"/>
                <xsd:element ref="ns2:cdf3cbee94764e26944fe87dd551be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Data_x0020_Classification_x0020_Restrictions" ma:index="5" nillable="true" ma:displayName="Additional Handling Instructions" ma:hidden="true" ma:internalName="Data_x0020_Classification_x0020_Restrictions" ma:readOnly="false">
      <xsd:simpleType>
        <xsd:restriction base="dms:Note"/>
      </xsd:simpleType>
    </xsd:element>
    <xsd:element name="To" ma:index="7" nillable="true" ma:displayName="To" ma:internalName="To">
      <xsd:simpleType>
        <xsd:restriction base="dms:Text">
          <xsd:maxLength value="255"/>
        </xsd:restriction>
      </xsd:simpleType>
    </xsd:element>
    <xsd:element name="From1" ma:index="8" nillable="true" ma:displayName="From" ma:internalName="From1">
      <xsd:simpleType>
        <xsd:restriction base="dms:Text">
          <xsd:maxLength value="255"/>
        </xsd:restriction>
      </xsd:simpleType>
    </xsd:element>
    <xsd:element name="Date_x0020_Received" ma:index="9" nillable="true" ma:displayName="Date Received" ma:format="DateOnly" ma:internalName="Date_x0020_Received" ma:readOnly="false">
      <xsd:simpleType>
        <xsd:restriction base="dms:DateTime"/>
      </xsd:simpleType>
    </xsd:element>
    <xsd:element name="Review_x0020_History" ma:index="10"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Label" ma:index="11"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b5e10b6548044edaacad5f88270ba6b0" ma:index="13"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6"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d2d98d20ea2f4b9fbd08e30e5defd993" ma:index="27"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taxonomyMulti="true"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Posting_x0020_Date" ma:index="30" nillable="true" ma:displayName="Posting Date" ma:format="DateOnly" ma:indexed="true" ma:internalName="Posting_x0020_Date">
      <xsd:simpleType>
        <xsd:restriction base="dms:DateTime"/>
      </xsd:simpleType>
    </xsd:element>
    <xsd:element name="cdf3cbee94764e26944fe87dd551be11" ma:index="31"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34ec5a1-7459-4c4a-bfa5-f5fa436f81a1" ContentTypeId="0x01010078EEA3ECF0D5C6409A451734D31E55AF" PreviousValue="true"/>
</file>

<file path=customXml/itemProps1.xml><?xml version="1.0" encoding="utf-8"?>
<ds:datastoreItem xmlns:ds="http://schemas.openxmlformats.org/officeDocument/2006/customXml" ds:itemID="{2B7A1B70-20AC-4AA4-B6F2-B50FB8BC4B93}"/>
</file>

<file path=customXml/itemProps2.xml><?xml version="1.0" encoding="utf-8"?>
<ds:datastoreItem xmlns:ds="http://schemas.openxmlformats.org/officeDocument/2006/customXml" ds:itemID="{6B62483A-43F2-4187-8484-3190CF5D906B}"/>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DD43121C-2B2C-4B39-9E8C-73C90B71A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6A694-BA5F-450D-A1E2-20161689FE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2018-12-03T14:12:00Z</dcterms:created>
  <dcterms:modified xsi:type="dcterms:W3CDTF">2018-12-06T19:54:00Z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fd13943c-5e88-487c-b289-fdb90adb8ab0</vt:lpwstr>
  </property>
  <property fmtid="{D5CDD505-2E9C-101B-9397-08002B2CF9AE}" pid="4" name="NERC Region">
    <vt:lpwstr>4996;#WECC|1c725e48-2a37-4361-af84-f717906fcf79</vt:lpwstr>
  </property>
  <property fmtid="{D5CDD505-2E9C-101B-9397-08002B2CF9AE}" pid="5" name="TaxKeyword">
    <vt:lpwstr/>
  </property>
  <property fmtid="{D5CDD505-2E9C-101B-9397-08002B2CF9AE}" pid="6" name="Standard Number">
    <vt:lpwstr>1541;#PRC-004-WECC-2|6110c41e-4ea3-4f01-a6c4-01315b478e24</vt:lpwstr>
  </property>
  <property fmtid="{D5CDD505-2E9C-101B-9397-08002B2CF9AE}" pid="7" name="Standard Project Document Type">
    <vt:lpwstr>8723;#Unoffical Comment Form|6fe8d727-cebf-49ad-977b-6c39f718face</vt:lpwstr>
  </property>
  <property fmtid="{D5CDD505-2E9C-101B-9397-08002B2CF9AE}" pid="8" name="Data Classification">
    <vt:lpwstr>1;#Confidential - Internal|aa40a886-0bc0-4ba6-a22c-37ccbc8c9bd8</vt:lpwstr>
  </property>
  <property fmtid="{D5CDD505-2E9C-101B-9397-08002B2CF9AE}" pid="9" name="Document Status">
    <vt:lpwstr/>
  </property>
</Properties>
</file>