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803E" w14:textId="77777777" w:rsidR="0039275D" w:rsidRPr="00687867" w:rsidRDefault="00A92B1C" w:rsidP="00D933A3">
      <w:pPr>
        <w:pStyle w:val="DocumentTitle"/>
      </w:pPr>
      <w:r>
        <w:t>Unoff</w:t>
      </w:r>
      <w:r w:rsidR="0073546A">
        <w:t>i</w:t>
      </w:r>
      <w:r>
        <w:t>cial Comment Form</w:t>
      </w:r>
    </w:p>
    <w:p w14:paraId="28081F21" w14:textId="3DC499E2" w:rsidR="000127AF" w:rsidRDefault="003F03FB" w:rsidP="000127AF">
      <w:pPr>
        <w:rPr>
          <w:rFonts w:ascii="Tahoma" w:hAnsi="Tahoma"/>
          <w:color w:val="204C81"/>
          <w:sz w:val="32"/>
          <w:szCs w:val="20"/>
        </w:rPr>
      </w:pPr>
      <w:bookmarkStart w:id="0" w:name="_Toc195946480"/>
      <w:r w:rsidRPr="003F03FB">
        <w:rPr>
          <w:rFonts w:ascii="Tahoma" w:hAnsi="Tahoma"/>
          <w:color w:val="204C81"/>
          <w:sz w:val="32"/>
          <w:szCs w:val="20"/>
        </w:rPr>
        <w:t>SERC Regional Reliability Standard Development Procedure</w:t>
      </w:r>
    </w:p>
    <w:p w14:paraId="3A5055B5" w14:textId="77777777" w:rsidR="003F03FB" w:rsidRPr="000127AF" w:rsidRDefault="003F03FB" w:rsidP="000127AF"/>
    <w:bookmarkEnd w:id="0"/>
    <w:p w14:paraId="705D8041" w14:textId="156D8514" w:rsidR="00217C54" w:rsidRDefault="00F74BBB" w:rsidP="00F74BBB">
      <w:pPr>
        <w:rPr>
          <w:rFonts w:ascii="Calibri" w:hAnsi="Calibri"/>
        </w:rPr>
      </w:pPr>
      <w:r w:rsidRPr="00C63123">
        <w:rPr>
          <w:rFonts w:ascii="Calibri" w:hAnsi="Calibri"/>
          <w:b/>
          <w:color w:val="FF0000"/>
        </w:rPr>
        <w:t>DO NOT</w:t>
      </w:r>
      <w:r>
        <w:rPr>
          <w:rFonts w:ascii="Calibri" w:hAnsi="Calibri"/>
        </w:rPr>
        <w:t xml:space="preserve"> use this form. </w:t>
      </w:r>
      <w:r w:rsidR="00E505AA">
        <w:rPr>
          <w:rFonts w:ascii="Calibri" w:hAnsi="Calibri"/>
        </w:rPr>
        <w:t>U</w:t>
      </w:r>
      <w:r w:rsidRPr="00C63123">
        <w:rPr>
          <w:rFonts w:ascii="Calibri" w:hAnsi="Calibri"/>
        </w:rPr>
        <w:t xml:space="preserve">se the </w:t>
      </w:r>
      <w:hyperlink r:id="rId11" w:history="1">
        <w:r w:rsidRPr="00F3350B">
          <w:rPr>
            <w:rStyle w:val="Hyperlink"/>
            <w:rFonts w:ascii="Calibri" w:hAnsi="Calibri"/>
          </w:rPr>
          <w:t>electronic form</w:t>
        </w:r>
      </w:hyperlink>
      <w:r w:rsidRPr="00C63123">
        <w:rPr>
          <w:rFonts w:ascii="Calibri" w:hAnsi="Calibri"/>
        </w:rPr>
        <w:t xml:space="preserve"> to submit comments on the </w:t>
      </w:r>
      <w:r>
        <w:rPr>
          <w:rFonts w:ascii="Calibri" w:hAnsi="Calibri"/>
        </w:rPr>
        <w:t xml:space="preserve">latest version of the </w:t>
      </w:r>
    </w:p>
    <w:p w14:paraId="705D8042" w14:textId="686FA687" w:rsidR="00217C54" w:rsidRDefault="003F03FB" w:rsidP="00F74BBB">
      <w:pPr>
        <w:rPr>
          <w:rFonts w:ascii="Calibri" w:hAnsi="Calibri"/>
        </w:rPr>
      </w:pPr>
      <w:r>
        <w:rPr>
          <w:rFonts w:ascii="Calibri" w:hAnsi="Calibri"/>
          <w:i/>
        </w:rPr>
        <w:t xml:space="preserve">SERC </w:t>
      </w:r>
      <w:r w:rsidRPr="003F03FB">
        <w:rPr>
          <w:rFonts w:ascii="Calibri" w:hAnsi="Calibri"/>
          <w:i/>
        </w:rPr>
        <w:t>Regional Reliability Standards Development Procedure</w:t>
      </w:r>
      <w:r w:rsidR="00F74BBB" w:rsidRPr="00C63123">
        <w:rPr>
          <w:rFonts w:ascii="Calibri" w:hAnsi="Calibri"/>
          <w:i/>
        </w:rPr>
        <w:t>.</w:t>
      </w:r>
      <w:r w:rsidR="00F74BBB">
        <w:rPr>
          <w:rFonts w:ascii="Calibri" w:hAnsi="Calibri"/>
        </w:rPr>
        <w:t xml:space="preserve">  </w:t>
      </w:r>
    </w:p>
    <w:p w14:paraId="3F7019AF" w14:textId="77777777" w:rsidR="003C1361" w:rsidRDefault="003C1361" w:rsidP="00F74BBB">
      <w:pPr>
        <w:rPr>
          <w:rFonts w:ascii="Calibri" w:hAnsi="Calibri"/>
        </w:rPr>
      </w:pPr>
    </w:p>
    <w:p w14:paraId="705D8043" w14:textId="4196620F" w:rsidR="00F14595" w:rsidRPr="006F3221" w:rsidRDefault="00F74BBB" w:rsidP="00F74BBB">
      <w:pPr>
        <w:rPr>
          <w:rFonts w:ascii="Calibri" w:hAnsi="Calibri"/>
          <w:b/>
        </w:rPr>
      </w:pPr>
      <w:r>
        <w:rPr>
          <w:rFonts w:ascii="Calibri" w:hAnsi="Calibri"/>
        </w:rPr>
        <w:t>C</w:t>
      </w:r>
      <w:r w:rsidRPr="00C63123">
        <w:rPr>
          <w:rFonts w:ascii="Calibri" w:hAnsi="Calibri"/>
        </w:rPr>
        <w:t xml:space="preserve">omments must be submitted by </w:t>
      </w:r>
      <w:r w:rsidRPr="00F14595">
        <w:rPr>
          <w:rFonts w:ascii="Calibri" w:hAnsi="Calibri"/>
          <w:b/>
        </w:rPr>
        <w:t>8 p.m. Eastern</w:t>
      </w:r>
      <w:r w:rsidRPr="00743900">
        <w:rPr>
          <w:rFonts w:ascii="Calibri" w:hAnsi="Calibri"/>
          <w:b/>
        </w:rPr>
        <w:t xml:space="preserve">, </w:t>
      </w:r>
      <w:r w:rsidR="006F3221" w:rsidRPr="006F3221">
        <w:rPr>
          <w:rFonts w:ascii="Calibri" w:hAnsi="Calibri"/>
          <w:b/>
        </w:rPr>
        <w:t>Friday, January 5</w:t>
      </w:r>
      <w:r w:rsidR="00CA3211" w:rsidRPr="006F3221">
        <w:rPr>
          <w:rFonts w:ascii="Calibri" w:hAnsi="Calibri"/>
          <w:b/>
        </w:rPr>
        <w:t>, 201</w:t>
      </w:r>
      <w:r w:rsidR="003F03FB" w:rsidRPr="006F3221">
        <w:rPr>
          <w:rFonts w:ascii="Calibri" w:hAnsi="Calibri"/>
          <w:b/>
        </w:rPr>
        <w:t>8</w:t>
      </w:r>
      <w:r w:rsidR="00F14595" w:rsidRPr="006F3221">
        <w:rPr>
          <w:rFonts w:ascii="Calibri" w:hAnsi="Calibri"/>
          <w:b/>
        </w:rPr>
        <w:t xml:space="preserve">. </w:t>
      </w:r>
    </w:p>
    <w:p w14:paraId="705D8044" w14:textId="77777777" w:rsidR="00F14595" w:rsidRPr="006F3221" w:rsidRDefault="00F14595" w:rsidP="00F74BBB">
      <w:pPr>
        <w:rPr>
          <w:rFonts w:ascii="Calibri" w:hAnsi="Calibri"/>
          <w:b/>
        </w:rPr>
      </w:pPr>
    </w:p>
    <w:p w14:paraId="705D8045" w14:textId="77777777" w:rsidR="00F74BBB" w:rsidRDefault="00217C54" w:rsidP="00F74BBB">
      <w:pPr>
        <w:rPr>
          <w:rFonts w:ascii="Calibri" w:hAnsi="Calibri"/>
        </w:rPr>
      </w:pPr>
      <w:r w:rsidRPr="006F3221">
        <w:rPr>
          <w:rFonts w:ascii="Calibri" w:hAnsi="Calibri"/>
        </w:rPr>
        <w:t xml:space="preserve">If you have questions, </w:t>
      </w:r>
      <w:r w:rsidR="00F74BBB" w:rsidRPr="006F3221">
        <w:rPr>
          <w:rFonts w:ascii="Calibri" w:hAnsi="Calibri"/>
        </w:rPr>
        <w:t xml:space="preserve">contact </w:t>
      </w:r>
      <w:hyperlink r:id="rId12" w:history="1">
        <w:r w:rsidRPr="006F3221">
          <w:rPr>
            <w:rStyle w:val="Hyperlink"/>
            <w:rFonts w:ascii="Calibri" w:hAnsi="Calibri"/>
          </w:rPr>
          <w:t>Mat Bunch</w:t>
        </w:r>
      </w:hyperlink>
      <w:r w:rsidR="00F74BBB" w:rsidRPr="006F3221">
        <w:rPr>
          <w:rFonts w:ascii="Calibri" w:hAnsi="Calibri"/>
        </w:rPr>
        <w:t xml:space="preserve"> </w:t>
      </w:r>
      <w:r w:rsidR="00F3350B" w:rsidRPr="006F3221">
        <w:rPr>
          <w:rFonts w:ascii="Calibri" w:hAnsi="Calibri"/>
        </w:rPr>
        <w:t xml:space="preserve">(via email) </w:t>
      </w:r>
      <w:r w:rsidR="00F74BBB" w:rsidRPr="006F3221">
        <w:rPr>
          <w:rFonts w:ascii="Calibri" w:hAnsi="Calibri"/>
        </w:rPr>
        <w:t xml:space="preserve">or </w:t>
      </w:r>
      <w:r w:rsidR="00F3350B" w:rsidRPr="006F3221">
        <w:rPr>
          <w:rFonts w:ascii="Calibri" w:hAnsi="Calibri"/>
        </w:rPr>
        <w:t>a</w:t>
      </w:r>
      <w:r w:rsidR="00F74BBB" w:rsidRPr="006F3221">
        <w:rPr>
          <w:rFonts w:ascii="Calibri" w:hAnsi="Calibri"/>
        </w:rPr>
        <w:t xml:space="preserve">t </w:t>
      </w:r>
      <w:r w:rsidRPr="006F3221">
        <w:rPr>
          <w:rFonts w:ascii="Calibri" w:hAnsi="Calibri"/>
        </w:rPr>
        <w:t>(</w:t>
      </w:r>
      <w:r w:rsidR="00F74BBB" w:rsidRPr="006F3221">
        <w:rPr>
          <w:rFonts w:ascii="Calibri" w:hAnsi="Calibri"/>
        </w:rPr>
        <w:t>404</w:t>
      </w:r>
      <w:r w:rsidRPr="006F3221">
        <w:rPr>
          <w:rFonts w:ascii="Calibri" w:hAnsi="Calibri"/>
        </w:rPr>
        <w:t>) 446-9785</w:t>
      </w:r>
      <w:r w:rsidR="00F74BBB" w:rsidRPr="006F3221">
        <w:rPr>
          <w:rFonts w:ascii="Calibri" w:hAnsi="Calibri"/>
        </w:rPr>
        <w:t>.</w:t>
      </w:r>
    </w:p>
    <w:p w14:paraId="705D8046" w14:textId="77777777" w:rsidR="00F74BBB" w:rsidRDefault="00F74BBB" w:rsidP="00F74BBB">
      <w:pPr>
        <w:rPr>
          <w:rFonts w:ascii="Calibri" w:hAnsi="Calibri"/>
        </w:rPr>
      </w:pPr>
    </w:p>
    <w:p w14:paraId="5D5F890B" w14:textId="77777777" w:rsidR="003F03FB" w:rsidRDefault="006348E7" w:rsidP="00F74BBB">
      <w:pPr>
        <w:rPr>
          <w:rStyle w:val="Hyperlink"/>
          <w:rFonts w:ascii="Calibri" w:hAnsi="Calibri"/>
        </w:rPr>
      </w:pPr>
      <w:hyperlink r:id="rId13" w:history="1">
        <w:r w:rsidR="00F74BBB" w:rsidRPr="00007A5F">
          <w:rPr>
            <w:rStyle w:val="Hyperlink"/>
            <w:rFonts w:ascii="Calibri" w:hAnsi="Calibri"/>
          </w:rPr>
          <w:t>Regional Reliability Standards – Under Development</w:t>
        </w:r>
      </w:hyperlink>
    </w:p>
    <w:p w14:paraId="1CF78A10" w14:textId="6F2CE3FD" w:rsidR="003F03FB" w:rsidRPr="003F03FB" w:rsidRDefault="003F03FB" w:rsidP="003F03FB">
      <w:pPr>
        <w:pStyle w:val="Heading3"/>
        <w:rPr>
          <w:rFonts w:cs="Tahoma"/>
          <w:i w:val="0"/>
          <w:szCs w:val="22"/>
        </w:rPr>
      </w:pPr>
      <w:r>
        <w:rPr>
          <w:rStyle w:val="Hyperlink"/>
          <w:rFonts w:ascii="Calibri" w:hAnsi="Calibri"/>
        </w:rPr>
        <w:br/>
      </w:r>
      <w:r w:rsidRPr="003F03FB">
        <w:rPr>
          <w:rFonts w:ascii="Calibri" w:hAnsi="Calibri"/>
          <w:i w:val="0"/>
          <w:sz w:val="24"/>
          <w:szCs w:val="24"/>
        </w:rPr>
        <w:t>Summary</w:t>
      </w:r>
    </w:p>
    <w:p w14:paraId="5A8389A7" w14:textId="77777777" w:rsidR="003F03FB" w:rsidRPr="003F03FB" w:rsidRDefault="003F03FB" w:rsidP="003F03FB">
      <w:pPr>
        <w:rPr>
          <w:rFonts w:ascii="Calibri" w:hAnsi="Calibri" w:cs="Calibri"/>
          <w:color w:val="000000"/>
          <w:szCs w:val="23"/>
        </w:rPr>
      </w:pPr>
      <w:r w:rsidRPr="003F03FB">
        <w:rPr>
          <w:rFonts w:ascii="Calibri" w:hAnsi="Calibri" w:cs="Calibri"/>
          <w:color w:val="000000"/>
          <w:szCs w:val="23"/>
        </w:rPr>
        <w:t xml:space="preserve">The changes to the </w:t>
      </w:r>
      <w:r w:rsidRPr="003F03FB">
        <w:rPr>
          <w:rFonts w:ascii="Calibri" w:hAnsi="Calibri" w:cs="Calibri"/>
          <w:i/>
          <w:iCs/>
          <w:color w:val="000000"/>
          <w:szCs w:val="23"/>
        </w:rPr>
        <w:t xml:space="preserve">SERC Regional Reliability Standard Development Procedure </w:t>
      </w:r>
      <w:r w:rsidRPr="003F03FB">
        <w:rPr>
          <w:rFonts w:ascii="Calibri" w:hAnsi="Calibri" w:cs="Calibri"/>
          <w:color w:val="000000"/>
          <w:szCs w:val="23"/>
        </w:rPr>
        <w:t xml:space="preserve">include the following: </w:t>
      </w:r>
    </w:p>
    <w:p w14:paraId="0344A091" w14:textId="084D318A" w:rsidR="003F03FB" w:rsidRPr="003F03FB" w:rsidRDefault="003F03FB" w:rsidP="003F03FB">
      <w:pPr>
        <w:ind w:left="720"/>
        <w:rPr>
          <w:rFonts w:ascii="Calibri" w:hAnsi="Calibri" w:cs="Calibri"/>
          <w:color w:val="000000"/>
          <w:szCs w:val="23"/>
        </w:rPr>
      </w:pPr>
      <w:r w:rsidRPr="003F03FB">
        <w:rPr>
          <w:rFonts w:ascii="Calibri" w:hAnsi="Calibri" w:cs="Calibri"/>
          <w:color w:val="000000"/>
          <w:szCs w:val="23"/>
        </w:rPr>
        <w:t xml:space="preserve">• </w:t>
      </w:r>
      <w:r>
        <w:rPr>
          <w:rFonts w:ascii="Calibri" w:hAnsi="Calibri" w:cs="Calibri"/>
          <w:color w:val="000000"/>
          <w:szCs w:val="23"/>
        </w:rPr>
        <w:t xml:space="preserve">Removal of </w:t>
      </w:r>
      <w:r w:rsidRPr="003F03FB">
        <w:rPr>
          <w:rFonts w:ascii="Calibri" w:hAnsi="Calibri" w:cs="Calibri"/>
          <w:color w:val="000000"/>
          <w:szCs w:val="23"/>
        </w:rPr>
        <w:t xml:space="preserve">procedure as Exhibit C in the January 1, 2016 update of the </w:t>
      </w:r>
      <w:r>
        <w:rPr>
          <w:rFonts w:ascii="Calibri" w:hAnsi="Calibri" w:cs="Calibri"/>
          <w:color w:val="000000"/>
          <w:szCs w:val="23"/>
        </w:rPr>
        <w:t>NERC-SERC Delegation Agreement; references revised accordingly;</w:t>
      </w:r>
      <w:r w:rsidRPr="003F03FB">
        <w:rPr>
          <w:rFonts w:ascii="Calibri" w:hAnsi="Calibri" w:cs="Calibri"/>
          <w:color w:val="000000"/>
          <w:szCs w:val="23"/>
        </w:rPr>
        <w:t xml:space="preserve"> </w:t>
      </w:r>
    </w:p>
    <w:p w14:paraId="7AD0866E" w14:textId="5E64A89F" w:rsidR="003F03FB" w:rsidRPr="003F03FB" w:rsidRDefault="003F03FB" w:rsidP="003F03FB">
      <w:pPr>
        <w:ind w:left="720"/>
        <w:rPr>
          <w:rFonts w:ascii="Calibri" w:hAnsi="Calibri" w:cs="Calibri"/>
          <w:color w:val="000000"/>
          <w:szCs w:val="23"/>
        </w:rPr>
      </w:pPr>
      <w:r w:rsidRPr="003F03FB">
        <w:rPr>
          <w:rFonts w:ascii="Calibri" w:hAnsi="Calibri" w:cs="Calibri"/>
          <w:color w:val="000000"/>
          <w:szCs w:val="23"/>
        </w:rPr>
        <w:t>•</w:t>
      </w:r>
      <w:r>
        <w:rPr>
          <w:rFonts w:ascii="Calibri" w:hAnsi="Calibri" w:cs="Calibri"/>
          <w:color w:val="000000"/>
          <w:szCs w:val="23"/>
        </w:rPr>
        <w:t xml:space="preserve"> U</w:t>
      </w:r>
      <w:r w:rsidRPr="003F03FB">
        <w:rPr>
          <w:rFonts w:ascii="Calibri" w:hAnsi="Calibri" w:cs="Calibri"/>
          <w:color w:val="000000"/>
          <w:szCs w:val="23"/>
        </w:rPr>
        <w:t xml:space="preserve">pdated </w:t>
      </w:r>
      <w:r>
        <w:rPr>
          <w:rFonts w:ascii="Calibri" w:hAnsi="Calibri" w:cs="Calibri"/>
          <w:color w:val="000000"/>
          <w:szCs w:val="23"/>
        </w:rPr>
        <w:t>the</w:t>
      </w:r>
      <w:r w:rsidRPr="003F03FB">
        <w:rPr>
          <w:rFonts w:ascii="Calibri" w:hAnsi="Calibri" w:cs="Calibri"/>
          <w:color w:val="000000"/>
          <w:szCs w:val="23"/>
        </w:rPr>
        <w:t xml:space="preserve"> SERC Reliability Standard Authorizati</w:t>
      </w:r>
      <w:r>
        <w:rPr>
          <w:rFonts w:ascii="Calibri" w:hAnsi="Calibri" w:cs="Calibri"/>
          <w:color w:val="000000"/>
          <w:szCs w:val="23"/>
        </w:rPr>
        <w:t>on Request (SAR) Form;</w:t>
      </w:r>
      <w:r w:rsidRPr="003F03FB">
        <w:rPr>
          <w:rFonts w:ascii="Calibri" w:hAnsi="Calibri" w:cs="Calibri"/>
          <w:color w:val="000000"/>
          <w:szCs w:val="23"/>
        </w:rPr>
        <w:t xml:space="preserve"> </w:t>
      </w:r>
    </w:p>
    <w:p w14:paraId="2CC22D2A" w14:textId="77777777" w:rsidR="003F03FB" w:rsidRPr="003F03FB" w:rsidRDefault="003F03FB" w:rsidP="003F03FB">
      <w:pPr>
        <w:ind w:left="720"/>
        <w:rPr>
          <w:rFonts w:ascii="Calibri" w:hAnsi="Calibri" w:cs="Calibri"/>
          <w:color w:val="000000"/>
          <w:szCs w:val="23"/>
        </w:rPr>
      </w:pPr>
      <w:r w:rsidRPr="003F03FB">
        <w:rPr>
          <w:rFonts w:ascii="Calibri" w:hAnsi="Calibri" w:cs="Calibri"/>
          <w:color w:val="000000"/>
          <w:szCs w:val="23"/>
        </w:rPr>
        <w:t xml:space="preserve">• Reliability Principles and Market Principles were updated per NERC’s latest versions. </w:t>
      </w:r>
    </w:p>
    <w:p w14:paraId="304B70C3" w14:textId="586DD33A" w:rsidR="003F03FB" w:rsidRPr="003F03FB" w:rsidRDefault="003F03FB" w:rsidP="003F03FB">
      <w:pPr>
        <w:ind w:left="720"/>
        <w:rPr>
          <w:rFonts w:ascii="Calibri" w:hAnsi="Calibri" w:cs="Calibri"/>
          <w:color w:val="000000"/>
          <w:szCs w:val="23"/>
        </w:rPr>
      </w:pPr>
      <w:r w:rsidRPr="003F03FB">
        <w:rPr>
          <w:rFonts w:ascii="Calibri" w:hAnsi="Calibri" w:cs="Calibri"/>
          <w:color w:val="000000"/>
          <w:szCs w:val="23"/>
        </w:rPr>
        <w:t>• SERC Committee titles and Process Roles titles updated to match current SERC commit</w:t>
      </w:r>
      <w:r>
        <w:rPr>
          <w:rFonts w:ascii="Calibri" w:hAnsi="Calibri" w:cs="Calibri"/>
          <w:color w:val="000000"/>
          <w:szCs w:val="23"/>
        </w:rPr>
        <w:t>tee and organization structure;</w:t>
      </w:r>
    </w:p>
    <w:p w14:paraId="61E462F7" w14:textId="0E603BF7" w:rsidR="003F03FB" w:rsidRPr="003F03FB" w:rsidRDefault="003F03FB" w:rsidP="003F03FB">
      <w:pPr>
        <w:ind w:left="720"/>
        <w:rPr>
          <w:rFonts w:ascii="Calibri" w:hAnsi="Calibri" w:cs="Calibri"/>
          <w:color w:val="000000"/>
          <w:szCs w:val="23"/>
        </w:rPr>
      </w:pPr>
      <w:r w:rsidRPr="003F03FB">
        <w:rPr>
          <w:rFonts w:ascii="Calibri" w:hAnsi="Calibri" w:cs="Calibri"/>
          <w:color w:val="000000"/>
          <w:szCs w:val="23"/>
        </w:rPr>
        <w:t xml:space="preserve">• Errata section added </w:t>
      </w:r>
      <w:r>
        <w:rPr>
          <w:rFonts w:ascii="Calibri" w:hAnsi="Calibri" w:cs="Calibri"/>
          <w:color w:val="000000"/>
          <w:szCs w:val="23"/>
        </w:rPr>
        <w:t>and template/formatting updates;</w:t>
      </w:r>
      <w:r w:rsidRPr="003F03FB">
        <w:rPr>
          <w:rFonts w:ascii="Calibri" w:hAnsi="Calibri" w:cs="Calibri"/>
          <w:color w:val="000000"/>
          <w:szCs w:val="23"/>
        </w:rPr>
        <w:t xml:space="preserve"> </w:t>
      </w:r>
    </w:p>
    <w:p w14:paraId="3A0A8F8F" w14:textId="072603D6" w:rsidR="003F03FB" w:rsidRPr="003F03FB" w:rsidRDefault="003F03FB" w:rsidP="003F03FB">
      <w:pPr>
        <w:ind w:left="720"/>
        <w:rPr>
          <w:rFonts w:ascii="Calibri" w:hAnsi="Calibri" w:cs="Calibri"/>
          <w:color w:val="000000"/>
          <w:szCs w:val="23"/>
        </w:rPr>
      </w:pPr>
      <w:r w:rsidRPr="003F03FB">
        <w:rPr>
          <w:rFonts w:ascii="Calibri" w:hAnsi="Calibri" w:cs="Calibri"/>
          <w:color w:val="000000"/>
          <w:szCs w:val="23"/>
        </w:rPr>
        <w:t>• Updated the NERC Functions per the cu</w:t>
      </w:r>
      <w:r>
        <w:rPr>
          <w:rFonts w:ascii="Calibri" w:hAnsi="Calibri" w:cs="Calibri"/>
          <w:color w:val="000000"/>
          <w:szCs w:val="23"/>
        </w:rPr>
        <w:t>rrent NERC Compliance Registry.</w:t>
      </w:r>
    </w:p>
    <w:p w14:paraId="705D8048" w14:textId="77777777" w:rsidR="00F74BBB" w:rsidRPr="00F74BBB" w:rsidRDefault="00F74BBB" w:rsidP="00F74BBB">
      <w:pPr>
        <w:pStyle w:val="Heading3"/>
        <w:rPr>
          <w:rFonts w:cs="Tahoma"/>
          <w:i w:val="0"/>
          <w:szCs w:val="22"/>
        </w:rPr>
      </w:pPr>
      <w:r>
        <w:rPr>
          <w:rFonts w:ascii="Calibri" w:hAnsi="Calibri"/>
          <w:sz w:val="24"/>
          <w:szCs w:val="24"/>
        </w:rPr>
        <w:br/>
      </w:r>
      <w:r w:rsidRPr="00F74BBB">
        <w:rPr>
          <w:rFonts w:cs="Tahoma"/>
          <w:i w:val="0"/>
          <w:szCs w:val="22"/>
        </w:rPr>
        <w:t>Background Information</w:t>
      </w:r>
    </w:p>
    <w:p w14:paraId="705D8049" w14:textId="77777777" w:rsidR="00F74BBB" w:rsidRPr="00FA2437" w:rsidRDefault="00F74BBB" w:rsidP="00F74BBB">
      <w:pPr>
        <w:autoSpaceDE w:val="0"/>
        <w:autoSpaceDN w:val="0"/>
        <w:adjustRightInd w:val="0"/>
        <w:rPr>
          <w:rFonts w:ascii="Calibri" w:hAnsi="Calibri"/>
        </w:rPr>
      </w:pPr>
      <w:r w:rsidRPr="00FA2437">
        <w:rPr>
          <w:rFonts w:ascii="Calibri" w:hAnsi="Calibri"/>
        </w:rPr>
        <w:t>Each NERC Regional Entity (RE) has a regional reliability standards development procedure to define the steps in that region’s process for developing, revising, reaffirming, and withdrawing its regional reliability standards.  Regional reliability standards must provide as much uniformity as possible with NERC’s continent-wide reliability standards. When regional reliability standards are approved by FERC and applicable authorities in Mexico and Canada, these standards are added to the body of NERC reliability standards that are enforced upon all applicable bulk power system owners, operators, and users within the applicable area, regardless of membership in the region.</w:t>
      </w:r>
    </w:p>
    <w:p w14:paraId="705D804A" w14:textId="77777777" w:rsidR="00F74BBB" w:rsidRPr="00FA2437" w:rsidRDefault="00F74BBB" w:rsidP="00F74BBB">
      <w:pPr>
        <w:autoSpaceDE w:val="0"/>
        <w:autoSpaceDN w:val="0"/>
        <w:adjustRightInd w:val="0"/>
        <w:rPr>
          <w:rFonts w:ascii="Calibri" w:hAnsi="Calibri"/>
        </w:rPr>
      </w:pPr>
    </w:p>
    <w:p w14:paraId="705D804B" w14:textId="77777777" w:rsidR="00F74BBB" w:rsidRPr="00FA2437" w:rsidRDefault="00F74BBB" w:rsidP="00F74BBB">
      <w:pPr>
        <w:rPr>
          <w:rFonts w:ascii="Calibri" w:hAnsi="Calibri"/>
        </w:rPr>
      </w:pPr>
      <w:r w:rsidRPr="00FA2437">
        <w:rPr>
          <w:rFonts w:ascii="Calibri" w:hAnsi="Calibri"/>
        </w:rPr>
        <w:t xml:space="preserve">Before approving a RE’s reliability standards development procedure, NERC must post the procedure for comment.  Evaluation of the proposed procedure includes identifying whether a proposed regional reliability standards development procedure meets the criteria listed below. Each regional reliability standards development procedure must meet </w:t>
      </w:r>
      <w:r w:rsidRPr="008B6D86">
        <w:rPr>
          <w:rFonts w:ascii="Calibri" w:hAnsi="Calibri"/>
        </w:rPr>
        <w:t>all of</w:t>
      </w:r>
      <w:r w:rsidRPr="00FA2437">
        <w:rPr>
          <w:rFonts w:ascii="Calibri" w:hAnsi="Calibri"/>
        </w:rPr>
        <w:t xml:space="preserve"> the following criteria:</w:t>
      </w:r>
    </w:p>
    <w:p w14:paraId="705D804C" w14:textId="77777777" w:rsidR="00F74BBB" w:rsidRPr="00FA2437" w:rsidRDefault="00F74BBB" w:rsidP="00F74BBB">
      <w:pPr>
        <w:autoSpaceDE w:val="0"/>
        <w:autoSpaceDN w:val="0"/>
        <w:adjustRightInd w:val="0"/>
        <w:rPr>
          <w:rFonts w:ascii="Calibri" w:hAnsi="Calibri"/>
        </w:rPr>
      </w:pPr>
    </w:p>
    <w:p w14:paraId="705D804D" w14:textId="77777777" w:rsidR="00F74BBB" w:rsidRPr="00FA2437" w:rsidRDefault="00F74BBB" w:rsidP="00F74BBB">
      <w:pPr>
        <w:autoSpaceDE w:val="0"/>
        <w:autoSpaceDN w:val="0"/>
        <w:adjustRightInd w:val="0"/>
        <w:ind w:left="720"/>
        <w:rPr>
          <w:rFonts w:ascii="Calibri" w:hAnsi="Calibri"/>
        </w:rPr>
      </w:pPr>
      <w:r w:rsidRPr="00FA2437">
        <w:rPr>
          <w:rFonts w:ascii="Calibri" w:hAnsi="Calibri"/>
          <w:b/>
          <w:bCs/>
        </w:rPr>
        <w:t xml:space="preserve">Open </w:t>
      </w:r>
      <w:r w:rsidRPr="008E2CF2">
        <w:rPr>
          <w:rFonts w:ascii="Calibri" w:hAnsi="Calibri"/>
          <w:b/>
        </w:rPr>
        <w:t>—</w:t>
      </w:r>
      <w:r w:rsidRPr="00FA2437">
        <w:rPr>
          <w:rFonts w:ascii="Calibri" w:hAnsi="Calibri"/>
        </w:rPr>
        <w:t xml:space="preserve">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or entity that is directly and materially affected by the reliability of the bulk power systems within the </w:t>
      </w:r>
      <w:r w:rsidRPr="00FA2437">
        <w:rPr>
          <w:rFonts w:ascii="Calibri" w:hAnsi="Calibri"/>
        </w:rPr>
        <w:lastRenderedPageBreak/>
        <w:t>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w:t>
      </w:r>
    </w:p>
    <w:p w14:paraId="705D804E" w14:textId="77777777" w:rsidR="00F74BBB" w:rsidRPr="00FA2437" w:rsidRDefault="00F74BBB" w:rsidP="00F74BBB">
      <w:pPr>
        <w:autoSpaceDE w:val="0"/>
        <w:autoSpaceDN w:val="0"/>
        <w:adjustRightInd w:val="0"/>
        <w:ind w:left="2160" w:hanging="540"/>
        <w:rPr>
          <w:rFonts w:ascii="Calibri" w:hAnsi="Calibri"/>
          <w:b/>
        </w:rPr>
      </w:pPr>
    </w:p>
    <w:p w14:paraId="705D804F" w14:textId="77777777" w:rsidR="00F74BBB" w:rsidRPr="00FA2437" w:rsidRDefault="00F74BBB" w:rsidP="00F74BBB">
      <w:pPr>
        <w:autoSpaceDE w:val="0"/>
        <w:autoSpaceDN w:val="0"/>
        <w:adjustRightInd w:val="0"/>
        <w:ind w:left="720"/>
        <w:rPr>
          <w:rFonts w:ascii="Calibri" w:hAnsi="Calibri"/>
        </w:rPr>
      </w:pPr>
      <w:r w:rsidRPr="00FA2437">
        <w:rPr>
          <w:rFonts w:ascii="Calibri" w:hAnsi="Calibri"/>
          <w:b/>
        </w:rPr>
        <w:t xml:space="preserve">Inclusive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with a direct and material interest has a right to participate by expressing an opinion and its basis, having that position considered, and appealing through an established appeals process if adversely affected.</w:t>
      </w:r>
    </w:p>
    <w:p w14:paraId="705D8050" w14:textId="77777777" w:rsidR="00F74BBB" w:rsidRPr="00FA2437" w:rsidRDefault="00F74BBB" w:rsidP="00F74BBB">
      <w:pPr>
        <w:autoSpaceDE w:val="0"/>
        <w:autoSpaceDN w:val="0"/>
        <w:adjustRightInd w:val="0"/>
        <w:rPr>
          <w:rFonts w:ascii="Calibri" w:hAnsi="Calibri"/>
        </w:rPr>
      </w:pPr>
    </w:p>
    <w:p w14:paraId="705D8051" w14:textId="77777777" w:rsidR="00F74BBB" w:rsidRPr="00FA2437" w:rsidRDefault="00F74BBB" w:rsidP="00F74BBB">
      <w:pPr>
        <w:autoSpaceDE w:val="0"/>
        <w:autoSpaceDN w:val="0"/>
        <w:adjustRightInd w:val="0"/>
        <w:ind w:left="720"/>
        <w:rPr>
          <w:rFonts w:ascii="Calibri" w:hAnsi="Calibri"/>
          <w:b/>
        </w:rPr>
      </w:pPr>
      <w:r w:rsidRPr="00FA2437">
        <w:rPr>
          <w:rFonts w:ascii="Calibri" w:hAnsi="Calibri"/>
          <w:b/>
        </w:rPr>
        <w:t xml:space="preserve">Balanced — </w:t>
      </w:r>
      <w:proofErr w:type="gramStart"/>
      <w:r w:rsidRPr="00FA2437">
        <w:rPr>
          <w:rFonts w:ascii="Calibri" w:hAnsi="Calibri"/>
        </w:rPr>
        <w:t>The</w:t>
      </w:r>
      <w:proofErr w:type="gramEnd"/>
      <w:r w:rsidRPr="00FA2437">
        <w:rPr>
          <w:rFonts w:ascii="Calibri" w:hAnsi="Calibri"/>
        </w:rPr>
        <w:t xml:space="preserve"> regional reliability standards development procedure shall have a balance of interests and shall not be dominated by any two interest categories and no single interest category shall be able to defeat a matter.</w:t>
      </w:r>
    </w:p>
    <w:p w14:paraId="705D8052" w14:textId="77777777" w:rsidR="00F74BBB" w:rsidRPr="00FA2437" w:rsidRDefault="00F74BBB" w:rsidP="00F74BBB">
      <w:pPr>
        <w:autoSpaceDE w:val="0"/>
        <w:autoSpaceDN w:val="0"/>
        <w:adjustRightInd w:val="0"/>
        <w:rPr>
          <w:rFonts w:ascii="Calibri" w:hAnsi="Calibri"/>
        </w:rPr>
      </w:pPr>
    </w:p>
    <w:p w14:paraId="705D8053" w14:textId="77777777" w:rsidR="00F74BBB" w:rsidRPr="00FA2437" w:rsidRDefault="00F74BBB" w:rsidP="00F74BBB">
      <w:pPr>
        <w:autoSpaceDE w:val="0"/>
        <w:autoSpaceDN w:val="0"/>
        <w:adjustRightInd w:val="0"/>
        <w:ind w:left="720"/>
        <w:rPr>
          <w:rFonts w:ascii="Calibri" w:hAnsi="Calibri"/>
        </w:rPr>
      </w:pPr>
      <w:r w:rsidRPr="00FA2437">
        <w:rPr>
          <w:rFonts w:ascii="Calibri" w:hAnsi="Calibri"/>
          <w:b/>
        </w:rPr>
        <w:t xml:space="preserve">Due Process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for reasonable notice and opportunity for public comment. At a minimum, the procedure shall include public notice of the intent to develop a standard, a public comment period on the proposed standard, due consideration of those public comments, and a ballot of interested stakeholders.</w:t>
      </w:r>
    </w:p>
    <w:p w14:paraId="705D8054" w14:textId="77777777" w:rsidR="00F74BBB" w:rsidRPr="00FA2437" w:rsidRDefault="00F74BBB" w:rsidP="00F74BBB">
      <w:pPr>
        <w:autoSpaceDE w:val="0"/>
        <w:autoSpaceDN w:val="0"/>
        <w:adjustRightInd w:val="0"/>
        <w:rPr>
          <w:rFonts w:ascii="Calibri" w:hAnsi="Calibri"/>
        </w:rPr>
      </w:pPr>
    </w:p>
    <w:p w14:paraId="705D8055" w14:textId="7194DF8C" w:rsidR="00F74BBB" w:rsidRPr="00FA2437" w:rsidRDefault="00F74BBB" w:rsidP="00F74BBB">
      <w:pPr>
        <w:pStyle w:val="Bullet"/>
        <w:numPr>
          <w:ilvl w:val="0"/>
          <w:numId w:val="0"/>
        </w:numPr>
        <w:spacing w:before="0" w:after="120"/>
        <w:ind w:left="720"/>
        <w:rPr>
          <w:rFonts w:ascii="Calibri" w:hAnsi="Calibri"/>
          <w:sz w:val="24"/>
          <w:szCs w:val="24"/>
        </w:rPr>
      </w:pPr>
      <w:r w:rsidRPr="00FA2437">
        <w:rPr>
          <w:rFonts w:ascii="Calibri" w:hAnsi="Calibri"/>
          <w:b/>
          <w:sz w:val="24"/>
          <w:szCs w:val="24"/>
        </w:rPr>
        <w:t xml:space="preserve">Transparent — </w:t>
      </w:r>
      <w:proofErr w:type="gramStart"/>
      <w:r w:rsidRPr="00FA2437">
        <w:rPr>
          <w:rFonts w:ascii="Calibri" w:hAnsi="Calibri"/>
          <w:sz w:val="24"/>
          <w:szCs w:val="24"/>
        </w:rPr>
        <w:t>All</w:t>
      </w:r>
      <w:proofErr w:type="gramEnd"/>
      <w:r w:rsidRPr="00FA2437">
        <w:rPr>
          <w:rFonts w:ascii="Calibri" w:hAnsi="Calibri"/>
          <w:sz w:val="24"/>
          <w:szCs w:val="24"/>
        </w:rPr>
        <w:t xml:space="preserve"> actions</w:t>
      </w:r>
      <w:r w:rsidR="000127AF">
        <w:rPr>
          <w:rFonts w:ascii="Calibri" w:hAnsi="Calibri"/>
          <w:sz w:val="24"/>
          <w:szCs w:val="24"/>
        </w:rPr>
        <w:t xml:space="preserve"> and</w:t>
      </w:r>
      <w:r w:rsidRPr="00FA2437">
        <w:rPr>
          <w:rFonts w:ascii="Calibri" w:hAnsi="Calibri"/>
          <w:sz w:val="24"/>
          <w:szCs w:val="24"/>
        </w:rPr>
        <w:t xml:space="preserve"> material</w:t>
      </w:r>
      <w:r w:rsidR="000127AF">
        <w:rPr>
          <w:rFonts w:ascii="Calibri" w:hAnsi="Calibri"/>
          <w:sz w:val="24"/>
          <w:szCs w:val="24"/>
        </w:rPr>
        <w:t>s relating</w:t>
      </w:r>
      <w:r w:rsidRPr="00FA2437">
        <w:rPr>
          <w:rFonts w:ascii="Calibri" w:hAnsi="Calibri"/>
          <w:sz w:val="24"/>
          <w:szCs w:val="24"/>
        </w:rPr>
        <w:t xml:space="preserve"> to the development of regional reliability standards shall be transparent. All standards development meetings shall be open and publicly noticed on the regional entity’s Web site.</w:t>
      </w:r>
    </w:p>
    <w:p w14:paraId="705D8056" w14:textId="77777777" w:rsidR="00F74BBB" w:rsidRDefault="00F74BBB" w:rsidP="00F74BBB">
      <w:pPr>
        <w:rPr>
          <w:rFonts w:ascii="Calibri" w:hAnsi="Calibri"/>
          <w:highlight w:val="yellow"/>
        </w:rPr>
      </w:pPr>
    </w:p>
    <w:p w14:paraId="705D8059" w14:textId="2F48915C" w:rsidR="00F74BBB" w:rsidRPr="00FA2437" w:rsidRDefault="003173DC" w:rsidP="00F74BBB">
      <w:pPr>
        <w:pStyle w:val="Bullet"/>
        <w:numPr>
          <w:ilvl w:val="0"/>
          <w:numId w:val="0"/>
        </w:numPr>
        <w:spacing w:before="0"/>
        <w:rPr>
          <w:rFonts w:ascii="Calibri" w:hAnsi="Calibri"/>
          <w:sz w:val="24"/>
          <w:szCs w:val="24"/>
        </w:rPr>
      </w:pPr>
      <w:r>
        <w:rPr>
          <w:rFonts w:ascii="Calibri" w:hAnsi="Calibri"/>
          <w:sz w:val="24"/>
          <w:szCs w:val="24"/>
        </w:rPr>
        <w:t>R</w:t>
      </w:r>
      <w:r w:rsidR="00F74BBB" w:rsidRPr="00FA2437">
        <w:rPr>
          <w:rFonts w:ascii="Calibri" w:hAnsi="Calibri"/>
          <w:sz w:val="24"/>
          <w:szCs w:val="24"/>
        </w:rPr>
        <w:t xml:space="preserve">eview the revised </w:t>
      </w:r>
      <w:r w:rsidR="003F03FB">
        <w:rPr>
          <w:rFonts w:ascii="Calibri" w:hAnsi="Calibri"/>
          <w:i/>
          <w:sz w:val="24"/>
          <w:szCs w:val="24"/>
        </w:rPr>
        <w:t>SERC Regional Reliability Standards Development Procedure</w:t>
      </w:r>
      <w:r w:rsidR="000127AF" w:rsidRPr="000127AF">
        <w:rPr>
          <w:rFonts w:ascii="Calibri" w:hAnsi="Calibri"/>
          <w:i/>
          <w:sz w:val="24"/>
          <w:szCs w:val="24"/>
        </w:rPr>
        <w:t xml:space="preserve"> </w:t>
      </w:r>
      <w:r w:rsidR="00F74BBB" w:rsidRPr="00FA2437">
        <w:rPr>
          <w:rFonts w:ascii="Calibri" w:hAnsi="Calibri"/>
          <w:sz w:val="24"/>
          <w:szCs w:val="24"/>
        </w:rPr>
        <w:t xml:space="preserve">and answer the following questions.  </w:t>
      </w:r>
    </w:p>
    <w:p w14:paraId="705D805A" w14:textId="77777777" w:rsidR="00F74BBB" w:rsidRDefault="00F74BBB" w:rsidP="00F74BBB">
      <w:pPr>
        <w:rPr>
          <w:rFonts w:ascii="Calibri" w:hAnsi="Calibri"/>
          <w:b/>
        </w:rPr>
      </w:pPr>
    </w:p>
    <w:p w14:paraId="705D805B" w14:textId="77777777" w:rsidR="00F74BBB" w:rsidRPr="00FA2437" w:rsidRDefault="00F74BBB" w:rsidP="00F74BBB">
      <w:pPr>
        <w:rPr>
          <w:rStyle w:val="BoxText"/>
          <w:rFonts w:ascii="Calibri" w:hAnsi="Calibri"/>
        </w:rPr>
      </w:pPr>
      <w:r w:rsidRPr="00FA2437">
        <w:rPr>
          <w:rFonts w:ascii="Calibri" w:hAnsi="Calibri"/>
          <w:b/>
        </w:rPr>
        <w:t xml:space="preserve">You do not have to answer all questions.  </w:t>
      </w:r>
    </w:p>
    <w:p w14:paraId="705D805C" w14:textId="77777777" w:rsidR="00F74BBB" w:rsidRPr="000C102C" w:rsidRDefault="00F74BBB" w:rsidP="00F74BBB">
      <w:pPr>
        <w:pStyle w:val="FootnoteText"/>
        <w:spacing w:before="240" w:after="120"/>
        <w:rPr>
          <w:rStyle w:val="BoxText"/>
          <w:rFonts w:ascii="Calibri" w:hAnsi="Calibri"/>
          <w:i/>
          <w:sz w:val="24"/>
        </w:rPr>
      </w:pPr>
      <w:r w:rsidRPr="000C102C">
        <w:rPr>
          <w:rStyle w:val="BoxText"/>
          <w:rFonts w:ascii="Calibri" w:hAnsi="Calibri"/>
          <w:i/>
          <w:sz w:val="24"/>
        </w:rPr>
        <w:t>Insert a “check” mark in the appropriate boxes by double-clicking the gray areas.</w:t>
      </w:r>
    </w:p>
    <w:p w14:paraId="705D805D" w14:textId="5384DEFC"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t xml:space="preserve">Do you agree the revised </w:t>
      </w:r>
      <w:r w:rsidR="003F03FB">
        <w:rPr>
          <w:rFonts w:ascii="Calibri" w:hAnsi="Calibri"/>
          <w:i/>
        </w:rPr>
        <w:t>SERC Regional Reliability Standards Development Procedure</w:t>
      </w:r>
      <w:r w:rsidR="001734C9" w:rsidRPr="001734C9">
        <w:rPr>
          <w:rFonts w:ascii="Calibri" w:hAnsi="Calibri"/>
          <w:i/>
        </w:rPr>
        <w:t xml:space="preserve"> </w:t>
      </w:r>
      <w:r w:rsidRPr="000C102C">
        <w:rPr>
          <w:rFonts w:ascii="Calibri" w:hAnsi="Calibri"/>
        </w:rPr>
        <w:t xml:space="preserve">continues to meet the “Open”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5E"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5F"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60"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14:paraId="705D8061" w14:textId="76A981A3" w:rsidR="00F74BBB" w:rsidRPr="000C102C" w:rsidRDefault="006348E7" w:rsidP="00F74BBB">
      <w:pPr>
        <w:rPr>
          <w:rFonts w:ascii="Calibri" w:hAnsi="Calibri"/>
        </w:rPr>
      </w:pPr>
      <w:r>
        <w:rPr>
          <w:rFonts w:ascii="Calibri" w:hAnsi="Calibri"/>
        </w:rPr>
        <w:br/>
      </w:r>
      <w:r>
        <w:rPr>
          <w:rFonts w:ascii="Calibri" w:hAnsi="Calibri"/>
        </w:rPr>
        <w:br/>
      </w:r>
    </w:p>
    <w:p w14:paraId="705D8063" w14:textId="4ECB2A34"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lastRenderedPageBreak/>
        <w:t xml:space="preserve">Do you agree the revised </w:t>
      </w:r>
      <w:r w:rsidR="003F03FB">
        <w:rPr>
          <w:rFonts w:ascii="Calibri" w:hAnsi="Calibri"/>
          <w:i/>
        </w:rPr>
        <w:t>SERC Regional Reliability Standards Development Procedure</w:t>
      </w:r>
      <w:r w:rsidR="001734C9" w:rsidRPr="001734C9">
        <w:rPr>
          <w:rFonts w:ascii="Calibri" w:hAnsi="Calibri"/>
          <w:i/>
        </w:rPr>
        <w:t xml:space="preserve"> </w:t>
      </w:r>
      <w:r w:rsidRPr="000C102C">
        <w:rPr>
          <w:rFonts w:ascii="Calibri" w:hAnsi="Calibri"/>
        </w:rPr>
        <w:t>continues</w:t>
      </w:r>
      <w:r w:rsidRPr="000C102C">
        <w:rPr>
          <w:rFonts w:ascii="Calibri" w:hAnsi="Calibri"/>
          <w:i/>
        </w:rPr>
        <w:t xml:space="preserve"> </w:t>
      </w:r>
      <w:r w:rsidRPr="000C102C">
        <w:rPr>
          <w:rFonts w:ascii="Calibri" w:hAnsi="Calibri"/>
        </w:rPr>
        <w:t>to</w:t>
      </w:r>
      <w:r w:rsidRPr="000C102C">
        <w:rPr>
          <w:rFonts w:ascii="Calibri" w:hAnsi="Calibri"/>
          <w:i/>
        </w:rPr>
        <w:t xml:space="preserve"> </w:t>
      </w:r>
      <w:r w:rsidRPr="000C102C">
        <w:rPr>
          <w:rFonts w:ascii="Calibri" w:hAnsi="Calibri"/>
        </w:rPr>
        <w:t xml:space="preserve">meet the “Inclusive”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64"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65"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66"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14:paraId="705D8068" w14:textId="2515E0A1" w:rsidR="000C102C" w:rsidRDefault="000C102C">
      <w:pPr>
        <w:rPr>
          <w:rFonts w:ascii="Calibri" w:hAnsi="Calibri"/>
        </w:rPr>
      </w:pPr>
    </w:p>
    <w:p w14:paraId="5FDF374F" w14:textId="77777777" w:rsidR="006348E7" w:rsidRDefault="006348E7">
      <w:pPr>
        <w:rPr>
          <w:rFonts w:ascii="Calibri" w:hAnsi="Calibri"/>
        </w:rPr>
      </w:pPr>
    </w:p>
    <w:p w14:paraId="705D8069" w14:textId="339D6492"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t xml:space="preserve">Do you agree the revised </w:t>
      </w:r>
      <w:r w:rsidR="003F03FB">
        <w:rPr>
          <w:rFonts w:ascii="Calibri" w:hAnsi="Calibri"/>
          <w:i/>
        </w:rPr>
        <w:t>SERC Regional Reliability Standards Development Procedure</w:t>
      </w:r>
      <w:r w:rsidR="003C1361" w:rsidRPr="001734C9">
        <w:rPr>
          <w:rFonts w:ascii="Calibri" w:hAnsi="Calibri"/>
          <w:i/>
        </w:rPr>
        <w:t xml:space="preserve"> </w:t>
      </w:r>
      <w:r w:rsidRPr="000C102C">
        <w:rPr>
          <w:rFonts w:ascii="Calibri" w:hAnsi="Calibri"/>
        </w:rPr>
        <w:t xml:space="preserve">continues to meet the “Balanced”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6A"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6B"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6C" w14:textId="77777777" w:rsidR="00F74BBB" w:rsidRPr="00FA2437" w:rsidRDefault="00F74BBB" w:rsidP="00F74BBB">
      <w:pPr>
        <w:ind w:left="360"/>
        <w:rPr>
          <w:rStyle w:val="BoxText"/>
          <w:rFonts w:ascii="Calibri" w:hAnsi="Calibri"/>
        </w:rPr>
      </w:pPr>
      <w:r w:rsidRPr="006348E7">
        <w:rPr>
          <w:rStyle w:val="BoxText"/>
          <w:rFonts w:ascii="Calibri" w:hAnsi="Calibri"/>
          <w:sz w:val="24"/>
        </w:rPr>
        <w:t xml:space="preserve">Comments: </w:t>
      </w:r>
      <w:r w:rsidRPr="006348E7">
        <w:rPr>
          <w:rStyle w:val="BoxText"/>
          <w:rFonts w:ascii="Calibri" w:hAnsi="Calibri"/>
          <w:sz w:val="24"/>
        </w:rPr>
        <w:fldChar w:fldCharType="begin">
          <w:ffData>
            <w:name w:val=""/>
            <w:enabled/>
            <w:calcOnExit w:val="0"/>
            <w:textInput>
              <w:maxLength w:val="80"/>
            </w:textInput>
          </w:ffData>
        </w:fldChar>
      </w:r>
      <w:r w:rsidRPr="006348E7">
        <w:rPr>
          <w:rStyle w:val="BoxText"/>
          <w:rFonts w:ascii="Calibri" w:hAnsi="Calibri"/>
          <w:sz w:val="24"/>
        </w:rPr>
        <w:instrText xml:space="preserve"> FORMTEXT </w:instrText>
      </w:r>
      <w:r w:rsidRPr="006348E7">
        <w:rPr>
          <w:rStyle w:val="BoxText"/>
          <w:rFonts w:ascii="Calibri" w:hAnsi="Calibri"/>
          <w:sz w:val="24"/>
        </w:rPr>
      </w:r>
      <w:r w:rsidRPr="006348E7">
        <w:rPr>
          <w:rStyle w:val="BoxText"/>
          <w:rFonts w:ascii="Calibri" w:hAnsi="Calibri"/>
          <w:sz w:val="24"/>
        </w:rPr>
        <w:fldChar w:fldCharType="separate"/>
      </w:r>
      <w:r w:rsidRPr="006348E7">
        <w:rPr>
          <w:rStyle w:val="BoxText"/>
          <w:rFonts w:ascii="Calibri" w:hAnsi="Calibri"/>
          <w:sz w:val="24"/>
        </w:rPr>
        <w:t> </w:t>
      </w:r>
      <w:r w:rsidRPr="006348E7">
        <w:rPr>
          <w:rStyle w:val="BoxText"/>
          <w:rFonts w:ascii="Calibri" w:hAnsi="Calibri"/>
          <w:sz w:val="24"/>
        </w:rPr>
        <w:t> </w:t>
      </w:r>
      <w:r w:rsidRPr="006348E7">
        <w:rPr>
          <w:rStyle w:val="BoxText"/>
          <w:rFonts w:ascii="Calibri" w:hAnsi="Calibri"/>
          <w:sz w:val="24"/>
        </w:rPr>
        <w:t> </w:t>
      </w:r>
      <w:r w:rsidRPr="006348E7">
        <w:rPr>
          <w:rStyle w:val="BoxText"/>
          <w:rFonts w:ascii="Calibri" w:hAnsi="Calibri"/>
          <w:sz w:val="24"/>
        </w:rPr>
        <w:t> </w:t>
      </w:r>
      <w:r w:rsidRPr="006348E7">
        <w:rPr>
          <w:rStyle w:val="BoxText"/>
          <w:rFonts w:ascii="Calibri" w:hAnsi="Calibri"/>
          <w:sz w:val="24"/>
        </w:rPr>
        <w:t> </w:t>
      </w:r>
      <w:r w:rsidRPr="006348E7">
        <w:rPr>
          <w:rStyle w:val="BoxText"/>
          <w:rFonts w:ascii="Calibri" w:hAnsi="Calibri"/>
          <w:sz w:val="24"/>
        </w:rPr>
        <w:fldChar w:fldCharType="end"/>
      </w:r>
    </w:p>
    <w:p w14:paraId="705D806D" w14:textId="77777777" w:rsidR="00F74BBB" w:rsidRDefault="00F74BBB" w:rsidP="00F74BBB">
      <w:pPr>
        <w:pStyle w:val="Bullet"/>
        <w:numPr>
          <w:ilvl w:val="0"/>
          <w:numId w:val="0"/>
        </w:numPr>
        <w:spacing w:before="0" w:after="120"/>
        <w:rPr>
          <w:rFonts w:ascii="Calibri" w:hAnsi="Calibri"/>
          <w:b/>
          <w:sz w:val="24"/>
          <w:szCs w:val="24"/>
        </w:rPr>
      </w:pPr>
    </w:p>
    <w:p w14:paraId="1159BD86" w14:textId="77777777" w:rsidR="006348E7" w:rsidRPr="00FA2437" w:rsidRDefault="006348E7" w:rsidP="00F74BBB">
      <w:pPr>
        <w:pStyle w:val="Bullet"/>
        <w:numPr>
          <w:ilvl w:val="0"/>
          <w:numId w:val="0"/>
        </w:numPr>
        <w:spacing w:before="0" w:after="120"/>
        <w:rPr>
          <w:rFonts w:ascii="Calibri" w:hAnsi="Calibri"/>
          <w:b/>
          <w:sz w:val="24"/>
          <w:szCs w:val="24"/>
        </w:rPr>
      </w:pPr>
      <w:bookmarkStart w:id="1" w:name="_GoBack"/>
      <w:bookmarkEnd w:id="1"/>
    </w:p>
    <w:p w14:paraId="705D806E" w14:textId="748D56DF"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t xml:space="preserve">Do you agree the revised </w:t>
      </w:r>
      <w:r w:rsidR="003F03FB">
        <w:rPr>
          <w:rFonts w:ascii="Calibri" w:hAnsi="Calibri"/>
          <w:i/>
        </w:rPr>
        <w:t>SERC Regional Reliability Standards Development Procedure</w:t>
      </w:r>
      <w:r w:rsidR="001734C9" w:rsidRPr="001734C9">
        <w:rPr>
          <w:rFonts w:ascii="Calibri" w:hAnsi="Calibri"/>
          <w:i/>
        </w:rPr>
        <w:t xml:space="preserve"> </w:t>
      </w:r>
      <w:r w:rsidRPr="000C102C">
        <w:rPr>
          <w:rFonts w:ascii="Calibri" w:hAnsi="Calibri"/>
        </w:rPr>
        <w:t xml:space="preserve">continues to meet the “Due Process”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6F"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70"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71"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14:paraId="705D8072" w14:textId="77777777" w:rsidR="00F74BBB" w:rsidRDefault="00F74BBB" w:rsidP="00F74BBB">
      <w:pPr>
        <w:rPr>
          <w:rFonts w:ascii="Calibri" w:hAnsi="Calibri"/>
        </w:rPr>
      </w:pPr>
    </w:p>
    <w:p w14:paraId="4903D54F" w14:textId="77777777" w:rsidR="006348E7" w:rsidRPr="000C102C" w:rsidRDefault="006348E7" w:rsidP="00F74BBB">
      <w:pPr>
        <w:rPr>
          <w:rFonts w:ascii="Calibri" w:hAnsi="Calibri"/>
        </w:rPr>
      </w:pPr>
    </w:p>
    <w:p w14:paraId="705D8073" w14:textId="63B4FB73" w:rsidR="00F74BBB" w:rsidRPr="000C102C" w:rsidRDefault="00F74BBB" w:rsidP="001734C9">
      <w:pPr>
        <w:numPr>
          <w:ilvl w:val="0"/>
          <w:numId w:val="26"/>
        </w:numPr>
        <w:spacing w:after="120"/>
        <w:rPr>
          <w:rStyle w:val="BoxText"/>
          <w:rFonts w:ascii="Calibri" w:hAnsi="Calibri"/>
          <w:sz w:val="24"/>
        </w:rPr>
      </w:pPr>
      <w:r w:rsidRPr="000C102C">
        <w:rPr>
          <w:rFonts w:ascii="Calibri" w:hAnsi="Calibri"/>
        </w:rPr>
        <w:t xml:space="preserve">Do you agree the revised </w:t>
      </w:r>
      <w:r w:rsidR="003F03FB">
        <w:rPr>
          <w:rFonts w:ascii="Calibri" w:hAnsi="Calibri"/>
          <w:i/>
        </w:rPr>
        <w:t>SERC Regional Reliability Standards Development Procedure</w:t>
      </w:r>
      <w:r w:rsidR="001734C9" w:rsidRPr="001734C9">
        <w:rPr>
          <w:rFonts w:ascii="Calibri" w:hAnsi="Calibri"/>
          <w:i/>
        </w:rPr>
        <w:t xml:space="preserve"> </w:t>
      </w:r>
      <w:r w:rsidRPr="000C102C">
        <w:rPr>
          <w:rFonts w:ascii="Calibri" w:hAnsi="Calibri"/>
        </w:rPr>
        <w:t xml:space="preserve">continues to meet the “Transparent”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14:paraId="705D8074"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14:paraId="705D8075" w14:textId="77777777"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6348E7">
        <w:rPr>
          <w:rStyle w:val="BoxText"/>
          <w:rFonts w:ascii="Calibri" w:hAnsi="Calibri"/>
          <w:sz w:val="24"/>
        </w:rPr>
      </w:r>
      <w:r w:rsidR="006348E7">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14:paraId="705D8076" w14:textId="77777777"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14:paraId="705D8077" w14:textId="77777777" w:rsidR="00F74BBB" w:rsidRPr="000C102C" w:rsidRDefault="00F74BBB" w:rsidP="0073546A"/>
    <w:sectPr w:rsidR="00F74BBB" w:rsidRPr="000C102C" w:rsidSect="00D933A3">
      <w:headerReference w:type="default" r:id="rId14"/>
      <w:footerReference w:type="default" r:id="rId15"/>
      <w:headerReference w:type="first" r:id="rId16"/>
      <w:footerReference w:type="first" r:id="rId17"/>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D807A" w14:textId="77777777" w:rsidR="00B77871" w:rsidRDefault="00B77871">
      <w:r>
        <w:separator/>
      </w:r>
    </w:p>
  </w:endnote>
  <w:endnote w:type="continuationSeparator" w:id="0">
    <w:p w14:paraId="705D807B" w14:textId="77777777" w:rsidR="00B77871" w:rsidRDefault="00B7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07D" w14:textId="4C1BA68C" w:rsidR="008D18A8" w:rsidRPr="00855BA8" w:rsidRDefault="008D18A8" w:rsidP="00575783">
    <w:pPr>
      <w:pStyle w:val="Footer"/>
      <w:tabs>
        <w:tab w:val="clear" w:pos="10354"/>
        <w:tab w:val="right" w:pos="10350"/>
      </w:tabs>
      <w:ind w:left="0" w:right="18"/>
    </w:pPr>
    <w:r>
      <w:t>Unofficial Comment Form</w:t>
    </w:r>
    <w:r>
      <w:br/>
    </w:r>
    <w:r w:rsidR="003F03FB" w:rsidRPr="003F03FB">
      <w:t xml:space="preserve">SERC Regional Reliability Standard Development Procedure </w:t>
    </w:r>
    <w:r w:rsidR="00072AB0">
      <w:t xml:space="preserve">| </w:t>
    </w:r>
    <w:r w:rsidR="003F03FB">
      <w:t>November 2017</w:t>
    </w:r>
    <w:r>
      <w:tab/>
    </w:r>
    <w:r w:rsidR="00CC5497">
      <w:fldChar w:fldCharType="begin"/>
    </w:r>
    <w:r w:rsidR="00CC5497">
      <w:instrText xml:space="preserve"> PAGE </w:instrText>
    </w:r>
    <w:r w:rsidR="00CC5497">
      <w:fldChar w:fldCharType="separate"/>
    </w:r>
    <w:r w:rsidR="006348E7">
      <w:rPr>
        <w:noProof/>
      </w:rPr>
      <w:t>3</w:t>
    </w:r>
    <w:r w:rsidR="00CC549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080" w14:textId="77777777" w:rsidR="008D18A8" w:rsidRDefault="008D18A8" w:rsidP="00855BA8">
    <w:r>
      <w:rPr>
        <w:noProof/>
      </w:rPr>
      <w:drawing>
        <wp:anchor distT="0" distB="0" distL="114300" distR="114300" simplePos="0" relativeHeight="251665918" behindDoc="1" locked="0" layoutInCell="1" allowOverlap="1" wp14:anchorId="705D8085" wp14:editId="705D8086">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D8078" w14:textId="77777777" w:rsidR="00B77871" w:rsidRDefault="00B77871">
      <w:r>
        <w:separator/>
      </w:r>
    </w:p>
  </w:footnote>
  <w:footnote w:type="continuationSeparator" w:id="0">
    <w:p w14:paraId="705D8079" w14:textId="77777777" w:rsidR="00B77871" w:rsidRDefault="00B7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07C" w14:textId="77777777" w:rsidR="008D18A8" w:rsidRDefault="008D18A8">
    <w:r>
      <w:rPr>
        <w:noProof/>
      </w:rPr>
      <w:drawing>
        <wp:anchor distT="0" distB="0" distL="114300" distR="114300" simplePos="0" relativeHeight="251663870" behindDoc="1" locked="0" layoutInCell="1" allowOverlap="1" wp14:anchorId="705D8081" wp14:editId="705D8082">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07E" w14:textId="77777777" w:rsidR="008D18A8" w:rsidRDefault="008D18A8"/>
  <w:p w14:paraId="705D807F" w14:textId="77777777" w:rsidR="008D18A8" w:rsidRDefault="008D18A8">
    <w:r>
      <w:rPr>
        <w:noProof/>
      </w:rPr>
      <w:drawing>
        <wp:anchor distT="0" distB="0" distL="114300" distR="114300" simplePos="0" relativeHeight="251667966" behindDoc="1" locked="0" layoutInCell="1" allowOverlap="1" wp14:anchorId="705D8083" wp14:editId="705D8084">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D483599"/>
    <w:multiLevelType w:val="hybridMultilevel"/>
    <w:tmpl w:val="28A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01C62"/>
    <w:multiLevelType w:val="hybridMultilevel"/>
    <w:tmpl w:val="242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B70246"/>
    <w:multiLevelType w:val="hybridMultilevel"/>
    <w:tmpl w:val="CCE4C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7711505"/>
    <w:multiLevelType w:val="hybridMultilevel"/>
    <w:tmpl w:val="1C58A6DC"/>
    <w:lvl w:ilvl="0" w:tplc="7FD21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3F4B0A"/>
    <w:multiLevelType w:val="singleLevel"/>
    <w:tmpl w:val="0409000F"/>
    <w:lvl w:ilvl="0">
      <w:start w:val="1"/>
      <w:numFmt w:val="decimal"/>
      <w:lvlText w:val="%1."/>
      <w:lvlJc w:val="left"/>
      <w:pPr>
        <w:tabs>
          <w:tab w:val="num" w:pos="720"/>
        </w:tabs>
        <w:ind w:left="720" w:hanging="360"/>
      </w:pPr>
    </w:lvl>
  </w:abstractNum>
  <w:num w:numId="1">
    <w:abstractNumId w:val="24"/>
  </w:num>
  <w:num w:numId="2">
    <w:abstractNumId w:val="12"/>
  </w:num>
  <w:num w:numId="3">
    <w:abstractNumId w:val="27"/>
  </w:num>
  <w:num w:numId="4">
    <w:abstractNumId w:val="20"/>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3"/>
  </w:num>
  <w:num w:numId="21">
    <w:abstractNumId w:val="17"/>
  </w:num>
  <w:num w:numId="22">
    <w:abstractNumId w:val="10"/>
  </w:num>
  <w:num w:numId="23">
    <w:abstractNumId w:val="15"/>
  </w:num>
  <w:num w:numId="24">
    <w:abstractNumId w:val="22"/>
  </w:num>
  <w:num w:numId="25">
    <w:abstractNumId w:val="19"/>
  </w:num>
  <w:num w:numId="26">
    <w:abstractNumId w:val="29"/>
  </w:num>
  <w:num w:numId="27">
    <w:abstractNumId w:val="13"/>
  </w:num>
  <w:num w:numId="28">
    <w:abstractNumId w:val="14"/>
  </w:num>
  <w:num w:numId="29">
    <w:abstractNumId w:val="26"/>
  </w:num>
  <w:num w:numId="30">
    <w:abstractNumId w:val="19"/>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27C2"/>
    <w:rsid w:val="000067C8"/>
    <w:rsid w:val="00007327"/>
    <w:rsid w:val="00007A5F"/>
    <w:rsid w:val="00010C69"/>
    <w:rsid w:val="00011D42"/>
    <w:rsid w:val="0001204C"/>
    <w:rsid w:val="000127AF"/>
    <w:rsid w:val="000150B3"/>
    <w:rsid w:val="000334DF"/>
    <w:rsid w:val="00060E18"/>
    <w:rsid w:val="000675F9"/>
    <w:rsid w:val="00070832"/>
    <w:rsid w:val="00072AB0"/>
    <w:rsid w:val="000A70BC"/>
    <w:rsid w:val="000B179B"/>
    <w:rsid w:val="000B36CB"/>
    <w:rsid w:val="000B49E3"/>
    <w:rsid w:val="000B7A04"/>
    <w:rsid w:val="000C102C"/>
    <w:rsid w:val="000D54E9"/>
    <w:rsid w:val="000D7162"/>
    <w:rsid w:val="000D7AF2"/>
    <w:rsid w:val="000E3AB0"/>
    <w:rsid w:val="000F2177"/>
    <w:rsid w:val="000F4C80"/>
    <w:rsid w:val="00102A01"/>
    <w:rsid w:val="00104317"/>
    <w:rsid w:val="00132E88"/>
    <w:rsid w:val="00132F02"/>
    <w:rsid w:val="001346AA"/>
    <w:rsid w:val="00136931"/>
    <w:rsid w:val="00154798"/>
    <w:rsid w:val="001574EA"/>
    <w:rsid w:val="00162ACA"/>
    <w:rsid w:val="00163562"/>
    <w:rsid w:val="001734C9"/>
    <w:rsid w:val="00176A28"/>
    <w:rsid w:val="001774E7"/>
    <w:rsid w:val="00182CAA"/>
    <w:rsid w:val="001859A9"/>
    <w:rsid w:val="001A2F75"/>
    <w:rsid w:val="001A6FC8"/>
    <w:rsid w:val="001A7B2D"/>
    <w:rsid w:val="001C21A7"/>
    <w:rsid w:val="001C30A7"/>
    <w:rsid w:val="001D03F8"/>
    <w:rsid w:val="001D47FD"/>
    <w:rsid w:val="001D6D19"/>
    <w:rsid w:val="001E232D"/>
    <w:rsid w:val="001E6782"/>
    <w:rsid w:val="001E7AF6"/>
    <w:rsid w:val="002038BA"/>
    <w:rsid w:val="00212C02"/>
    <w:rsid w:val="002179F4"/>
    <w:rsid w:val="00217C54"/>
    <w:rsid w:val="00224163"/>
    <w:rsid w:val="002259BB"/>
    <w:rsid w:val="00262A2F"/>
    <w:rsid w:val="0027268C"/>
    <w:rsid w:val="00276174"/>
    <w:rsid w:val="00276F66"/>
    <w:rsid w:val="00283FB4"/>
    <w:rsid w:val="002852E0"/>
    <w:rsid w:val="002B4634"/>
    <w:rsid w:val="002C11E1"/>
    <w:rsid w:val="002C6E45"/>
    <w:rsid w:val="002C7D6F"/>
    <w:rsid w:val="002D43E0"/>
    <w:rsid w:val="002D44A1"/>
    <w:rsid w:val="002D48A8"/>
    <w:rsid w:val="002F2BFE"/>
    <w:rsid w:val="003072DE"/>
    <w:rsid w:val="003075F3"/>
    <w:rsid w:val="003134D1"/>
    <w:rsid w:val="003173DC"/>
    <w:rsid w:val="00331191"/>
    <w:rsid w:val="003447B5"/>
    <w:rsid w:val="0035408A"/>
    <w:rsid w:val="00354DE9"/>
    <w:rsid w:val="00366A96"/>
    <w:rsid w:val="00371E05"/>
    <w:rsid w:val="003818FC"/>
    <w:rsid w:val="0038676B"/>
    <w:rsid w:val="0039275D"/>
    <w:rsid w:val="00395784"/>
    <w:rsid w:val="003A039D"/>
    <w:rsid w:val="003A2C17"/>
    <w:rsid w:val="003C0FD0"/>
    <w:rsid w:val="003C1361"/>
    <w:rsid w:val="003C2871"/>
    <w:rsid w:val="003C40A4"/>
    <w:rsid w:val="003D3010"/>
    <w:rsid w:val="003E116D"/>
    <w:rsid w:val="003E1C41"/>
    <w:rsid w:val="003F03FB"/>
    <w:rsid w:val="003F78BD"/>
    <w:rsid w:val="0040795F"/>
    <w:rsid w:val="00411B23"/>
    <w:rsid w:val="0042088D"/>
    <w:rsid w:val="004265A2"/>
    <w:rsid w:val="00430CEC"/>
    <w:rsid w:val="00456B99"/>
    <w:rsid w:val="004631BF"/>
    <w:rsid w:val="004739A3"/>
    <w:rsid w:val="004800C7"/>
    <w:rsid w:val="004859C6"/>
    <w:rsid w:val="004864EF"/>
    <w:rsid w:val="00487B7F"/>
    <w:rsid w:val="004A0470"/>
    <w:rsid w:val="004A28E7"/>
    <w:rsid w:val="004A7BAA"/>
    <w:rsid w:val="004B480D"/>
    <w:rsid w:val="004B486A"/>
    <w:rsid w:val="004B7DE3"/>
    <w:rsid w:val="004D0586"/>
    <w:rsid w:val="004D2858"/>
    <w:rsid w:val="004D3EC5"/>
    <w:rsid w:val="004E7B5C"/>
    <w:rsid w:val="004F74C6"/>
    <w:rsid w:val="00510652"/>
    <w:rsid w:val="005240B5"/>
    <w:rsid w:val="005316C6"/>
    <w:rsid w:val="005316F3"/>
    <w:rsid w:val="00545613"/>
    <w:rsid w:val="00554CD1"/>
    <w:rsid w:val="00555F79"/>
    <w:rsid w:val="00572B40"/>
    <w:rsid w:val="00573832"/>
    <w:rsid w:val="00575783"/>
    <w:rsid w:val="00582C2D"/>
    <w:rsid w:val="00584F6D"/>
    <w:rsid w:val="00591CE2"/>
    <w:rsid w:val="00597D63"/>
    <w:rsid w:val="005A2920"/>
    <w:rsid w:val="005A721A"/>
    <w:rsid w:val="005B7382"/>
    <w:rsid w:val="005C2683"/>
    <w:rsid w:val="005D3F72"/>
    <w:rsid w:val="005E6F5D"/>
    <w:rsid w:val="00631174"/>
    <w:rsid w:val="006348E7"/>
    <w:rsid w:val="00652754"/>
    <w:rsid w:val="00656DD0"/>
    <w:rsid w:val="00666E6D"/>
    <w:rsid w:val="00673757"/>
    <w:rsid w:val="00676409"/>
    <w:rsid w:val="00685D35"/>
    <w:rsid w:val="00692F16"/>
    <w:rsid w:val="006935E7"/>
    <w:rsid w:val="00694CD1"/>
    <w:rsid w:val="006B0112"/>
    <w:rsid w:val="006B3EC7"/>
    <w:rsid w:val="006C00F5"/>
    <w:rsid w:val="006C1F78"/>
    <w:rsid w:val="006E4ED6"/>
    <w:rsid w:val="006E67B7"/>
    <w:rsid w:val="006F3221"/>
    <w:rsid w:val="006F6DD1"/>
    <w:rsid w:val="00723EC7"/>
    <w:rsid w:val="007254EA"/>
    <w:rsid w:val="00733724"/>
    <w:rsid w:val="0073546A"/>
    <w:rsid w:val="00735687"/>
    <w:rsid w:val="00743900"/>
    <w:rsid w:val="0074626C"/>
    <w:rsid w:val="0074686C"/>
    <w:rsid w:val="00760B1C"/>
    <w:rsid w:val="00784EFD"/>
    <w:rsid w:val="00791651"/>
    <w:rsid w:val="007A5C7E"/>
    <w:rsid w:val="007B299C"/>
    <w:rsid w:val="007B3B9E"/>
    <w:rsid w:val="007C12E8"/>
    <w:rsid w:val="007C1AEF"/>
    <w:rsid w:val="007C7A19"/>
    <w:rsid w:val="007D26EB"/>
    <w:rsid w:val="007D74C1"/>
    <w:rsid w:val="007E0028"/>
    <w:rsid w:val="007E6AF1"/>
    <w:rsid w:val="007F057D"/>
    <w:rsid w:val="00806C87"/>
    <w:rsid w:val="0084339F"/>
    <w:rsid w:val="00844209"/>
    <w:rsid w:val="00850CD0"/>
    <w:rsid w:val="00850F83"/>
    <w:rsid w:val="008537AD"/>
    <w:rsid w:val="008542FC"/>
    <w:rsid w:val="00855BA8"/>
    <w:rsid w:val="008632DE"/>
    <w:rsid w:val="00863B4F"/>
    <w:rsid w:val="008866E7"/>
    <w:rsid w:val="008B70E1"/>
    <w:rsid w:val="008C1A0A"/>
    <w:rsid w:val="008C2858"/>
    <w:rsid w:val="008C5A4A"/>
    <w:rsid w:val="008D18A8"/>
    <w:rsid w:val="008D532D"/>
    <w:rsid w:val="008D69AB"/>
    <w:rsid w:val="00905A97"/>
    <w:rsid w:val="00905DC1"/>
    <w:rsid w:val="0091530F"/>
    <w:rsid w:val="009218CA"/>
    <w:rsid w:val="00952EA3"/>
    <w:rsid w:val="00966208"/>
    <w:rsid w:val="009838D6"/>
    <w:rsid w:val="00990DAF"/>
    <w:rsid w:val="009A3624"/>
    <w:rsid w:val="009B13D5"/>
    <w:rsid w:val="009C211C"/>
    <w:rsid w:val="009C517F"/>
    <w:rsid w:val="009C777F"/>
    <w:rsid w:val="00A065D0"/>
    <w:rsid w:val="00A159B9"/>
    <w:rsid w:val="00A31945"/>
    <w:rsid w:val="00A35DA7"/>
    <w:rsid w:val="00A62A66"/>
    <w:rsid w:val="00A6738A"/>
    <w:rsid w:val="00A8535E"/>
    <w:rsid w:val="00A90B26"/>
    <w:rsid w:val="00A91FB4"/>
    <w:rsid w:val="00A92B1C"/>
    <w:rsid w:val="00AA13DB"/>
    <w:rsid w:val="00AA5C36"/>
    <w:rsid w:val="00AC075B"/>
    <w:rsid w:val="00AC0C35"/>
    <w:rsid w:val="00AC36AD"/>
    <w:rsid w:val="00AC42DA"/>
    <w:rsid w:val="00AC66F0"/>
    <w:rsid w:val="00AD1865"/>
    <w:rsid w:val="00AD3B11"/>
    <w:rsid w:val="00AE7516"/>
    <w:rsid w:val="00AF684F"/>
    <w:rsid w:val="00B12ABE"/>
    <w:rsid w:val="00B146D4"/>
    <w:rsid w:val="00B16914"/>
    <w:rsid w:val="00B16DB6"/>
    <w:rsid w:val="00B36D07"/>
    <w:rsid w:val="00B375B5"/>
    <w:rsid w:val="00B67A92"/>
    <w:rsid w:val="00B735AC"/>
    <w:rsid w:val="00B77871"/>
    <w:rsid w:val="00B86150"/>
    <w:rsid w:val="00B90D2E"/>
    <w:rsid w:val="00B9122B"/>
    <w:rsid w:val="00B95513"/>
    <w:rsid w:val="00BA34E0"/>
    <w:rsid w:val="00BA471B"/>
    <w:rsid w:val="00BA4BD3"/>
    <w:rsid w:val="00BA5727"/>
    <w:rsid w:val="00BB5D55"/>
    <w:rsid w:val="00BE5580"/>
    <w:rsid w:val="00BF68F0"/>
    <w:rsid w:val="00C06FBE"/>
    <w:rsid w:val="00C26181"/>
    <w:rsid w:val="00C31EA1"/>
    <w:rsid w:val="00C36DA2"/>
    <w:rsid w:val="00C448AE"/>
    <w:rsid w:val="00C64E95"/>
    <w:rsid w:val="00C65329"/>
    <w:rsid w:val="00C73EF2"/>
    <w:rsid w:val="00C802A9"/>
    <w:rsid w:val="00C84D89"/>
    <w:rsid w:val="00C96AC8"/>
    <w:rsid w:val="00C97D29"/>
    <w:rsid w:val="00CA19C1"/>
    <w:rsid w:val="00CA232D"/>
    <w:rsid w:val="00CA3211"/>
    <w:rsid w:val="00CA401C"/>
    <w:rsid w:val="00CB54F5"/>
    <w:rsid w:val="00CB790E"/>
    <w:rsid w:val="00CC04D5"/>
    <w:rsid w:val="00CC5497"/>
    <w:rsid w:val="00CC7BE7"/>
    <w:rsid w:val="00CF5C02"/>
    <w:rsid w:val="00CF6E4A"/>
    <w:rsid w:val="00D1054D"/>
    <w:rsid w:val="00D225E0"/>
    <w:rsid w:val="00D228D6"/>
    <w:rsid w:val="00D31B2F"/>
    <w:rsid w:val="00D35D48"/>
    <w:rsid w:val="00D46A50"/>
    <w:rsid w:val="00D56EBF"/>
    <w:rsid w:val="00D5715F"/>
    <w:rsid w:val="00D633CE"/>
    <w:rsid w:val="00D71B57"/>
    <w:rsid w:val="00D7715A"/>
    <w:rsid w:val="00D8646B"/>
    <w:rsid w:val="00D9120D"/>
    <w:rsid w:val="00D9210B"/>
    <w:rsid w:val="00D92883"/>
    <w:rsid w:val="00D933A3"/>
    <w:rsid w:val="00D95162"/>
    <w:rsid w:val="00D9670F"/>
    <w:rsid w:val="00D96A22"/>
    <w:rsid w:val="00DA634C"/>
    <w:rsid w:val="00DB62EC"/>
    <w:rsid w:val="00DB7C23"/>
    <w:rsid w:val="00DC4181"/>
    <w:rsid w:val="00DC4D2B"/>
    <w:rsid w:val="00DC63DB"/>
    <w:rsid w:val="00DC6B8D"/>
    <w:rsid w:val="00DD6D50"/>
    <w:rsid w:val="00DD7508"/>
    <w:rsid w:val="00DD788A"/>
    <w:rsid w:val="00DE6954"/>
    <w:rsid w:val="00DE7AE2"/>
    <w:rsid w:val="00E00283"/>
    <w:rsid w:val="00E01E0B"/>
    <w:rsid w:val="00E01E63"/>
    <w:rsid w:val="00E202F4"/>
    <w:rsid w:val="00E318B9"/>
    <w:rsid w:val="00E43401"/>
    <w:rsid w:val="00E43A0D"/>
    <w:rsid w:val="00E462FF"/>
    <w:rsid w:val="00E505AA"/>
    <w:rsid w:val="00E575A0"/>
    <w:rsid w:val="00E5762D"/>
    <w:rsid w:val="00E64EF0"/>
    <w:rsid w:val="00E6512A"/>
    <w:rsid w:val="00E6626D"/>
    <w:rsid w:val="00E709AD"/>
    <w:rsid w:val="00E760BE"/>
    <w:rsid w:val="00E806C3"/>
    <w:rsid w:val="00E859C7"/>
    <w:rsid w:val="00E936E9"/>
    <w:rsid w:val="00EA01C2"/>
    <w:rsid w:val="00EA11D3"/>
    <w:rsid w:val="00EA12C6"/>
    <w:rsid w:val="00EA5541"/>
    <w:rsid w:val="00EB33AC"/>
    <w:rsid w:val="00EC23E0"/>
    <w:rsid w:val="00ED5673"/>
    <w:rsid w:val="00ED58BF"/>
    <w:rsid w:val="00EE4C1E"/>
    <w:rsid w:val="00EE766A"/>
    <w:rsid w:val="00EF6F41"/>
    <w:rsid w:val="00F006EF"/>
    <w:rsid w:val="00F07493"/>
    <w:rsid w:val="00F07A58"/>
    <w:rsid w:val="00F14595"/>
    <w:rsid w:val="00F23AA2"/>
    <w:rsid w:val="00F31926"/>
    <w:rsid w:val="00F3350B"/>
    <w:rsid w:val="00F359B6"/>
    <w:rsid w:val="00F55DCC"/>
    <w:rsid w:val="00F655D5"/>
    <w:rsid w:val="00F66E8B"/>
    <w:rsid w:val="00F6772B"/>
    <w:rsid w:val="00F7187A"/>
    <w:rsid w:val="00F74BBB"/>
    <w:rsid w:val="00F7641D"/>
    <w:rsid w:val="00F8047C"/>
    <w:rsid w:val="00F8146F"/>
    <w:rsid w:val="00F82125"/>
    <w:rsid w:val="00F96528"/>
    <w:rsid w:val="00FA4BE5"/>
    <w:rsid w:val="00FA5D71"/>
    <w:rsid w:val="00FB3453"/>
    <w:rsid w:val="00FB5404"/>
    <w:rsid w:val="00FC2075"/>
    <w:rsid w:val="00FC26F4"/>
    <w:rsid w:val="00FC3D2E"/>
    <w:rsid w:val="00FC72E9"/>
    <w:rsid w:val="00FC7B36"/>
    <w:rsid w:val="00FD74B7"/>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05D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2 Char,Footnote Text Char Char1 Char,fn Char Char,Footnote Text Char1 Char2 Char,Footnote Text Char Char Char1 Char,Footnote Text Char1 Char Char1 Char,Footnote Text Char Char Char Char Char,fn Char1,fn"/>
    <w:basedOn w:val="Normal"/>
    <w:link w:val="FootnoteTextChar"/>
    <w:semiHidden/>
    <w:unhideWhenUsed/>
    <w:rsid w:val="005B7382"/>
    <w:rPr>
      <w:sz w:val="18"/>
    </w:rPr>
  </w:style>
  <w:style w:type="character" w:customStyle="1" w:styleId="FootnoteTextChar">
    <w:name w:val="Footnote Text Char"/>
    <w:aliases w:val="Footnote Text Char2 Char Char1,Footnote Text Char Char1 Char Char1,fn Char Char Char1,Footnote Text Char1 Char2 Char Char1,Footnote Text Char Char Char1 Char Char1,Footnote Text Char1 Char Char1 Char Char1,fn Char1 Char1,fn Char2"/>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basedOn w:val="DefaultParagraphFont"/>
    <w:uiPriority w:val="99"/>
    <w:semiHidden/>
    <w:unhideWhenUsed/>
    <w:rsid w:val="00F07A58"/>
    <w:rPr>
      <w:vertAlign w:val="superscript"/>
    </w:rPr>
  </w:style>
  <w:style w:type="paragraph" w:customStyle="1" w:styleId="Heading">
    <w:name w:val="Heading"/>
    <w:basedOn w:val="Normal"/>
    <w:rsid w:val="00F74BBB"/>
    <w:pPr>
      <w:spacing w:before="480" w:after="60"/>
    </w:pPr>
    <w:rPr>
      <w:rFonts w:ascii="Tahoma" w:hAnsi="Tahoma"/>
      <w:b/>
      <w:bCs/>
      <w:sz w:val="28"/>
      <w:szCs w:val="20"/>
    </w:rPr>
  </w:style>
  <w:style w:type="character" w:customStyle="1" w:styleId="BoxText">
    <w:name w:val="Box Text"/>
    <w:basedOn w:val="DefaultParagraphFont"/>
    <w:rsid w:val="00F74BBB"/>
    <w:rPr>
      <w:rFonts w:ascii="Arial" w:hAnsi="Arial"/>
      <w:sz w:val="20"/>
    </w:rPr>
  </w:style>
  <w:style w:type="paragraph" w:customStyle="1" w:styleId="Bullet">
    <w:name w:val="Bullet"/>
    <w:basedOn w:val="Normal"/>
    <w:rsid w:val="00F74BBB"/>
    <w:pPr>
      <w:numPr>
        <w:numId w:val="25"/>
      </w:numPr>
      <w:spacing w:before="120"/>
    </w:pPr>
    <w:rPr>
      <w:rFonts w:ascii="Times New Roman" w:hAnsi="Times New Roman"/>
      <w:sz w:val="22"/>
      <w:szCs w:val="20"/>
    </w:rPr>
  </w:style>
  <w:style w:type="character" w:customStyle="1" w:styleId="FootnoteTextChar1">
    <w:name w:val="Footnote Text Char1"/>
    <w:aliases w:val="Footnote Text Char2 Char Char,Footnote Text Char Char1 Char Char,fn Char Char Char,Footnote Text Char1 Char2 Char Char,Footnote Text Char Char Char1 Char Char,Footnote Text Char1 Char Char1 Char Char,fn Char1 Char,fn Char"/>
    <w:basedOn w:val="DefaultParagraphFont"/>
    <w:semiHidden/>
    <w:rsid w:val="00F7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77247">
      <w:bodyDiv w:val="1"/>
      <w:marLeft w:val="0"/>
      <w:marRight w:val="0"/>
      <w:marTop w:val="0"/>
      <w:marBottom w:val="0"/>
      <w:divBdr>
        <w:top w:val="none" w:sz="0" w:space="0" w:color="auto"/>
        <w:left w:val="none" w:sz="0" w:space="0" w:color="auto"/>
        <w:bottom w:val="none" w:sz="0" w:space="0" w:color="auto"/>
        <w:right w:val="none" w:sz="0" w:space="0" w:color="auto"/>
      </w:divBdr>
      <w:divsChild>
        <w:div w:id="1593009934">
          <w:marLeft w:val="0"/>
          <w:marRight w:val="0"/>
          <w:marTop w:val="0"/>
          <w:marBottom w:val="0"/>
          <w:divBdr>
            <w:top w:val="none" w:sz="0" w:space="0" w:color="auto"/>
            <w:left w:val="none" w:sz="0" w:space="0" w:color="auto"/>
            <w:bottom w:val="none" w:sz="0" w:space="0" w:color="auto"/>
            <w:right w:val="none" w:sz="0" w:space="0" w:color="auto"/>
          </w:divBdr>
          <w:divsChild>
            <w:div w:id="2076732729">
              <w:marLeft w:val="0"/>
              <w:marRight w:val="0"/>
              <w:marTop w:val="0"/>
              <w:marBottom w:val="0"/>
              <w:divBdr>
                <w:top w:val="single" w:sz="6" w:space="0" w:color="808080"/>
                <w:left w:val="single" w:sz="6" w:space="0" w:color="808080"/>
                <w:bottom w:val="single" w:sz="6" w:space="0" w:color="808080"/>
                <w:right w:val="single" w:sz="6" w:space="0" w:color="808080"/>
              </w:divBdr>
              <w:divsChild>
                <w:div w:id="1608082419">
                  <w:marLeft w:val="0"/>
                  <w:marRight w:val="0"/>
                  <w:marTop w:val="0"/>
                  <w:marBottom w:val="0"/>
                  <w:divBdr>
                    <w:top w:val="single" w:sz="6" w:space="0" w:color="C0C0C0"/>
                    <w:left w:val="single" w:sz="6" w:space="0" w:color="C0C0C0"/>
                    <w:bottom w:val="single" w:sz="6" w:space="0" w:color="C0C0C0"/>
                    <w:right w:val="single" w:sz="6" w:space="0" w:color="C0C0C0"/>
                  </w:divBdr>
                  <w:divsChild>
                    <w:div w:id="247423315">
                      <w:marLeft w:val="0"/>
                      <w:marRight w:val="0"/>
                      <w:marTop w:val="0"/>
                      <w:marBottom w:val="0"/>
                      <w:divBdr>
                        <w:top w:val="none" w:sz="0" w:space="0" w:color="auto"/>
                        <w:left w:val="none" w:sz="0" w:space="0" w:color="auto"/>
                        <w:bottom w:val="none" w:sz="0" w:space="0" w:color="auto"/>
                        <w:right w:val="none" w:sz="0" w:space="0" w:color="auto"/>
                      </w:divBdr>
                      <w:divsChild>
                        <w:div w:id="1994940777">
                          <w:marLeft w:val="1"/>
                          <w:marRight w:val="1"/>
                          <w:marTop w:val="0"/>
                          <w:marBottom w:val="0"/>
                          <w:divBdr>
                            <w:top w:val="none" w:sz="0" w:space="0" w:color="auto"/>
                            <w:left w:val="none" w:sz="0" w:space="0" w:color="auto"/>
                            <w:bottom w:val="none" w:sz="0" w:space="0" w:color="auto"/>
                            <w:right w:val="none" w:sz="0" w:space="0" w:color="auto"/>
                          </w:divBdr>
                          <w:divsChild>
                            <w:div w:id="1314336110">
                              <w:marLeft w:val="0"/>
                              <w:marRight w:val="1"/>
                              <w:marTop w:val="0"/>
                              <w:marBottom w:val="0"/>
                              <w:divBdr>
                                <w:top w:val="single" w:sz="2" w:space="1" w:color="808080"/>
                                <w:left w:val="single" w:sz="2" w:space="1" w:color="808080"/>
                                <w:bottom w:val="single" w:sz="2" w:space="1" w:color="808080"/>
                                <w:right w:val="single" w:sz="2" w:space="1" w:color="808080"/>
                              </w:divBdr>
                              <w:divsChild>
                                <w:div w:id="1815757130">
                                  <w:marLeft w:val="0"/>
                                  <w:marRight w:val="0"/>
                                  <w:marTop w:val="0"/>
                                  <w:marBottom w:val="0"/>
                                  <w:divBdr>
                                    <w:top w:val="none" w:sz="0" w:space="0" w:color="auto"/>
                                    <w:left w:val="none" w:sz="0" w:space="0" w:color="auto"/>
                                    <w:bottom w:val="none" w:sz="0" w:space="0" w:color="auto"/>
                                    <w:right w:val="none" w:sz="0" w:space="0" w:color="auto"/>
                                  </w:divBdr>
                                  <w:divsChild>
                                    <w:div w:id="811795647">
                                      <w:marLeft w:val="0"/>
                                      <w:marRight w:val="0"/>
                                      <w:marTop w:val="0"/>
                                      <w:marBottom w:val="0"/>
                                      <w:divBdr>
                                        <w:top w:val="none" w:sz="0" w:space="0" w:color="auto"/>
                                        <w:left w:val="none" w:sz="0" w:space="0" w:color="auto"/>
                                        <w:bottom w:val="none" w:sz="0" w:space="0" w:color="auto"/>
                                        <w:right w:val="none" w:sz="0" w:space="0" w:color="auto"/>
                                      </w:divBdr>
                                    </w:div>
                                    <w:div w:id="2020153579">
                                      <w:marLeft w:val="0"/>
                                      <w:marRight w:val="0"/>
                                      <w:marTop w:val="0"/>
                                      <w:marBottom w:val="0"/>
                                      <w:divBdr>
                                        <w:top w:val="none" w:sz="0" w:space="0" w:color="auto"/>
                                        <w:left w:val="none" w:sz="0" w:space="0" w:color="auto"/>
                                        <w:bottom w:val="none" w:sz="0" w:space="0" w:color="auto"/>
                                        <w:right w:val="none" w:sz="0" w:space="0" w:color="auto"/>
                                      </w:divBdr>
                                      <w:divsChild>
                                        <w:div w:id="56584432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1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RegionalReliabilityStandardsUnderDevelopmen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bunch@nerc.net?subject=SPM%20Changes%20-Regional%20Entit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9D6B19D37E4D4D8C98CBDA0A38A5F4" ma:contentTypeVersion="0" ma:contentTypeDescription="Create a new document." ma:contentTypeScope="" ma:versionID="71a29c93fa6b9f9d0858b14c8d415dc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9DE3F-C8E6-44CA-A6E7-63737E29C0CB}"/>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C06B81D0-C459-4127-B21E-DF7A14400394}"/>
</file>

<file path=customXml/itemProps5.xml><?xml version="1.0" encoding="utf-8"?>
<ds:datastoreItem xmlns:ds="http://schemas.openxmlformats.org/officeDocument/2006/customXml" ds:itemID="{5CBC397F-0B17-4645-881D-AB4772E493AB}"/>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2017-11-13T16:33:00Z</dcterms:created>
  <dcterms:modified xsi:type="dcterms:W3CDTF">2017-11-17T14:05:00Z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Document Category">
    <vt:lpwstr>Template</vt:lpwstr>
  </property>
  <property fmtid="{D5CDD505-2E9C-101B-9397-08002B2CF9AE}" pid="4" name="_dlc_DocIdItemGuid">
    <vt:lpwstr>bd6d43a0-c408-453f-b9c7-36cd69adc5fb</vt:lpwstr>
  </property>
  <property fmtid="{D5CDD505-2E9C-101B-9397-08002B2CF9AE}" pid="5" name="Order">
    <vt:r8>700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