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D6194" w14:textId="2A79D3B5" w:rsidR="006B2751" w:rsidRDefault="00BA0057" w:rsidP="00B00D41">
      <w:pPr>
        <w:spacing w:before="120"/>
        <w:rPr>
          <w:rFonts w:ascii="Tahoma" w:hAnsi="Tahoma"/>
          <w:bCs/>
          <w:color w:val="204C81"/>
          <w:sz w:val="36"/>
          <w:szCs w:val="36"/>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sidR="006B2751">
        <w:rPr>
          <w:rFonts w:ascii="Tahoma" w:hAnsi="Tahoma"/>
          <w:bCs/>
          <w:color w:val="204C81"/>
          <w:sz w:val="36"/>
          <w:szCs w:val="36"/>
        </w:rPr>
        <w:t xml:space="preserve">Western Electricity Coordinating Counsel </w:t>
      </w:r>
    </w:p>
    <w:p w14:paraId="3D5C6A85" w14:textId="550C5E3D" w:rsidR="00BA0057" w:rsidRPr="00BA0057" w:rsidRDefault="00A815F1" w:rsidP="00BA0057">
      <w:pPr>
        <w:rPr>
          <w:rFonts w:ascii="Tahoma" w:hAnsi="Tahoma"/>
          <w:color w:val="204C81"/>
          <w:sz w:val="32"/>
          <w:szCs w:val="20"/>
        </w:rPr>
      </w:pPr>
      <w:r>
        <w:rPr>
          <w:rFonts w:ascii="Tahoma" w:hAnsi="Tahoma"/>
          <w:bCs/>
          <w:color w:val="204C81"/>
          <w:sz w:val="36"/>
          <w:szCs w:val="36"/>
        </w:rPr>
        <w:t>Reliability Standard</w:t>
      </w:r>
      <w:r w:rsidR="006B2751">
        <w:rPr>
          <w:rFonts w:ascii="Tahoma" w:hAnsi="Tahoma"/>
          <w:bCs/>
          <w:color w:val="204C81"/>
          <w:sz w:val="36"/>
          <w:szCs w:val="36"/>
        </w:rPr>
        <w:t>s Development Procedure</w:t>
      </w:r>
    </w:p>
    <w:p w14:paraId="1D6F3554" w14:textId="77777777" w:rsidR="00D933A3" w:rsidRDefault="00D933A3" w:rsidP="00FE70BB">
      <w:pPr>
        <w:pStyle w:val="DocumentSubtitle"/>
      </w:pPr>
      <w:r w:rsidRPr="00687867">
        <w:t xml:space="preserve"> </w:t>
      </w:r>
    </w:p>
    <w:p w14:paraId="25D46FA4" w14:textId="51C726FB" w:rsidR="004B2D31" w:rsidRDefault="00BA0057" w:rsidP="00BA0057">
      <w:pPr>
        <w:rPr>
          <w:rFonts w:ascii="Calibri" w:hAnsi="Calibri"/>
          <w:bCs/>
        </w:rPr>
      </w:pPr>
      <w:bookmarkStart w:id="1" w:name="_Toc195946482"/>
      <w:bookmarkEnd w:id="0"/>
      <w:r w:rsidRPr="00BA0057">
        <w:rPr>
          <w:rFonts w:ascii="Calibri" w:hAnsi="Calibri"/>
          <w:b/>
          <w:color w:val="000000"/>
        </w:rPr>
        <w:t>DO NOT</w:t>
      </w:r>
      <w:r w:rsidRPr="00BA0057">
        <w:rPr>
          <w:rFonts w:ascii="Calibri" w:hAnsi="Calibri"/>
        </w:rPr>
        <w:t xml:space="preserve"> use this form for submitting comments. Use the </w:t>
      </w:r>
      <w:hyperlink r:id="rId13" w:history="1">
        <w:r w:rsidR="003F426E" w:rsidRPr="003F426E">
          <w:rPr>
            <w:rStyle w:val="Hyperlink"/>
          </w:rPr>
          <w:t>Standards Balloting and Commenting System</w:t>
        </w:r>
      </w:hyperlink>
      <w:r w:rsidR="007277E2">
        <w:rPr>
          <w:rFonts w:ascii="Calibri" w:hAnsi="Calibri"/>
        </w:rPr>
        <w:t xml:space="preserve"> to submit comments on</w:t>
      </w:r>
      <w:r w:rsidRPr="00BA0057">
        <w:rPr>
          <w:rFonts w:ascii="Calibri" w:hAnsi="Calibri"/>
        </w:rPr>
        <w:t xml:space="preserve"> </w:t>
      </w:r>
      <w:r w:rsidR="006B2751">
        <w:rPr>
          <w:rFonts w:ascii="Calibri" w:hAnsi="Calibri"/>
        </w:rPr>
        <w:t xml:space="preserve">the </w:t>
      </w:r>
      <w:r w:rsidR="006B2751" w:rsidRPr="006B2751">
        <w:rPr>
          <w:rFonts w:ascii="Calibri" w:hAnsi="Calibri"/>
          <w:b/>
        </w:rPr>
        <w:t>Western Electricity</w:t>
      </w:r>
      <w:r w:rsidRPr="006B2751">
        <w:rPr>
          <w:rFonts w:ascii="Calibri" w:hAnsi="Calibri"/>
          <w:b/>
        </w:rPr>
        <w:t xml:space="preserve"> </w:t>
      </w:r>
      <w:r w:rsidR="00AC792C">
        <w:rPr>
          <w:rFonts w:ascii="Calibri" w:hAnsi="Calibri"/>
          <w:b/>
        </w:rPr>
        <w:t xml:space="preserve">Coordinating Counsel </w:t>
      </w:r>
      <w:r w:rsidRPr="006B2751">
        <w:rPr>
          <w:rFonts w:ascii="Calibri" w:hAnsi="Calibri"/>
          <w:b/>
        </w:rPr>
        <w:t>Reliability Standard</w:t>
      </w:r>
      <w:r w:rsidR="006B2751" w:rsidRPr="006B2751">
        <w:rPr>
          <w:rFonts w:ascii="Calibri" w:hAnsi="Calibri"/>
          <w:b/>
        </w:rPr>
        <w:t>s Procedure (WECC</w:t>
      </w:r>
      <w:r w:rsidR="00AA3DB2" w:rsidRPr="006B2751">
        <w:rPr>
          <w:rFonts w:ascii="Calibri" w:hAnsi="Calibri"/>
          <w:b/>
        </w:rPr>
        <w:t xml:space="preserve"> </w:t>
      </w:r>
      <w:r w:rsidR="006B2751" w:rsidRPr="006B2751">
        <w:rPr>
          <w:rFonts w:ascii="Calibri" w:hAnsi="Calibri"/>
          <w:b/>
        </w:rPr>
        <w:t>RSDP)</w:t>
      </w:r>
      <w:r w:rsidR="006C02AF">
        <w:rPr>
          <w:rFonts w:ascii="Calibri" w:hAnsi="Calibri"/>
          <w:b/>
          <w:bCs/>
        </w:rPr>
        <w:t xml:space="preserve"> </w:t>
      </w:r>
      <w:r w:rsidR="008D0868" w:rsidRPr="008D0868">
        <w:rPr>
          <w:rFonts w:ascii="Calibri" w:hAnsi="Calibri"/>
          <w:bCs/>
        </w:rPr>
        <w:t xml:space="preserve">by </w:t>
      </w:r>
      <w:r w:rsidR="008D0868" w:rsidRPr="008D0868">
        <w:rPr>
          <w:rFonts w:ascii="Calibri" w:hAnsi="Calibri"/>
          <w:b/>
          <w:bCs/>
        </w:rPr>
        <w:t xml:space="preserve">8 p.m. Eastern, </w:t>
      </w:r>
      <w:r w:rsidR="006B2751" w:rsidRPr="006B2751">
        <w:rPr>
          <w:rFonts w:ascii="Calibri" w:hAnsi="Calibri"/>
          <w:b/>
          <w:bCs/>
        </w:rPr>
        <w:t>Friday</w:t>
      </w:r>
      <w:r w:rsidR="00C539E2" w:rsidRPr="006B2751">
        <w:rPr>
          <w:rFonts w:ascii="Calibri" w:hAnsi="Calibri"/>
          <w:b/>
          <w:bCs/>
        </w:rPr>
        <w:t>,</w:t>
      </w:r>
      <w:r w:rsidR="006B2751">
        <w:rPr>
          <w:rFonts w:ascii="Calibri" w:hAnsi="Calibri"/>
          <w:b/>
          <w:bCs/>
        </w:rPr>
        <w:t xml:space="preserve"> </w:t>
      </w:r>
      <w:proofErr w:type="gramStart"/>
      <w:r w:rsidR="006B2751" w:rsidRPr="006B2751">
        <w:rPr>
          <w:rFonts w:ascii="Calibri" w:hAnsi="Calibri"/>
          <w:b/>
          <w:bCs/>
        </w:rPr>
        <w:t>April</w:t>
      </w:r>
      <w:proofErr w:type="gramEnd"/>
      <w:r w:rsidR="006B2751" w:rsidRPr="006B2751">
        <w:rPr>
          <w:rFonts w:ascii="Calibri" w:hAnsi="Calibri"/>
          <w:b/>
          <w:bCs/>
        </w:rPr>
        <w:t xml:space="preserve"> 2,</w:t>
      </w:r>
      <w:r w:rsidR="008C1473">
        <w:rPr>
          <w:rFonts w:ascii="Calibri" w:hAnsi="Calibri"/>
          <w:b/>
          <w:bCs/>
        </w:rPr>
        <w:t xml:space="preserve"> </w:t>
      </w:r>
      <w:r w:rsidR="006B2751" w:rsidRPr="006B2751">
        <w:rPr>
          <w:rFonts w:ascii="Calibri" w:hAnsi="Calibri"/>
          <w:b/>
          <w:bCs/>
        </w:rPr>
        <w:t>2021</w:t>
      </w:r>
      <w:r w:rsidR="008D0868" w:rsidRPr="006B2751">
        <w:rPr>
          <w:rFonts w:ascii="Calibri" w:hAnsi="Calibri"/>
          <w:b/>
          <w:bCs/>
        </w:rPr>
        <w:t>.</w:t>
      </w:r>
      <w:r w:rsidR="007277E2">
        <w:rPr>
          <w:rFonts w:ascii="Calibri" w:hAnsi="Calibri"/>
          <w:bCs/>
        </w:rPr>
        <w:t xml:space="preserve"> </w:t>
      </w:r>
    </w:p>
    <w:p w14:paraId="5C23CE46" w14:textId="77777777" w:rsidR="004B2D31" w:rsidRDefault="004B2D31" w:rsidP="00BA0057">
      <w:pPr>
        <w:rPr>
          <w:rFonts w:ascii="Calibri" w:hAnsi="Calibri"/>
          <w:bCs/>
        </w:rPr>
      </w:pPr>
    </w:p>
    <w:p w14:paraId="4561D603" w14:textId="602F549B" w:rsidR="00BA0057" w:rsidRPr="00BA0057" w:rsidRDefault="00BA0057" w:rsidP="00BA0057">
      <w:pPr>
        <w:rPr>
          <w:rFonts w:ascii="Calibri" w:hAnsi="Calibri"/>
        </w:rPr>
      </w:pPr>
      <w:r w:rsidRPr="00BA0057">
        <w:rPr>
          <w:rFonts w:ascii="Calibri" w:hAnsi="Calibri"/>
        </w:rPr>
        <w:t>If you hav</w:t>
      </w:r>
      <w:r w:rsidR="0075698C">
        <w:rPr>
          <w:rFonts w:ascii="Calibri" w:hAnsi="Calibri"/>
        </w:rPr>
        <w:t xml:space="preserve">e questions, contact </w:t>
      </w:r>
      <w:hyperlink r:id="rId14" w:history="1">
        <w:r w:rsidR="0075698C" w:rsidRPr="0075698C">
          <w:rPr>
            <w:rStyle w:val="Hyperlink"/>
            <w:rFonts w:ascii="Calibri" w:hAnsi="Calibri"/>
          </w:rPr>
          <w:t>Kimberlin Harris</w:t>
        </w:r>
      </w:hyperlink>
      <w:r w:rsidR="007277E2">
        <w:rPr>
          <w:rFonts w:ascii="Calibri" w:hAnsi="Calibri"/>
        </w:rPr>
        <w:t xml:space="preserve"> (v</w:t>
      </w:r>
      <w:r w:rsidRPr="00BA0057">
        <w:rPr>
          <w:rFonts w:ascii="Calibri" w:hAnsi="Calibri"/>
        </w:rPr>
        <w:t>ia email) or at (404) 446-</w:t>
      </w:r>
      <w:r w:rsidR="0075698C">
        <w:rPr>
          <w:rFonts w:ascii="Calibri" w:hAnsi="Calibri"/>
        </w:rPr>
        <w:t>9794</w:t>
      </w:r>
      <w:r w:rsidRPr="00BA0057">
        <w:rPr>
          <w:rFonts w:ascii="Calibri" w:hAnsi="Calibri"/>
        </w:rPr>
        <w:t xml:space="preserve">. </w:t>
      </w:r>
    </w:p>
    <w:p w14:paraId="7BD5B55F" w14:textId="77777777" w:rsidR="006B2751" w:rsidRDefault="006B2751" w:rsidP="006B2751">
      <w:pPr>
        <w:rPr>
          <w:rFonts w:ascii="Tahoma" w:hAnsi="Tahoma" w:cs="Tahoma"/>
          <w:b/>
          <w:sz w:val="22"/>
          <w:szCs w:val="22"/>
        </w:rPr>
      </w:pPr>
    </w:p>
    <w:p w14:paraId="7ADE26B3" w14:textId="53298B66" w:rsidR="006B2751" w:rsidRDefault="006B2751" w:rsidP="006B2751">
      <w:pPr>
        <w:rPr>
          <w:rFonts w:ascii="Tahoma" w:hAnsi="Tahoma" w:cs="Tahoma"/>
          <w:b/>
          <w:sz w:val="22"/>
          <w:szCs w:val="22"/>
        </w:rPr>
      </w:pPr>
      <w:r>
        <w:rPr>
          <w:rFonts w:ascii="Tahoma" w:hAnsi="Tahoma" w:cs="Tahoma"/>
          <w:b/>
          <w:sz w:val="22"/>
          <w:szCs w:val="22"/>
        </w:rPr>
        <w:t>Summary</w:t>
      </w:r>
    </w:p>
    <w:p w14:paraId="555C10EC" w14:textId="12CDADF4" w:rsidR="003948E2" w:rsidRDefault="006B2751" w:rsidP="00425774">
      <w:r>
        <w:t>Changes to the WECC RSD</w:t>
      </w:r>
      <w:r w:rsidR="00AE3485">
        <w:t>P</w:t>
      </w:r>
      <w:r>
        <w:t xml:space="preserve"> include:</w:t>
      </w:r>
    </w:p>
    <w:p w14:paraId="60CBED08" w14:textId="2D97E40F" w:rsidR="004A0294" w:rsidRPr="008C1473" w:rsidRDefault="004A0294" w:rsidP="00B00D41">
      <w:pPr>
        <w:pStyle w:val="ListParagraph"/>
        <w:numPr>
          <w:ilvl w:val="0"/>
          <w:numId w:val="37"/>
        </w:numPr>
        <w:suppressAutoHyphens/>
        <w:spacing w:before="120" w:line="276" w:lineRule="auto"/>
        <w:contextualSpacing w:val="0"/>
        <w:rPr>
          <w:b/>
        </w:rPr>
      </w:pPr>
      <w:r w:rsidRPr="008C1473">
        <w:rPr>
          <w:b/>
        </w:rPr>
        <w:t>Introduction</w:t>
      </w:r>
    </w:p>
    <w:p w14:paraId="0A513B54" w14:textId="779735D7" w:rsidR="004A0294" w:rsidRPr="00FF652F" w:rsidRDefault="004A0294" w:rsidP="00B00D41">
      <w:pPr>
        <w:pStyle w:val="ListParagraph"/>
        <w:numPr>
          <w:ilvl w:val="1"/>
          <w:numId w:val="37"/>
        </w:numPr>
        <w:suppressAutoHyphens/>
        <w:spacing w:before="120" w:line="276" w:lineRule="auto"/>
        <w:ind w:left="1080"/>
        <w:contextualSpacing w:val="0"/>
      </w:pPr>
      <w:r w:rsidRPr="00FF652F">
        <w:t xml:space="preserve">Footnote 1 </w:t>
      </w:r>
      <w:r w:rsidR="005831AB">
        <w:t>was</w:t>
      </w:r>
      <w:r w:rsidRPr="00FF652F">
        <w:t xml:space="preserve"> added to adopt a definition for Regional Entity</w:t>
      </w:r>
      <w:r w:rsidR="005831AB">
        <w:t>.</w:t>
      </w:r>
    </w:p>
    <w:p w14:paraId="695DBCCF" w14:textId="77777777" w:rsidR="004A0294" w:rsidRPr="008C1473" w:rsidRDefault="004A0294" w:rsidP="00B00D41">
      <w:pPr>
        <w:pStyle w:val="ListParagraph"/>
        <w:numPr>
          <w:ilvl w:val="0"/>
          <w:numId w:val="37"/>
        </w:numPr>
        <w:suppressAutoHyphens/>
        <w:spacing w:before="120" w:line="276" w:lineRule="auto"/>
        <w:contextualSpacing w:val="0"/>
        <w:rPr>
          <w:b/>
        </w:rPr>
      </w:pPr>
      <w:r w:rsidRPr="008C1473">
        <w:rPr>
          <w:b/>
        </w:rPr>
        <w:t>Definitions</w:t>
      </w:r>
    </w:p>
    <w:p w14:paraId="4C215359" w14:textId="01ED4155" w:rsidR="004A0294" w:rsidRPr="00FF652F" w:rsidRDefault="004A0294" w:rsidP="00B00D41">
      <w:pPr>
        <w:pStyle w:val="ListParagraph"/>
        <w:numPr>
          <w:ilvl w:val="1"/>
          <w:numId w:val="37"/>
        </w:numPr>
        <w:suppressAutoHyphens/>
        <w:spacing w:before="120" w:line="276" w:lineRule="auto"/>
        <w:ind w:left="1080"/>
        <w:contextualSpacing w:val="0"/>
      </w:pPr>
      <w:r w:rsidRPr="00FF652F">
        <w:t>A definition for Affirmative Fraction Majority is proposed</w:t>
      </w:r>
      <w:r w:rsidR="005831AB">
        <w:t>.</w:t>
      </w:r>
      <w:r w:rsidRPr="00FF652F">
        <w:t xml:space="preserve"> </w:t>
      </w:r>
    </w:p>
    <w:p w14:paraId="35876ABA" w14:textId="7EF96EE4" w:rsidR="004A0294" w:rsidRPr="00FF652F" w:rsidRDefault="004A0294" w:rsidP="00B00D41">
      <w:pPr>
        <w:pStyle w:val="ListParagraph"/>
        <w:numPr>
          <w:ilvl w:val="1"/>
          <w:numId w:val="37"/>
        </w:numPr>
        <w:suppressAutoHyphens/>
        <w:spacing w:before="120" w:line="276" w:lineRule="auto"/>
        <w:ind w:left="1080"/>
        <w:contextualSpacing w:val="0"/>
      </w:pPr>
      <w:r w:rsidRPr="00FF652F">
        <w:t xml:space="preserve">The definition for Regional Reliability Standard </w:t>
      </w:r>
      <w:r w:rsidR="005831AB">
        <w:t>was</w:t>
      </w:r>
      <w:r w:rsidRPr="00FF652F">
        <w:t xml:space="preserve"> modified to include Regional Variances</w:t>
      </w:r>
      <w:r w:rsidR="005831AB">
        <w:t>.</w:t>
      </w:r>
      <w:r w:rsidRPr="00FF652F">
        <w:t xml:space="preserve">  </w:t>
      </w:r>
    </w:p>
    <w:p w14:paraId="271642E7" w14:textId="0D525A4E" w:rsidR="004A0294" w:rsidRPr="008C1473" w:rsidRDefault="004A0294" w:rsidP="00B00D41">
      <w:pPr>
        <w:pStyle w:val="ListParagraph"/>
        <w:numPr>
          <w:ilvl w:val="0"/>
          <w:numId w:val="37"/>
        </w:numPr>
        <w:suppressAutoHyphens/>
        <w:spacing w:before="120" w:line="276" w:lineRule="auto"/>
        <w:contextualSpacing w:val="0"/>
        <w:rPr>
          <w:b/>
        </w:rPr>
      </w:pPr>
      <w:r w:rsidRPr="008C1473">
        <w:rPr>
          <w:b/>
        </w:rPr>
        <w:t>WECC Standards Committee</w:t>
      </w:r>
      <w:r w:rsidR="00AC792C">
        <w:rPr>
          <w:b/>
        </w:rPr>
        <w:t xml:space="preserve"> (WSC)</w:t>
      </w:r>
    </w:p>
    <w:p w14:paraId="1C116FE3" w14:textId="62F9A02C" w:rsidR="004A0294" w:rsidRPr="00FF652F" w:rsidRDefault="004A0294" w:rsidP="00B00D41">
      <w:pPr>
        <w:pStyle w:val="ListParagraph"/>
        <w:numPr>
          <w:ilvl w:val="1"/>
          <w:numId w:val="36"/>
        </w:numPr>
        <w:spacing w:before="120" w:line="259" w:lineRule="auto"/>
        <w:ind w:left="1080"/>
        <w:contextualSpacing w:val="0"/>
      </w:pPr>
      <w:r w:rsidRPr="00FF652F">
        <w:lastRenderedPageBreak/>
        <w:t>Verbiage was updated to match the WSC Charter</w:t>
      </w:r>
      <w:r w:rsidR="005831AB">
        <w:t>.</w:t>
      </w:r>
    </w:p>
    <w:p w14:paraId="63FE1461" w14:textId="7DB5D865" w:rsidR="004A0294" w:rsidRPr="008C1473" w:rsidRDefault="004A0294" w:rsidP="00B00D41">
      <w:pPr>
        <w:pStyle w:val="ListParagraph"/>
        <w:numPr>
          <w:ilvl w:val="0"/>
          <w:numId w:val="36"/>
        </w:numPr>
        <w:spacing w:before="120" w:line="259" w:lineRule="auto"/>
        <w:contextualSpacing w:val="0"/>
        <w:rPr>
          <w:b/>
        </w:rPr>
      </w:pPr>
      <w:r w:rsidRPr="008C1473">
        <w:rPr>
          <w:b/>
        </w:rPr>
        <w:t>Step 2 Complete S</w:t>
      </w:r>
      <w:r w:rsidR="00AC792C">
        <w:rPr>
          <w:b/>
        </w:rPr>
        <w:t xml:space="preserve">tandard </w:t>
      </w:r>
      <w:r w:rsidRPr="008C1473">
        <w:rPr>
          <w:b/>
        </w:rPr>
        <w:t>A</w:t>
      </w:r>
      <w:r w:rsidR="00AC792C">
        <w:rPr>
          <w:b/>
        </w:rPr>
        <w:t xml:space="preserve">uthorization </w:t>
      </w:r>
      <w:r w:rsidRPr="008C1473">
        <w:rPr>
          <w:b/>
        </w:rPr>
        <w:t>R</w:t>
      </w:r>
      <w:r w:rsidR="00AC792C">
        <w:rPr>
          <w:b/>
        </w:rPr>
        <w:t>equest (SAR)</w:t>
      </w:r>
      <w:r w:rsidRPr="008C1473">
        <w:rPr>
          <w:b/>
        </w:rPr>
        <w:t xml:space="preserve"> and Present to the WSC</w:t>
      </w:r>
    </w:p>
    <w:p w14:paraId="2560C0EE" w14:textId="42DF814D" w:rsidR="004A0294" w:rsidRPr="00FF652F" w:rsidRDefault="004A0294" w:rsidP="00B00D41">
      <w:pPr>
        <w:pStyle w:val="ListParagraph"/>
        <w:numPr>
          <w:ilvl w:val="1"/>
          <w:numId w:val="36"/>
        </w:numPr>
        <w:spacing w:before="120" w:line="259" w:lineRule="auto"/>
        <w:ind w:left="1080"/>
        <w:contextualSpacing w:val="0"/>
      </w:pPr>
      <w:r w:rsidRPr="00FF652F">
        <w:t>“</w:t>
      </w:r>
      <w:proofErr w:type="gramStart"/>
      <w:r w:rsidRPr="00FF652F">
        <w:t>the</w:t>
      </w:r>
      <w:proofErr w:type="gramEnd"/>
      <w:r w:rsidRPr="00FF652F">
        <w:t xml:space="preserve"> SAR” was added for clarity, paragraph 2</w:t>
      </w:r>
      <w:r w:rsidR="005831AB">
        <w:t>.</w:t>
      </w:r>
    </w:p>
    <w:p w14:paraId="0BD62F53" w14:textId="203D1A4F" w:rsidR="004A0294" w:rsidRPr="00FF652F" w:rsidRDefault="004A0294" w:rsidP="00B00D41">
      <w:pPr>
        <w:pStyle w:val="ListParagraph"/>
        <w:numPr>
          <w:ilvl w:val="1"/>
          <w:numId w:val="36"/>
        </w:numPr>
        <w:spacing w:before="120" w:line="259" w:lineRule="auto"/>
        <w:ind w:left="1080"/>
        <w:contextualSpacing w:val="0"/>
      </w:pPr>
      <w:r w:rsidRPr="00FF652F">
        <w:t>Because a SAR can be refiled without prejudice, there is no need to preserve appellate rights up to the WECC Board of Directors. Therefore, the last sentence of the section was deleted</w:t>
      </w:r>
      <w:r w:rsidR="005831AB">
        <w:t>.</w:t>
      </w:r>
      <w:r w:rsidRPr="00FF652F">
        <w:t xml:space="preserve"> </w:t>
      </w:r>
    </w:p>
    <w:p w14:paraId="32E233DB" w14:textId="1E37CEC7" w:rsidR="004A0294" w:rsidRPr="008C1473" w:rsidRDefault="004A0294" w:rsidP="00B00D41">
      <w:pPr>
        <w:pStyle w:val="ListParagraph"/>
        <w:numPr>
          <w:ilvl w:val="0"/>
          <w:numId w:val="36"/>
        </w:numPr>
        <w:spacing w:before="120" w:line="259" w:lineRule="auto"/>
        <w:contextualSpacing w:val="0"/>
        <w:rPr>
          <w:b/>
        </w:rPr>
      </w:pPr>
      <w:r w:rsidRPr="008C1473">
        <w:rPr>
          <w:b/>
        </w:rPr>
        <w:t>Step 3 Convene a Drafting Team</w:t>
      </w:r>
      <w:r w:rsidR="00A25038">
        <w:rPr>
          <w:b/>
        </w:rPr>
        <w:t xml:space="preserve"> (DT)</w:t>
      </w:r>
    </w:p>
    <w:p w14:paraId="2AEC34F2" w14:textId="26BBAAB9" w:rsidR="004A0294" w:rsidRPr="00FF652F" w:rsidRDefault="004A0294" w:rsidP="00B00D41">
      <w:pPr>
        <w:pStyle w:val="ListParagraph"/>
        <w:numPr>
          <w:ilvl w:val="1"/>
          <w:numId w:val="36"/>
        </w:numPr>
        <w:spacing w:before="120" w:line="259" w:lineRule="auto"/>
        <w:ind w:left="1080"/>
        <w:contextualSpacing w:val="0"/>
      </w:pPr>
      <w:r w:rsidRPr="00FF652F">
        <w:t>Substance of WSC guideline was adopted</w:t>
      </w:r>
      <w:r w:rsidR="005831AB">
        <w:t>.</w:t>
      </w:r>
      <w:r w:rsidRPr="00FF652F">
        <w:t xml:space="preserve"> </w:t>
      </w:r>
    </w:p>
    <w:p w14:paraId="42B80054" w14:textId="77777777" w:rsidR="004A0294" w:rsidRPr="008C1473" w:rsidRDefault="004A0294" w:rsidP="00B00D41">
      <w:pPr>
        <w:pStyle w:val="ListParagraph"/>
        <w:numPr>
          <w:ilvl w:val="0"/>
          <w:numId w:val="36"/>
        </w:numPr>
        <w:spacing w:before="120" w:line="259" w:lineRule="auto"/>
        <w:contextualSpacing w:val="0"/>
        <w:rPr>
          <w:b/>
        </w:rPr>
      </w:pPr>
      <w:r w:rsidRPr="008C1473">
        <w:rPr>
          <w:b/>
        </w:rPr>
        <w:t>Step 4 Begin Drafting Phase and Submit Draft to WSC</w:t>
      </w:r>
    </w:p>
    <w:p w14:paraId="27F17D3E" w14:textId="73FB5C6A" w:rsidR="004A0294" w:rsidRPr="00FF652F" w:rsidRDefault="004A0294" w:rsidP="00B00D41">
      <w:pPr>
        <w:pStyle w:val="ListParagraph"/>
        <w:numPr>
          <w:ilvl w:val="1"/>
          <w:numId w:val="36"/>
        </w:numPr>
        <w:spacing w:before="120" w:line="259" w:lineRule="auto"/>
        <w:ind w:left="1080"/>
        <w:contextualSpacing w:val="0"/>
      </w:pPr>
      <w:r w:rsidRPr="00FF652F">
        <w:t>Syntax was changed for clarity</w:t>
      </w:r>
      <w:r w:rsidR="005831AB">
        <w:t>.</w:t>
      </w:r>
    </w:p>
    <w:p w14:paraId="765E8E7C" w14:textId="65EB35CB" w:rsidR="004A0294" w:rsidRPr="00FF652F" w:rsidRDefault="004A0294" w:rsidP="00B00D41">
      <w:pPr>
        <w:pStyle w:val="ListParagraph"/>
        <w:numPr>
          <w:ilvl w:val="1"/>
          <w:numId w:val="36"/>
        </w:numPr>
        <w:spacing w:before="120" w:line="259" w:lineRule="auto"/>
        <w:ind w:left="1080"/>
        <w:contextualSpacing w:val="0"/>
      </w:pPr>
      <w:r w:rsidRPr="00FF652F">
        <w:t>A change was added allowing flexibility in WECC CRT structure. This is done to differentiate the structure from that of a standard, particularly as NERC moves to extract guidance narrative from the body of its standards</w:t>
      </w:r>
      <w:r w:rsidR="005831AB">
        <w:t>.</w:t>
      </w:r>
    </w:p>
    <w:p w14:paraId="248D1885" w14:textId="77777777" w:rsidR="004A0294" w:rsidRPr="008C1473" w:rsidRDefault="004A0294" w:rsidP="00B00D41">
      <w:pPr>
        <w:pStyle w:val="ListParagraph"/>
        <w:numPr>
          <w:ilvl w:val="0"/>
          <w:numId w:val="36"/>
        </w:numPr>
        <w:spacing w:before="120" w:line="259" w:lineRule="auto"/>
        <w:contextualSpacing w:val="0"/>
        <w:rPr>
          <w:b/>
        </w:rPr>
      </w:pPr>
      <w:r w:rsidRPr="008C1473">
        <w:rPr>
          <w:b/>
        </w:rPr>
        <w:t>Step 5 Post for Comment</w:t>
      </w:r>
    </w:p>
    <w:p w14:paraId="53F26854" w14:textId="0CE87990" w:rsidR="004A0294" w:rsidRPr="00FF652F" w:rsidRDefault="004A0294" w:rsidP="00B00D41">
      <w:pPr>
        <w:pStyle w:val="ListParagraph"/>
        <w:numPr>
          <w:ilvl w:val="1"/>
          <w:numId w:val="36"/>
        </w:numPr>
        <w:spacing w:before="120" w:line="259" w:lineRule="auto"/>
        <w:ind w:left="1080"/>
        <w:contextualSpacing w:val="0"/>
      </w:pPr>
      <w:r w:rsidRPr="00FF652F">
        <w:t>Syntax was changed for clarity</w:t>
      </w:r>
      <w:r w:rsidR="005831AB">
        <w:t>.</w:t>
      </w:r>
      <w:r w:rsidRPr="00FF652F">
        <w:t xml:space="preserve"> </w:t>
      </w:r>
    </w:p>
    <w:p w14:paraId="15993955" w14:textId="77777777" w:rsidR="004A0294" w:rsidRPr="008C1473" w:rsidRDefault="004A0294" w:rsidP="00B00D41">
      <w:pPr>
        <w:pStyle w:val="ListParagraph"/>
        <w:numPr>
          <w:ilvl w:val="0"/>
          <w:numId w:val="36"/>
        </w:numPr>
        <w:spacing w:before="120" w:line="259" w:lineRule="auto"/>
        <w:contextualSpacing w:val="0"/>
        <w:rPr>
          <w:b/>
        </w:rPr>
      </w:pPr>
      <w:r w:rsidRPr="008C1473">
        <w:rPr>
          <w:b/>
        </w:rPr>
        <w:t>Step 6 Respond to Comments</w:t>
      </w:r>
    </w:p>
    <w:p w14:paraId="32392B0D" w14:textId="534844A2" w:rsidR="004A0294" w:rsidRPr="00FF652F" w:rsidRDefault="004A0294" w:rsidP="00B00D41">
      <w:pPr>
        <w:pStyle w:val="ListParagraph"/>
        <w:numPr>
          <w:ilvl w:val="1"/>
          <w:numId w:val="36"/>
        </w:numPr>
        <w:spacing w:before="120" w:line="259" w:lineRule="auto"/>
        <w:ind w:left="1080"/>
        <w:contextualSpacing w:val="0"/>
      </w:pPr>
      <w:r w:rsidRPr="00FF652F">
        <w:t>At “Treatment of Substantive Changes,” syntax was changed for clarity</w:t>
      </w:r>
      <w:r w:rsidR="005831AB">
        <w:t>.</w:t>
      </w:r>
    </w:p>
    <w:p w14:paraId="56355BE7" w14:textId="2C293CF1" w:rsidR="004A0294" w:rsidRPr="00FF652F" w:rsidRDefault="004A0294" w:rsidP="00B00D41">
      <w:pPr>
        <w:pStyle w:val="ListParagraph"/>
        <w:numPr>
          <w:ilvl w:val="1"/>
          <w:numId w:val="36"/>
        </w:numPr>
        <w:spacing w:before="120" w:line="259" w:lineRule="auto"/>
        <w:ind w:left="1080"/>
        <w:contextualSpacing w:val="0"/>
      </w:pPr>
      <w:r w:rsidRPr="00FF652F">
        <w:t>“Vote” was changed to “pol</w:t>
      </w:r>
      <w:r w:rsidR="00FF652F">
        <w:t>l</w:t>
      </w:r>
      <w:r w:rsidRPr="00FF652F">
        <w:t>”</w:t>
      </w:r>
      <w:r w:rsidR="005831AB">
        <w:t>.</w:t>
      </w:r>
    </w:p>
    <w:p w14:paraId="58138003" w14:textId="56CA6846" w:rsidR="004A0294" w:rsidRPr="00FF652F" w:rsidRDefault="004A0294" w:rsidP="00B00D41">
      <w:pPr>
        <w:pStyle w:val="ListParagraph"/>
        <w:numPr>
          <w:ilvl w:val="1"/>
          <w:numId w:val="36"/>
        </w:numPr>
        <w:spacing w:before="120" w:line="259" w:lineRule="auto"/>
        <w:ind w:left="1080"/>
        <w:contextualSpacing w:val="0"/>
      </w:pPr>
      <w:r w:rsidRPr="00FF652F">
        <w:lastRenderedPageBreak/>
        <w:t>At “Treatment of Non-substantive Changes,” staff is empowered to make non-substantive changes without convening a WSC meeting</w:t>
      </w:r>
      <w:r w:rsidR="005831AB">
        <w:t>.</w:t>
      </w:r>
    </w:p>
    <w:p w14:paraId="7F22DDC9" w14:textId="55DA7FFB" w:rsidR="004A0294" w:rsidRPr="00FF652F" w:rsidRDefault="004A0294" w:rsidP="00B00D41">
      <w:pPr>
        <w:pStyle w:val="ListParagraph"/>
        <w:numPr>
          <w:ilvl w:val="1"/>
          <w:numId w:val="36"/>
        </w:numPr>
        <w:spacing w:before="120" w:line="259" w:lineRule="auto"/>
        <w:ind w:left="1080"/>
        <w:contextualSpacing w:val="0"/>
      </w:pPr>
      <w:r w:rsidRPr="00FF652F">
        <w:t>At “WECC Regional Criteria,” staff is empowered to make non-substantive changes without convening a WSC meeting</w:t>
      </w:r>
      <w:r w:rsidR="005831AB">
        <w:t>.</w:t>
      </w:r>
      <w:r w:rsidRPr="00FF652F">
        <w:t xml:space="preserve"> </w:t>
      </w:r>
    </w:p>
    <w:p w14:paraId="77A35B08" w14:textId="77777777" w:rsidR="004A0294" w:rsidRPr="008C1473" w:rsidRDefault="004A0294" w:rsidP="00B00D41">
      <w:pPr>
        <w:pStyle w:val="ListParagraph"/>
        <w:numPr>
          <w:ilvl w:val="0"/>
          <w:numId w:val="36"/>
        </w:numPr>
        <w:spacing w:before="120" w:line="259" w:lineRule="auto"/>
        <w:contextualSpacing w:val="0"/>
        <w:rPr>
          <w:b/>
        </w:rPr>
      </w:pPr>
      <w:r w:rsidRPr="008C1473">
        <w:rPr>
          <w:b/>
        </w:rPr>
        <w:t>Step 7 Submit Proposed Draft to the WSC with a Request for Ballot</w:t>
      </w:r>
    </w:p>
    <w:p w14:paraId="50E83B37" w14:textId="6987D1B7" w:rsidR="004A0294" w:rsidRPr="00FF652F" w:rsidRDefault="004A0294" w:rsidP="00B00D41">
      <w:pPr>
        <w:pStyle w:val="ListParagraph"/>
        <w:numPr>
          <w:ilvl w:val="1"/>
          <w:numId w:val="36"/>
        </w:numPr>
        <w:spacing w:before="120" w:line="259" w:lineRule="auto"/>
        <w:ind w:left="1080"/>
        <w:contextualSpacing w:val="0"/>
      </w:pPr>
      <w:r w:rsidRPr="00FF652F">
        <w:t>No change</w:t>
      </w:r>
      <w:r w:rsidR="005831AB">
        <w:t>.</w:t>
      </w:r>
    </w:p>
    <w:p w14:paraId="783489D0" w14:textId="77777777" w:rsidR="004A0294" w:rsidRPr="008C1473" w:rsidRDefault="004A0294" w:rsidP="00B00D41">
      <w:pPr>
        <w:pStyle w:val="ListParagraph"/>
        <w:numPr>
          <w:ilvl w:val="0"/>
          <w:numId w:val="36"/>
        </w:numPr>
        <w:spacing w:before="120" w:line="259" w:lineRule="auto"/>
        <w:contextualSpacing w:val="0"/>
        <w:rPr>
          <w:b/>
        </w:rPr>
      </w:pPr>
      <w:r w:rsidRPr="008C1473">
        <w:rPr>
          <w:b/>
        </w:rPr>
        <w:t>Step 8 Convene a Standards Briefing</w:t>
      </w:r>
    </w:p>
    <w:p w14:paraId="1297F2CA" w14:textId="3ADE0A7C" w:rsidR="004A0294" w:rsidRPr="00FF652F" w:rsidRDefault="004A0294" w:rsidP="00B00D41">
      <w:pPr>
        <w:pStyle w:val="ListParagraph"/>
        <w:numPr>
          <w:ilvl w:val="1"/>
          <w:numId w:val="36"/>
        </w:numPr>
        <w:spacing w:before="120" w:line="259" w:lineRule="auto"/>
        <w:ind w:left="1080"/>
        <w:contextualSpacing w:val="0"/>
      </w:pPr>
      <w:r w:rsidRPr="00FF652F">
        <w:t>The notice period was shortened to seven days. Historically, Standards Briefings are low-profile with no controversy. Expedites administration</w:t>
      </w:r>
      <w:r w:rsidR="005831AB">
        <w:t>.</w:t>
      </w:r>
      <w:r w:rsidRPr="00FF652F">
        <w:t xml:space="preserve">  </w:t>
      </w:r>
    </w:p>
    <w:p w14:paraId="6A49FD88" w14:textId="77777777" w:rsidR="004A0294" w:rsidRPr="008C1473" w:rsidRDefault="004A0294" w:rsidP="00B00D41">
      <w:pPr>
        <w:pStyle w:val="ListParagraph"/>
        <w:numPr>
          <w:ilvl w:val="0"/>
          <w:numId w:val="36"/>
        </w:numPr>
        <w:spacing w:before="120" w:line="259" w:lineRule="auto"/>
        <w:contextualSpacing w:val="0"/>
        <w:rPr>
          <w:b/>
        </w:rPr>
      </w:pPr>
      <w:r w:rsidRPr="008C1473">
        <w:rPr>
          <w:b/>
        </w:rPr>
        <w:t>Step 9 Form the Ballot Pool and Ballot the Standard</w:t>
      </w:r>
    </w:p>
    <w:p w14:paraId="3390358E" w14:textId="004CBA8B" w:rsidR="004A0294" w:rsidRPr="00FF652F" w:rsidRDefault="004A0294" w:rsidP="00B00D41">
      <w:pPr>
        <w:pStyle w:val="ListParagraph"/>
        <w:numPr>
          <w:ilvl w:val="1"/>
          <w:numId w:val="36"/>
        </w:numPr>
        <w:spacing w:before="120" w:line="259" w:lineRule="auto"/>
        <w:ind w:left="1080"/>
        <w:contextualSpacing w:val="0"/>
      </w:pPr>
      <w:r w:rsidRPr="00FF652F">
        <w:t>Additional decision-making authority is provided to Director of Standards (DOS) and the WSC. The WSC is proficient to read a description and make the call without convening a Board meeting</w:t>
      </w:r>
      <w:r w:rsidR="005831AB">
        <w:t>.</w:t>
      </w:r>
    </w:p>
    <w:p w14:paraId="3E6358AF" w14:textId="1D82A5D5" w:rsidR="004A0294" w:rsidRPr="00FF652F" w:rsidRDefault="004A0294" w:rsidP="00B00D41">
      <w:pPr>
        <w:pStyle w:val="ListParagraph"/>
        <w:numPr>
          <w:ilvl w:val="1"/>
          <w:numId w:val="36"/>
        </w:numPr>
        <w:spacing w:before="120" w:line="259" w:lineRule="auto"/>
        <w:ind w:left="1080"/>
        <w:contextualSpacing w:val="0"/>
      </w:pPr>
      <w:r w:rsidRPr="00FF652F">
        <w:t xml:space="preserve">Clarification </w:t>
      </w:r>
      <w:r w:rsidR="005831AB">
        <w:t>was</w:t>
      </w:r>
      <w:r w:rsidRPr="00FF652F">
        <w:t xml:space="preserve"> added</w:t>
      </w:r>
      <w:r w:rsidR="005831AB">
        <w:t>.</w:t>
      </w:r>
    </w:p>
    <w:p w14:paraId="044E1216" w14:textId="55DF4359" w:rsidR="004A0294" w:rsidRPr="00FF652F" w:rsidRDefault="004A0294" w:rsidP="00B00D41">
      <w:pPr>
        <w:pStyle w:val="ListParagraph"/>
        <w:numPr>
          <w:ilvl w:val="1"/>
          <w:numId w:val="36"/>
        </w:numPr>
        <w:spacing w:before="120" w:line="259" w:lineRule="auto"/>
        <w:ind w:left="1080"/>
        <w:contextualSpacing w:val="0"/>
      </w:pPr>
      <w:r w:rsidRPr="00FF652F">
        <w:t xml:space="preserve">The notice period </w:t>
      </w:r>
      <w:r w:rsidR="005831AB">
        <w:t>was</w:t>
      </w:r>
      <w:r w:rsidRPr="00FF652F">
        <w:t xml:space="preserve"> shortened </w:t>
      </w:r>
      <w:r w:rsidR="00AC792C">
        <w:t xml:space="preserve">from 60 </w:t>
      </w:r>
      <w:r w:rsidRPr="00FF652F">
        <w:t>to 45 days to expedite administration</w:t>
      </w:r>
      <w:r w:rsidR="005831AB">
        <w:t>.</w:t>
      </w:r>
      <w:r w:rsidRPr="00FF652F">
        <w:t xml:space="preserve"> </w:t>
      </w:r>
    </w:p>
    <w:p w14:paraId="421887AB" w14:textId="712792DB" w:rsidR="004A0294" w:rsidRPr="00FF652F" w:rsidRDefault="004A0294" w:rsidP="00B00D41">
      <w:pPr>
        <w:pStyle w:val="ListParagraph"/>
        <w:numPr>
          <w:ilvl w:val="1"/>
          <w:numId w:val="36"/>
        </w:numPr>
        <w:spacing w:before="120" w:line="259" w:lineRule="auto"/>
        <w:ind w:left="1080"/>
        <w:contextualSpacing w:val="0"/>
      </w:pPr>
      <w:r w:rsidRPr="00FF652F">
        <w:t xml:space="preserve">The phrase “good cause” </w:t>
      </w:r>
      <w:r w:rsidR="005831AB">
        <w:t>was</w:t>
      </w:r>
      <w:r w:rsidRPr="00FF652F">
        <w:t xml:space="preserve"> deleted because it is ambiguous</w:t>
      </w:r>
      <w:r w:rsidR="005831AB">
        <w:t>.</w:t>
      </w:r>
      <w:r w:rsidRPr="00FF652F">
        <w:t xml:space="preserve"> </w:t>
      </w:r>
    </w:p>
    <w:p w14:paraId="4219955F" w14:textId="68D5930D" w:rsidR="004A0294" w:rsidRPr="00FF652F" w:rsidRDefault="004A0294" w:rsidP="00B00D41">
      <w:pPr>
        <w:pStyle w:val="ListParagraph"/>
        <w:numPr>
          <w:ilvl w:val="1"/>
          <w:numId w:val="36"/>
        </w:numPr>
        <w:spacing w:before="120" w:line="259" w:lineRule="auto"/>
        <w:ind w:left="1080"/>
        <w:contextualSpacing w:val="0"/>
      </w:pPr>
      <w:r w:rsidRPr="00FF652F">
        <w:t>A new section “Treatment of Abstentions and Explanatory Narrative during Ballot” was added to incorporate the WSC guideline</w:t>
      </w:r>
      <w:r w:rsidR="005831AB">
        <w:t>.</w:t>
      </w:r>
    </w:p>
    <w:p w14:paraId="6A8426B7" w14:textId="795F6063" w:rsidR="004A0294" w:rsidRPr="00FF652F" w:rsidRDefault="004A0294" w:rsidP="00B00D41">
      <w:pPr>
        <w:pStyle w:val="ListParagraph"/>
        <w:numPr>
          <w:ilvl w:val="1"/>
          <w:numId w:val="36"/>
        </w:numPr>
        <w:spacing w:before="120" w:line="259" w:lineRule="auto"/>
        <w:ind w:left="1080"/>
        <w:contextualSpacing w:val="0"/>
      </w:pPr>
      <w:r w:rsidRPr="00FF652F">
        <w:lastRenderedPageBreak/>
        <w:t>A large portion of this section was redrafted for clarity</w:t>
      </w:r>
      <w:r w:rsidR="005831AB">
        <w:t>.</w:t>
      </w:r>
      <w:r w:rsidRPr="00FF652F">
        <w:t xml:space="preserve"> </w:t>
      </w:r>
    </w:p>
    <w:p w14:paraId="6ACE2613" w14:textId="0656F6D8" w:rsidR="004A0294" w:rsidRPr="008C1473" w:rsidRDefault="004A0294" w:rsidP="00B00D41">
      <w:pPr>
        <w:pStyle w:val="ListParagraph"/>
        <w:numPr>
          <w:ilvl w:val="0"/>
          <w:numId w:val="36"/>
        </w:numPr>
        <w:spacing w:before="120" w:line="259" w:lineRule="auto"/>
        <w:contextualSpacing w:val="0"/>
        <w:rPr>
          <w:b/>
        </w:rPr>
      </w:pPr>
      <w:r w:rsidRPr="008C1473">
        <w:rPr>
          <w:b/>
        </w:rPr>
        <w:t>Step 10 Initiate the Appeals Process</w:t>
      </w:r>
      <w:r w:rsidR="00AC792C">
        <w:rPr>
          <w:b/>
        </w:rPr>
        <w:t xml:space="preserve"> </w:t>
      </w:r>
      <w:r w:rsidRPr="008C1473">
        <w:rPr>
          <w:b/>
        </w:rPr>
        <w:t>—</w:t>
      </w:r>
      <w:r w:rsidR="00AC792C">
        <w:rPr>
          <w:b/>
        </w:rPr>
        <w:t xml:space="preserve"> </w:t>
      </w:r>
      <w:r w:rsidRPr="008C1473">
        <w:rPr>
          <w:b/>
        </w:rPr>
        <w:t>If Needed</w:t>
      </w:r>
    </w:p>
    <w:p w14:paraId="0197A0D1" w14:textId="3627E30C" w:rsidR="004A0294" w:rsidRPr="00FF652F" w:rsidRDefault="004A0294" w:rsidP="00B00D41">
      <w:pPr>
        <w:pStyle w:val="ListParagraph"/>
        <w:numPr>
          <w:ilvl w:val="1"/>
          <w:numId w:val="36"/>
        </w:numPr>
        <w:spacing w:before="120" w:line="259" w:lineRule="auto"/>
        <w:ind w:left="1080"/>
        <w:contextualSpacing w:val="0"/>
      </w:pPr>
      <w:r w:rsidRPr="00FF652F">
        <w:t>WSC is permitted to approve forwarding a project immediately before providing it to the Board for approval</w:t>
      </w:r>
      <w:r w:rsidR="005831AB">
        <w:t>.</w:t>
      </w:r>
      <w:r w:rsidRPr="00FF652F">
        <w:t xml:space="preserve"> </w:t>
      </w:r>
    </w:p>
    <w:p w14:paraId="3101136C" w14:textId="77777777" w:rsidR="004A0294" w:rsidRPr="008C1473" w:rsidRDefault="004A0294" w:rsidP="00B00D41">
      <w:pPr>
        <w:pStyle w:val="ListParagraph"/>
        <w:numPr>
          <w:ilvl w:val="0"/>
          <w:numId w:val="36"/>
        </w:numPr>
        <w:spacing w:before="120" w:line="259" w:lineRule="auto"/>
        <w:contextualSpacing w:val="0"/>
        <w:rPr>
          <w:b/>
        </w:rPr>
      </w:pPr>
      <w:r w:rsidRPr="008C1473">
        <w:rPr>
          <w:b/>
        </w:rPr>
        <w:t>Step 11 Obtain Board Approval</w:t>
      </w:r>
    </w:p>
    <w:p w14:paraId="1152D122" w14:textId="1639E07C" w:rsidR="004A0294" w:rsidRPr="00FF652F" w:rsidRDefault="004A0294" w:rsidP="00B00D41">
      <w:pPr>
        <w:pStyle w:val="ListParagraph"/>
        <w:numPr>
          <w:ilvl w:val="1"/>
          <w:numId w:val="36"/>
        </w:numPr>
        <w:spacing w:before="120" w:line="259" w:lineRule="auto"/>
        <w:ind w:left="1080"/>
        <w:contextualSpacing w:val="0"/>
      </w:pPr>
      <w:r w:rsidRPr="00FF652F">
        <w:t xml:space="preserve">Remand is directed to the WSC as opposed to the </w:t>
      </w:r>
      <w:r w:rsidR="00AC792C">
        <w:t>DT</w:t>
      </w:r>
      <w:r w:rsidRPr="00FF652F">
        <w:t>. The WSC can then decide the next steps</w:t>
      </w:r>
      <w:r w:rsidR="005831AB">
        <w:t>.</w:t>
      </w:r>
      <w:r w:rsidRPr="00FF652F">
        <w:t xml:space="preserve"> </w:t>
      </w:r>
    </w:p>
    <w:p w14:paraId="312DBB7D" w14:textId="77777777" w:rsidR="004A0294" w:rsidRPr="008C1473" w:rsidRDefault="004A0294" w:rsidP="00B00D41">
      <w:pPr>
        <w:pStyle w:val="ListParagraph"/>
        <w:numPr>
          <w:ilvl w:val="0"/>
          <w:numId w:val="36"/>
        </w:numPr>
        <w:spacing w:before="120" w:line="259" w:lineRule="auto"/>
        <w:contextualSpacing w:val="0"/>
        <w:rPr>
          <w:b/>
        </w:rPr>
      </w:pPr>
      <w:r w:rsidRPr="008C1473">
        <w:rPr>
          <w:b/>
        </w:rPr>
        <w:t>Step 12 Submit for NERC and FERC Approval and Implementation</w:t>
      </w:r>
    </w:p>
    <w:p w14:paraId="427E7A19" w14:textId="6AC1595F" w:rsidR="004A0294" w:rsidRPr="00FF652F" w:rsidRDefault="004A0294" w:rsidP="00B00D41">
      <w:pPr>
        <w:pStyle w:val="ListParagraph"/>
        <w:numPr>
          <w:ilvl w:val="1"/>
          <w:numId w:val="36"/>
        </w:numPr>
        <w:spacing w:before="120" w:line="259" w:lineRule="auto"/>
        <w:ind w:left="1080"/>
        <w:contextualSpacing w:val="0"/>
      </w:pPr>
      <w:r w:rsidRPr="00FF652F">
        <w:t>This section can be deleted as superfluous to the WECC Delegation Agreement. It can be replaced by a simple sentence to that affect. If adopted, “Steps” will have to be renumbered</w:t>
      </w:r>
      <w:r w:rsidR="005831AB">
        <w:t>.</w:t>
      </w:r>
      <w:r w:rsidRPr="00FF652F">
        <w:t xml:space="preserve"> </w:t>
      </w:r>
    </w:p>
    <w:p w14:paraId="2AA4676E" w14:textId="77777777" w:rsidR="00A25038" w:rsidRDefault="00A25038">
      <w:pPr>
        <w:rPr>
          <w:b/>
        </w:rPr>
      </w:pPr>
      <w:r>
        <w:rPr>
          <w:b/>
        </w:rPr>
        <w:br w:type="page"/>
      </w:r>
    </w:p>
    <w:p w14:paraId="091EDE73" w14:textId="755DCD93" w:rsidR="004A0294" w:rsidRPr="008C1473" w:rsidRDefault="004A0294" w:rsidP="00B00D41">
      <w:pPr>
        <w:pStyle w:val="ListParagraph"/>
        <w:numPr>
          <w:ilvl w:val="0"/>
          <w:numId w:val="36"/>
        </w:numPr>
        <w:spacing w:before="120" w:line="259" w:lineRule="auto"/>
        <w:contextualSpacing w:val="0"/>
        <w:rPr>
          <w:b/>
        </w:rPr>
      </w:pPr>
      <w:r w:rsidRPr="008C1473">
        <w:rPr>
          <w:b/>
        </w:rPr>
        <w:lastRenderedPageBreak/>
        <w:t>Step 13 Retire a CRT</w:t>
      </w:r>
    </w:p>
    <w:p w14:paraId="004896FB" w14:textId="37A09325" w:rsidR="004A0294" w:rsidRPr="00FF652F" w:rsidRDefault="004A0294" w:rsidP="00B00D41">
      <w:pPr>
        <w:pStyle w:val="ListParagraph"/>
        <w:numPr>
          <w:ilvl w:val="1"/>
          <w:numId w:val="36"/>
        </w:numPr>
        <w:spacing w:before="120" w:line="259" w:lineRule="auto"/>
        <w:ind w:left="1080"/>
        <w:contextualSpacing w:val="0"/>
      </w:pPr>
      <w:r w:rsidRPr="00FF652F">
        <w:t>Since the WSC is a procedural oversight body and not SMEs on reliability, review by a DT is preferred</w:t>
      </w:r>
      <w:r w:rsidR="005831AB">
        <w:t>.</w:t>
      </w:r>
      <w:r w:rsidRPr="00FF652F">
        <w:t xml:space="preserve"> </w:t>
      </w:r>
    </w:p>
    <w:p w14:paraId="7BD4CD4F" w14:textId="6957DED5" w:rsidR="004A0294" w:rsidRPr="00FF652F" w:rsidRDefault="004A0294" w:rsidP="00B00D41">
      <w:pPr>
        <w:pStyle w:val="ListParagraph"/>
        <w:numPr>
          <w:ilvl w:val="1"/>
          <w:numId w:val="36"/>
        </w:numPr>
        <w:spacing w:before="120"/>
        <w:ind w:left="1080"/>
        <w:contextualSpacing w:val="0"/>
      </w:pPr>
      <w:r w:rsidRPr="00FF652F">
        <w:t>The 14-day notice requirement can be eliminated if the above language is adopted</w:t>
      </w:r>
      <w:r w:rsidR="00FF652F">
        <w:t>.</w:t>
      </w:r>
      <w:r w:rsidR="00021A24">
        <w:t xml:space="preserve"> </w:t>
      </w:r>
      <w:r w:rsidRPr="00FF652F">
        <w:t>Notice will be provided via the DT announcements</w:t>
      </w:r>
      <w:r w:rsidR="005831AB">
        <w:t>.</w:t>
      </w:r>
    </w:p>
    <w:p w14:paraId="2DD53D66" w14:textId="77777777" w:rsidR="004A0294" w:rsidRPr="008C1473" w:rsidRDefault="004A0294" w:rsidP="00B00D41">
      <w:pPr>
        <w:pStyle w:val="ListParagraph"/>
        <w:numPr>
          <w:ilvl w:val="0"/>
          <w:numId w:val="36"/>
        </w:numPr>
        <w:spacing w:before="120" w:line="259" w:lineRule="auto"/>
        <w:contextualSpacing w:val="0"/>
        <w:rPr>
          <w:b/>
        </w:rPr>
      </w:pPr>
      <w:r w:rsidRPr="008C1473">
        <w:rPr>
          <w:b/>
        </w:rPr>
        <w:t>Step 14 Submit a Request for Interpretation</w:t>
      </w:r>
    </w:p>
    <w:p w14:paraId="68A130EB" w14:textId="10F41649" w:rsidR="004A0294" w:rsidRPr="00FF652F" w:rsidRDefault="004A0294" w:rsidP="00B00D41">
      <w:pPr>
        <w:pStyle w:val="ListParagraph"/>
        <w:numPr>
          <w:ilvl w:val="1"/>
          <w:numId w:val="36"/>
        </w:numPr>
        <w:spacing w:before="120" w:line="259" w:lineRule="auto"/>
        <w:ind w:left="1080"/>
        <w:contextualSpacing w:val="0"/>
      </w:pPr>
      <w:r w:rsidRPr="00FF652F">
        <w:t>Capitalization of Request for Interpretation</w:t>
      </w:r>
      <w:r w:rsidR="005831AB">
        <w:t>.</w:t>
      </w:r>
    </w:p>
    <w:p w14:paraId="0ADE906D" w14:textId="3235AD63" w:rsidR="004A0294" w:rsidRPr="00FF652F" w:rsidRDefault="004A0294" w:rsidP="00B00D41">
      <w:pPr>
        <w:pStyle w:val="ListParagraph"/>
        <w:numPr>
          <w:ilvl w:val="1"/>
          <w:numId w:val="36"/>
        </w:numPr>
        <w:spacing w:before="120" w:line="259" w:lineRule="auto"/>
        <w:ind w:left="1080"/>
        <w:contextualSpacing w:val="0"/>
      </w:pPr>
      <w:r w:rsidRPr="00FF652F">
        <w:t>Syntax changes were made for clarity</w:t>
      </w:r>
      <w:r w:rsidR="005831AB">
        <w:t>.</w:t>
      </w:r>
      <w:r w:rsidRPr="00FF652F">
        <w:t xml:space="preserve"> </w:t>
      </w:r>
    </w:p>
    <w:p w14:paraId="17574C0A" w14:textId="77777777" w:rsidR="004A0294" w:rsidRPr="008C1473" w:rsidRDefault="004A0294" w:rsidP="00B00D41">
      <w:pPr>
        <w:pStyle w:val="ListParagraph"/>
        <w:numPr>
          <w:ilvl w:val="0"/>
          <w:numId w:val="36"/>
        </w:numPr>
        <w:spacing w:before="120" w:line="259" w:lineRule="auto"/>
        <w:contextualSpacing w:val="0"/>
        <w:rPr>
          <w:b/>
        </w:rPr>
      </w:pPr>
      <w:r w:rsidRPr="008C1473">
        <w:rPr>
          <w:b/>
        </w:rPr>
        <w:t>Supporting Processes</w:t>
      </w:r>
    </w:p>
    <w:p w14:paraId="0B0CD615" w14:textId="498D4EFE" w:rsidR="004A0294" w:rsidRPr="00FF652F" w:rsidRDefault="004A0294" w:rsidP="00B00D41">
      <w:pPr>
        <w:pStyle w:val="ListParagraph"/>
        <w:numPr>
          <w:ilvl w:val="1"/>
          <w:numId w:val="36"/>
        </w:numPr>
        <w:spacing w:before="120" w:line="259" w:lineRule="auto"/>
        <w:ind w:left="1080"/>
        <w:contextualSpacing w:val="0"/>
      </w:pPr>
      <w:r w:rsidRPr="00FF652F">
        <w:t>No change</w:t>
      </w:r>
      <w:r w:rsidR="005831AB">
        <w:t>.</w:t>
      </w:r>
      <w:r w:rsidRPr="00FF652F">
        <w:t xml:space="preserve"> </w:t>
      </w:r>
    </w:p>
    <w:p w14:paraId="067D8AD2" w14:textId="77777777" w:rsidR="004A0294" w:rsidRPr="008C1473" w:rsidRDefault="004A0294" w:rsidP="00B00D41">
      <w:pPr>
        <w:pStyle w:val="ListParagraph"/>
        <w:numPr>
          <w:ilvl w:val="0"/>
          <w:numId w:val="36"/>
        </w:numPr>
        <w:spacing w:before="120" w:line="259" w:lineRule="auto"/>
        <w:contextualSpacing w:val="0"/>
        <w:rPr>
          <w:b/>
        </w:rPr>
      </w:pPr>
      <w:r w:rsidRPr="008C1473">
        <w:rPr>
          <w:b/>
        </w:rPr>
        <w:t>Maintenance of RRSs and CRTs</w:t>
      </w:r>
    </w:p>
    <w:p w14:paraId="19434DB1" w14:textId="6D42BA45" w:rsidR="004A0294" w:rsidRDefault="004A0294" w:rsidP="00B00D41">
      <w:pPr>
        <w:pStyle w:val="ListParagraph"/>
        <w:numPr>
          <w:ilvl w:val="1"/>
          <w:numId w:val="36"/>
        </w:numPr>
        <w:spacing w:before="120" w:line="259" w:lineRule="auto"/>
        <w:ind w:left="1080"/>
        <w:contextualSpacing w:val="0"/>
      </w:pPr>
      <w:r>
        <w:t>Language was added for clarification</w:t>
      </w:r>
      <w:r w:rsidR="005831AB">
        <w:t>.</w:t>
      </w:r>
    </w:p>
    <w:p w14:paraId="46084A01" w14:textId="10B67A96" w:rsidR="004A0294" w:rsidRDefault="004A0294" w:rsidP="00B00D41">
      <w:pPr>
        <w:pStyle w:val="ListParagraph"/>
        <w:numPr>
          <w:ilvl w:val="1"/>
          <w:numId w:val="36"/>
        </w:numPr>
        <w:spacing w:before="120" w:line="259" w:lineRule="auto"/>
        <w:ind w:left="1080"/>
        <w:contextualSpacing w:val="0"/>
      </w:pPr>
      <w:r>
        <w:t>The “how to” clause was removed</w:t>
      </w:r>
      <w:r w:rsidR="005831AB">
        <w:t>.</w:t>
      </w:r>
    </w:p>
    <w:p w14:paraId="722FCBE5" w14:textId="77777777" w:rsidR="003F426E" w:rsidRDefault="003F426E" w:rsidP="00D933A3"/>
    <w:bookmarkEnd w:id="1"/>
    <w:p w14:paraId="480213C9" w14:textId="30784467" w:rsidR="00BA0057" w:rsidRPr="00BA0057" w:rsidRDefault="00BA0057" w:rsidP="00BA0057">
      <w:pPr>
        <w:rPr>
          <w:rFonts w:ascii="Tahoma" w:hAnsi="Tahoma" w:cs="Tahoma"/>
          <w:b/>
          <w:sz w:val="22"/>
          <w:szCs w:val="22"/>
        </w:rPr>
      </w:pPr>
      <w:r w:rsidRPr="00BA0057">
        <w:rPr>
          <w:rFonts w:ascii="Tahoma" w:hAnsi="Tahoma" w:cs="Tahoma"/>
          <w:b/>
          <w:sz w:val="22"/>
          <w:szCs w:val="22"/>
        </w:rPr>
        <w:t>Background Information</w:t>
      </w:r>
    </w:p>
    <w:p w14:paraId="5A333F52" w14:textId="5709CE8C" w:rsidR="00581283" w:rsidRPr="00FA2437" w:rsidRDefault="00581283" w:rsidP="00581283">
      <w:pPr>
        <w:autoSpaceDE w:val="0"/>
        <w:autoSpaceDN w:val="0"/>
        <w:adjustRightInd w:val="0"/>
        <w:rPr>
          <w:rFonts w:ascii="Calibri" w:hAnsi="Calibri"/>
        </w:rPr>
      </w:pPr>
      <w:r w:rsidRPr="00FA2437">
        <w:rPr>
          <w:rFonts w:ascii="Calibri" w:hAnsi="Calibri"/>
        </w:rPr>
        <w:t>Each NERC Regional Entity (RE) has a</w:t>
      </w:r>
      <w:r w:rsidR="005831AB">
        <w:rPr>
          <w:rFonts w:ascii="Calibri" w:hAnsi="Calibri"/>
        </w:rPr>
        <w:t>n RSDP</w:t>
      </w:r>
      <w:r w:rsidRPr="00FA2437">
        <w:rPr>
          <w:rFonts w:ascii="Calibri" w:hAnsi="Calibri"/>
        </w:rPr>
        <w:t xml:space="preserve"> to define the steps in that region’s process for developing, revising, reaffirming, and withdrawing its regional reliability standards. Regional reliability standards must provide as much uniformity as possible with NERC’s continent-wide reliability standards. When regional reliability standards are approved by FERC and applicable authorities in Mexico and Canada, these standards are added to the body of NERC reliability standards that are enforced </w:t>
      </w:r>
      <w:r w:rsidRPr="00FA2437">
        <w:rPr>
          <w:rFonts w:ascii="Calibri" w:hAnsi="Calibri"/>
        </w:rPr>
        <w:lastRenderedPageBreak/>
        <w:t>upon all applicable bulk power system owners, operators, and users within the applicable area, regardless of membership in the region.</w:t>
      </w:r>
    </w:p>
    <w:p w14:paraId="7B112412" w14:textId="77777777" w:rsidR="00581283" w:rsidRPr="00BA0057" w:rsidRDefault="00581283" w:rsidP="00581283">
      <w:pPr>
        <w:rPr>
          <w:rFonts w:ascii="Calibri" w:hAnsi="Calibri"/>
        </w:rPr>
      </w:pPr>
    </w:p>
    <w:p w14:paraId="5BA1CD55" w14:textId="52A1692B" w:rsidR="00581283" w:rsidRPr="00FA2437" w:rsidRDefault="00581283" w:rsidP="00581283">
      <w:pPr>
        <w:rPr>
          <w:rFonts w:ascii="Calibri" w:hAnsi="Calibri"/>
        </w:rPr>
      </w:pPr>
      <w:r w:rsidRPr="00FA2437">
        <w:rPr>
          <w:rFonts w:ascii="Calibri" w:hAnsi="Calibri"/>
        </w:rPr>
        <w:t>Before approving a</w:t>
      </w:r>
      <w:r w:rsidR="005831AB">
        <w:rPr>
          <w:rFonts w:ascii="Calibri" w:hAnsi="Calibri"/>
        </w:rPr>
        <w:t>n</w:t>
      </w:r>
      <w:r w:rsidRPr="00FA2437">
        <w:rPr>
          <w:rFonts w:ascii="Calibri" w:hAnsi="Calibri"/>
        </w:rPr>
        <w:t xml:space="preserve"> RE’s </w:t>
      </w:r>
      <w:r w:rsidR="005831AB">
        <w:rPr>
          <w:rFonts w:ascii="Calibri" w:hAnsi="Calibri"/>
        </w:rPr>
        <w:t>RSDP</w:t>
      </w:r>
      <w:r w:rsidRPr="00FA2437">
        <w:rPr>
          <w:rFonts w:ascii="Calibri" w:hAnsi="Calibri"/>
        </w:rPr>
        <w:t xml:space="preserve">, NERC must post the procedure for comment. Evaluation of the proposed procedure includes identifying whether a proposed regional </w:t>
      </w:r>
      <w:r w:rsidR="005831AB">
        <w:rPr>
          <w:rFonts w:ascii="Calibri" w:hAnsi="Calibri"/>
        </w:rPr>
        <w:t>RSDP</w:t>
      </w:r>
      <w:r w:rsidRPr="00FA2437">
        <w:rPr>
          <w:rFonts w:ascii="Calibri" w:hAnsi="Calibri"/>
        </w:rPr>
        <w:t xml:space="preserve"> meets the criteria listed below. Each regional </w:t>
      </w:r>
      <w:r w:rsidR="005831AB">
        <w:rPr>
          <w:rFonts w:ascii="Calibri" w:hAnsi="Calibri"/>
        </w:rPr>
        <w:t>RSDP</w:t>
      </w:r>
      <w:r w:rsidRPr="00FA2437">
        <w:rPr>
          <w:rFonts w:ascii="Calibri" w:hAnsi="Calibri"/>
        </w:rPr>
        <w:t xml:space="preserve"> must meet </w:t>
      </w:r>
      <w:r w:rsidRPr="008B6D86">
        <w:rPr>
          <w:rFonts w:ascii="Calibri" w:hAnsi="Calibri"/>
        </w:rPr>
        <w:t>all of</w:t>
      </w:r>
      <w:r w:rsidRPr="00FA2437">
        <w:rPr>
          <w:rFonts w:ascii="Calibri" w:hAnsi="Calibri"/>
        </w:rPr>
        <w:t xml:space="preserve"> the following criteria:</w:t>
      </w:r>
    </w:p>
    <w:p w14:paraId="01EF23CE" w14:textId="77777777" w:rsidR="00BA0057" w:rsidRPr="00BA0057" w:rsidRDefault="00BA0057" w:rsidP="00BA0057">
      <w:pPr>
        <w:rPr>
          <w:rFonts w:ascii="Calibri" w:hAnsi="Calibri"/>
        </w:rPr>
      </w:pPr>
    </w:p>
    <w:p w14:paraId="4E3D4ACF" w14:textId="77777777" w:rsidR="00BA0057" w:rsidRPr="00BA0057" w:rsidRDefault="00BA0057" w:rsidP="005831AB">
      <w:pPr>
        <w:ind w:left="270"/>
        <w:rPr>
          <w:rFonts w:ascii="Calibri" w:hAnsi="Calibri"/>
        </w:rPr>
      </w:pPr>
      <w:r w:rsidRPr="00BA0057">
        <w:rPr>
          <w:rFonts w:ascii="Calibri" w:hAnsi="Calibri"/>
          <w:b/>
        </w:rPr>
        <w:t>Open</w:t>
      </w:r>
      <w:r w:rsidRPr="00BA0057">
        <w:rPr>
          <w:rFonts w:ascii="Calibri" w:hAnsi="Calibri"/>
        </w:rPr>
        <w:t xml:space="preserve"> — Regional reliability standards shall provide that any person or entity that is directly and materially affected by the reliability of the bulk power system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 </w:t>
      </w:r>
    </w:p>
    <w:p w14:paraId="206BD127" w14:textId="77777777" w:rsidR="00BA0057" w:rsidRPr="00BA0057" w:rsidRDefault="00BA0057" w:rsidP="005831AB">
      <w:pPr>
        <w:ind w:left="270"/>
        <w:rPr>
          <w:rFonts w:ascii="Calibri" w:hAnsi="Calibri"/>
        </w:rPr>
      </w:pPr>
    </w:p>
    <w:p w14:paraId="63438980" w14:textId="77777777" w:rsidR="00BA0057" w:rsidRPr="00BA0057" w:rsidRDefault="00BA0057" w:rsidP="005831AB">
      <w:pPr>
        <w:ind w:left="270"/>
        <w:rPr>
          <w:rFonts w:ascii="Calibri" w:hAnsi="Calibri"/>
          <w:b/>
        </w:rPr>
      </w:pPr>
      <w:r w:rsidRPr="00BA0057">
        <w:rPr>
          <w:rFonts w:ascii="Calibri" w:hAnsi="Calibri"/>
          <w:b/>
        </w:rPr>
        <w:t>Inclusive</w:t>
      </w:r>
      <w:r w:rsidRPr="00BA0057">
        <w:rPr>
          <w:rFonts w:ascii="Calibri" w:hAnsi="Calibri"/>
        </w:rP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BA0057" w:rsidDel="006C4402">
        <w:rPr>
          <w:rFonts w:ascii="Calibri" w:hAnsi="Calibri"/>
          <w:b/>
        </w:rPr>
        <w:t xml:space="preserve"> </w:t>
      </w:r>
    </w:p>
    <w:p w14:paraId="30FEE684" w14:textId="77777777" w:rsidR="00BA0057" w:rsidRPr="00BA0057" w:rsidRDefault="00BA0057" w:rsidP="00BA0057">
      <w:pPr>
        <w:rPr>
          <w:rFonts w:ascii="Calibri" w:hAnsi="Calibri"/>
        </w:rPr>
      </w:pPr>
    </w:p>
    <w:p w14:paraId="3DDE28D3" w14:textId="77777777" w:rsidR="00BA0057" w:rsidRPr="00BA0057" w:rsidRDefault="00BA0057" w:rsidP="005831AB">
      <w:pPr>
        <w:ind w:left="270"/>
        <w:rPr>
          <w:rFonts w:ascii="Calibri" w:hAnsi="Calibri"/>
        </w:rPr>
      </w:pPr>
      <w:r w:rsidRPr="00BA0057">
        <w:rPr>
          <w:rFonts w:ascii="Calibri" w:hAnsi="Calibri"/>
          <w:b/>
        </w:rPr>
        <w:t>Balanced</w:t>
      </w:r>
      <w:r w:rsidRPr="00BA0057">
        <w:rPr>
          <w:rFonts w:ascii="Calibri" w:hAnsi="Calibri"/>
        </w:rPr>
        <w:t xml:space="preserve"> — Regional reliability standards shall have a balance of interests and shall not be dominated by any two-interest categories and no single-interest category shall be able to defeat a matter. </w:t>
      </w:r>
    </w:p>
    <w:p w14:paraId="074422DF" w14:textId="77777777" w:rsidR="00425774" w:rsidRPr="00BA0057" w:rsidRDefault="00425774" w:rsidP="005831AB">
      <w:pPr>
        <w:ind w:left="270"/>
        <w:rPr>
          <w:rFonts w:ascii="Calibri" w:hAnsi="Calibri"/>
          <w:b/>
        </w:rPr>
      </w:pPr>
    </w:p>
    <w:p w14:paraId="02717A6F" w14:textId="77777777" w:rsidR="00BA0057" w:rsidRPr="00BA0057" w:rsidRDefault="00BA0057" w:rsidP="005831AB">
      <w:pPr>
        <w:ind w:left="270"/>
        <w:rPr>
          <w:rFonts w:ascii="Calibri" w:hAnsi="Calibri"/>
        </w:rPr>
      </w:pPr>
      <w:r w:rsidRPr="00BA0057">
        <w:rPr>
          <w:rFonts w:ascii="Calibri" w:hAnsi="Calibri"/>
          <w:b/>
        </w:rPr>
        <w:lastRenderedPageBreak/>
        <w:t>Due Process</w:t>
      </w:r>
      <w:r w:rsidRPr="00BA0057">
        <w:rPr>
          <w:rFonts w:ascii="Calibri" w:hAnsi="Calibri"/>
        </w:rPr>
        <w:t xml:space="preserve"> — Regional reliability standards shall provide for reasonable notice and opportunity for public comment. At a minimum, the standard shall include public notice of the intent to develop a standard, a public comment period on the proposed standard, due consideration of those public comments, and a ballot of interested stakeholders. </w:t>
      </w:r>
    </w:p>
    <w:p w14:paraId="56729FB5" w14:textId="77777777" w:rsidR="00BA0057" w:rsidRPr="00BA0057" w:rsidRDefault="00BA0057" w:rsidP="005831AB">
      <w:pPr>
        <w:ind w:left="270"/>
        <w:rPr>
          <w:rFonts w:ascii="Calibri" w:hAnsi="Calibri"/>
        </w:rPr>
      </w:pPr>
    </w:p>
    <w:p w14:paraId="0665C31E" w14:textId="69513EE2" w:rsidR="00BA0057" w:rsidRDefault="00BA0057" w:rsidP="005831AB">
      <w:pPr>
        <w:ind w:left="270"/>
        <w:rPr>
          <w:rFonts w:ascii="Calibri" w:hAnsi="Calibri"/>
          <w:b/>
        </w:rPr>
      </w:pPr>
      <w:r w:rsidRPr="00BA0057">
        <w:rPr>
          <w:rFonts w:ascii="Calibri" w:hAnsi="Calibri"/>
          <w:b/>
        </w:rPr>
        <w:t>Transparent</w:t>
      </w:r>
      <w:r w:rsidRPr="00BA0057">
        <w:rPr>
          <w:rFonts w:ascii="Calibri" w:hAnsi="Calibri"/>
        </w:rPr>
        <w:t xml:space="preserve"> — </w:t>
      </w:r>
      <w:proofErr w:type="gramStart"/>
      <w:r w:rsidRPr="00BA0057">
        <w:rPr>
          <w:rFonts w:ascii="Calibri" w:hAnsi="Calibri"/>
        </w:rPr>
        <w:t>All</w:t>
      </w:r>
      <w:proofErr w:type="gramEnd"/>
      <w:r w:rsidRPr="00BA0057">
        <w:rPr>
          <w:rFonts w:ascii="Calibri" w:hAnsi="Calibri"/>
        </w:rPr>
        <w:t xml:space="preserve"> actions material to the development of regional reliability standards shall be transparent. All standards development meetings shall be open and publicly noticed on the regional entity’s </w:t>
      </w:r>
      <w:r w:rsidR="002F78B3">
        <w:rPr>
          <w:rFonts w:ascii="Calibri" w:hAnsi="Calibri"/>
        </w:rPr>
        <w:t>w</w:t>
      </w:r>
      <w:r w:rsidRPr="00BA0057">
        <w:rPr>
          <w:rFonts w:ascii="Calibri" w:hAnsi="Calibri"/>
        </w:rPr>
        <w:t>ebsite.</w:t>
      </w:r>
      <w:r w:rsidRPr="00BA0057" w:rsidDel="006C4402">
        <w:rPr>
          <w:rFonts w:ascii="Calibri" w:hAnsi="Calibri"/>
          <w:b/>
        </w:rPr>
        <w:t xml:space="preserve"> </w:t>
      </w:r>
    </w:p>
    <w:p w14:paraId="1FD1B522" w14:textId="23A80FA4" w:rsidR="00A47EA0" w:rsidRDefault="00A47EA0">
      <w:pPr>
        <w:rPr>
          <w:rFonts w:ascii="Calibri" w:hAnsi="Calibri"/>
        </w:rPr>
      </w:pPr>
    </w:p>
    <w:p w14:paraId="22BA4D01" w14:textId="0BEE548A" w:rsidR="00BA0057" w:rsidRDefault="00BA0057" w:rsidP="00BA0057">
      <w:pPr>
        <w:rPr>
          <w:rFonts w:ascii="Calibri" w:hAnsi="Calibri"/>
        </w:rPr>
      </w:pPr>
      <w:r w:rsidRPr="00BA0057">
        <w:rPr>
          <w:rFonts w:ascii="Calibri" w:hAnsi="Calibri"/>
        </w:rPr>
        <w:t xml:space="preserve">Review the revised </w:t>
      </w:r>
      <w:r w:rsidR="003E57F0">
        <w:rPr>
          <w:rFonts w:ascii="Calibri" w:hAnsi="Calibri"/>
        </w:rPr>
        <w:t>Regional R</w:t>
      </w:r>
      <w:r w:rsidR="00AC792C">
        <w:rPr>
          <w:rFonts w:ascii="Calibri" w:hAnsi="Calibri"/>
        </w:rPr>
        <w:t>SDP</w:t>
      </w:r>
      <w:r w:rsidR="00AE3485">
        <w:rPr>
          <w:rFonts w:ascii="Calibri" w:hAnsi="Calibri"/>
        </w:rPr>
        <w:t xml:space="preserve"> </w:t>
      </w:r>
      <w:r w:rsidRPr="00BA0057">
        <w:rPr>
          <w:rFonts w:ascii="Calibri" w:hAnsi="Calibri"/>
        </w:rPr>
        <w:t>and answer the following questions.</w:t>
      </w:r>
    </w:p>
    <w:p w14:paraId="1C71CE25" w14:textId="551283A1" w:rsidR="00BA0057" w:rsidRPr="00BA0057" w:rsidRDefault="00BA0057" w:rsidP="00B00D41">
      <w:pPr>
        <w:numPr>
          <w:ilvl w:val="0"/>
          <w:numId w:val="26"/>
        </w:numPr>
        <w:spacing w:before="120"/>
        <w:rPr>
          <w:rFonts w:ascii="Calibri" w:hAnsi="Calibri"/>
        </w:rPr>
      </w:pPr>
      <w:r w:rsidRPr="00BA0057">
        <w:rPr>
          <w:rFonts w:ascii="Calibri" w:hAnsi="Calibri"/>
        </w:rPr>
        <w:t xml:space="preserve">Do you agree the </w:t>
      </w:r>
      <w:r w:rsidR="00AE3485">
        <w:rPr>
          <w:rFonts w:ascii="Calibri" w:hAnsi="Calibri"/>
        </w:rPr>
        <w:t xml:space="preserve">revised </w:t>
      </w:r>
      <w:r w:rsidR="00581283" w:rsidRPr="00AE3485">
        <w:rPr>
          <w:rFonts w:ascii="Calibri" w:hAnsi="Calibri"/>
        </w:rPr>
        <w:t>WECC RSDP</w:t>
      </w:r>
      <w:r w:rsidR="00AE3485">
        <w:rPr>
          <w:rFonts w:ascii="Calibri" w:hAnsi="Calibri"/>
          <w:i/>
        </w:rPr>
        <w:t xml:space="preserve"> </w:t>
      </w:r>
      <w:r w:rsidR="00AE3485" w:rsidRPr="00AE3485">
        <w:rPr>
          <w:rFonts w:ascii="Calibri" w:hAnsi="Calibri"/>
        </w:rPr>
        <w:t xml:space="preserve">continues to </w:t>
      </w:r>
      <w:r w:rsidRPr="00AE3485">
        <w:rPr>
          <w:rFonts w:ascii="Calibri" w:hAnsi="Calibri"/>
        </w:rPr>
        <w:t>me</w:t>
      </w:r>
      <w:r w:rsidR="00AE3485" w:rsidRPr="00AE3485">
        <w:rPr>
          <w:rFonts w:ascii="Calibri" w:hAnsi="Calibri"/>
        </w:rPr>
        <w:t>e</w:t>
      </w:r>
      <w:r w:rsidRPr="00AE3485">
        <w:rPr>
          <w:rFonts w:ascii="Calibri" w:hAnsi="Calibri"/>
        </w:rPr>
        <w:t>t</w:t>
      </w:r>
      <w:r w:rsidRPr="00BA0057">
        <w:rPr>
          <w:rFonts w:ascii="Calibri" w:hAnsi="Calibri"/>
        </w:rPr>
        <w:t xml:space="preserve"> the “Open” criteria as outlined above? If “No”, please exp</w:t>
      </w:r>
      <w:r w:rsidR="003E57F0">
        <w:rPr>
          <w:rFonts w:ascii="Calibri" w:hAnsi="Calibri"/>
        </w:rPr>
        <w:t>lain in the comment area below</w:t>
      </w:r>
      <w:r w:rsidR="0085109F">
        <w:rPr>
          <w:rFonts w:ascii="Calibri" w:hAnsi="Calibri"/>
        </w:rPr>
        <w:t>.</w:t>
      </w:r>
    </w:p>
    <w:p w14:paraId="54FE30DD" w14:textId="77777777" w:rsidR="00BA0057" w:rsidRPr="00BA0057" w:rsidRDefault="00BA0057" w:rsidP="0042577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85109F">
        <w:rPr>
          <w:rFonts w:ascii="Calibri" w:hAnsi="Calibri"/>
        </w:rPr>
      </w:r>
      <w:r w:rsidR="0085109F">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36A57CCE" w14:textId="77777777" w:rsidR="00BA0057" w:rsidRPr="00BA0057" w:rsidRDefault="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85109F">
        <w:rPr>
          <w:rFonts w:ascii="Calibri" w:hAnsi="Calibri"/>
        </w:rPr>
      </w:r>
      <w:r w:rsidR="0085109F">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5B1C19B" w14:textId="77777777" w:rsidR="00BA0057" w:rsidRDefault="00BA0057" w:rsidP="00B00D41">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0167BC31" w14:textId="66F3E6A6" w:rsidR="00BA0057" w:rsidRPr="00BA0057" w:rsidRDefault="00BA0057" w:rsidP="00B00D41">
      <w:pPr>
        <w:numPr>
          <w:ilvl w:val="0"/>
          <w:numId w:val="26"/>
        </w:numPr>
        <w:spacing w:before="120"/>
        <w:rPr>
          <w:rFonts w:ascii="Calibri" w:hAnsi="Calibri"/>
        </w:rPr>
      </w:pPr>
      <w:r w:rsidRPr="00BA0057">
        <w:rPr>
          <w:rFonts w:ascii="Calibri" w:hAnsi="Calibri"/>
        </w:rPr>
        <w:t xml:space="preserve">Do you agree the </w:t>
      </w:r>
      <w:r w:rsidR="00AE3485">
        <w:rPr>
          <w:rFonts w:ascii="Calibri" w:hAnsi="Calibri"/>
        </w:rPr>
        <w:t>revised</w:t>
      </w:r>
      <w:r w:rsidRPr="00BA0057">
        <w:rPr>
          <w:rFonts w:ascii="Calibri" w:hAnsi="Calibri"/>
        </w:rPr>
        <w:t xml:space="preserve"> </w:t>
      </w:r>
      <w:r w:rsidR="00581283" w:rsidRPr="00AE3485">
        <w:rPr>
          <w:rFonts w:ascii="Calibri" w:hAnsi="Calibri"/>
        </w:rPr>
        <w:t xml:space="preserve">WECC RSDP </w:t>
      </w:r>
      <w:r w:rsidR="00AE3485" w:rsidRPr="00AE3485">
        <w:rPr>
          <w:rFonts w:ascii="Calibri" w:hAnsi="Calibri"/>
        </w:rPr>
        <w:t>continues to</w:t>
      </w:r>
      <w:r w:rsidRPr="00AE3485">
        <w:rPr>
          <w:rFonts w:ascii="Calibri" w:hAnsi="Calibri"/>
        </w:rPr>
        <w:t xml:space="preserve"> m</w:t>
      </w:r>
      <w:r w:rsidR="00AE3485" w:rsidRPr="00AE3485">
        <w:rPr>
          <w:rFonts w:ascii="Calibri" w:hAnsi="Calibri"/>
        </w:rPr>
        <w:t>e</w:t>
      </w:r>
      <w:r w:rsidRPr="00AE3485">
        <w:rPr>
          <w:rFonts w:ascii="Calibri" w:hAnsi="Calibri"/>
        </w:rPr>
        <w:t>et</w:t>
      </w:r>
      <w:r w:rsidRPr="00BA0057">
        <w:rPr>
          <w:rFonts w:ascii="Calibri" w:hAnsi="Calibri"/>
        </w:rPr>
        <w:t xml:space="preserve"> the “Inclusive” criteria as outlined above? If “No”, please ex</w:t>
      </w:r>
      <w:r w:rsidR="0085109F">
        <w:rPr>
          <w:rFonts w:ascii="Calibri" w:hAnsi="Calibri"/>
        </w:rPr>
        <w:t>plain in the comment area below.</w:t>
      </w:r>
    </w:p>
    <w:p w14:paraId="03AB62AB" w14:textId="77777777" w:rsidR="00BA0057" w:rsidRPr="00BA0057" w:rsidRDefault="00BA0057" w:rsidP="0042577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85109F">
        <w:rPr>
          <w:rFonts w:ascii="Calibri" w:hAnsi="Calibri"/>
        </w:rPr>
      </w:r>
      <w:r w:rsidR="0085109F">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60F4FCCF" w14:textId="77777777" w:rsidR="00BA0057" w:rsidRPr="00BA0057" w:rsidRDefault="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85109F">
        <w:rPr>
          <w:rFonts w:ascii="Calibri" w:hAnsi="Calibri"/>
        </w:rPr>
      </w:r>
      <w:r w:rsidR="0085109F">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1936980" w14:textId="77777777" w:rsidR="00BA0057" w:rsidRDefault="00BA0057" w:rsidP="00B00D41">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4B88FE4F" w14:textId="0C246344" w:rsidR="00BA0057" w:rsidRPr="00BA0057" w:rsidRDefault="00BA0057" w:rsidP="00B00D41">
      <w:pPr>
        <w:numPr>
          <w:ilvl w:val="0"/>
          <w:numId w:val="26"/>
        </w:numPr>
        <w:spacing w:before="120"/>
        <w:rPr>
          <w:rFonts w:ascii="Calibri" w:hAnsi="Calibri"/>
        </w:rPr>
      </w:pPr>
      <w:r w:rsidRPr="00BA0057">
        <w:rPr>
          <w:rFonts w:ascii="Calibri" w:hAnsi="Calibri"/>
        </w:rPr>
        <w:t xml:space="preserve">Do you agree the </w:t>
      </w:r>
      <w:r w:rsidR="00AE3485">
        <w:rPr>
          <w:rFonts w:ascii="Calibri" w:hAnsi="Calibri"/>
        </w:rPr>
        <w:t>revised</w:t>
      </w:r>
      <w:r w:rsidRPr="00BA0057">
        <w:rPr>
          <w:rFonts w:ascii="Calibri" w:hAnsi="Calibri"/>
        </w:rPr>
        <w:t xml:space="preserve"> </w:t>
      </w:r>
      <w:r w:rsidR="00581283" w:rsidRPr="00AE3485">
        <w:rPr>
          <w:rFonts w:ascii="Calibri" w:hAnsi="Calibri"/>
        </w:rPr>
        <w:t>WECC RSDP</w:t>
      </w:r>
      <w:r w:rsidR="00AE3485" w:rsidRPr="00AE3485">
        <w:rPr>
          <w:rFonts w:ascii="Calibri" w:hAnsi="Calibri"/>
        </w:rPr>
        <w:t xml:space="preserve"> continues to</w:t>
      </w:r>
      <w:r w:rsidRPr="00AE3485">
        <w:rPr>
          <w:rFonts w:ascii="Calibri" w:hAnsi="Calibri"/>
        </w:rPr>
        <w:t xml:space="preserve"> m</w:t>
      </w:r>
      <w:r w:rsidR="00AE3485" w:rsidRPr="00AE3485">
        <w:rPr>
          <w:rFonts w:ascii="Calibri" w:hAnsi="Calibri"/>
        </w:rPr>
        <w:t>e</w:t>
      </w:r>
      <w:r w:rsidRPr="00AE3485">
        <w:rPr>
          <w:rFonts w:ascii="Calibri" w:hAnsi="Calibri"/>
        </w:rPr>
        <w:t>et</w:t>
      </w:r>
      <w:r w:rsidRPr="00BA0057">
        <w:rPr>
          <w:rFonts w:ascii="Calibri" w:hAnsi="Calibri"/>
        </w:rPr>
        <w:t xml:space="preserve"> the “Balanced” criteria as outlined above? If “No”, please explain in the comment</w:t>
      </w:r>
      <w:r w:rsidR="0085109F">
        <w:rPr>
          <w:rFonts w:ascii="Calibri" w:hAnsi="Calibri"/>
        </w:rPr>
        <w:t xml:space="preserve"> area below.</w:t>
      </w:r>
    </w:p>
    <w:p w14:paraId="6190F2CA" w14:textId="77777777" w:rsidR="00BA0057" w:rsidRPr="00BA0057" w:rsidRDefault="00BA0057" w:rsidP="00425774">
      <w:pPr>
        <w:keepNext/>
        <w:spacing w:before="120"/>
        <w:ind w:left="720"/>
        <w:rPr>
          <w:rFonts w:ascii="Calibri" w:hAnsi="Calibri"/>
        </w:rPr>
      </w:pPr>
      <w:r w:rsidRPr="00BA0057">
        <w:rPr>
          <w:rFonts w:ascii="Calibri" w:hAnsi="Calibri"/>
        </w:rPr>
        <w:lastRenderedPageBreak/>
        <w:fldChar w:fldCharType="begin">
          <w:ffData>
            <w:name w:val="Check4"/>
            <w:enabled/>
            <w:calcOnExit w:val="0"/>
            <w:checkBox>
              <w:sizeAuto/>
              <w:default w:val="0"/>
            </w:checkBox>
          </w:ffData>
        </w:fldChar>
      </w:r>
      <w:r w:rsidRPr="00BA0057">
        <w:rPr>
          <w:rFonts w:ascii="Calibri" w:hAnsi="Calibri"/>
        </w:rPr>
        <w:instrText xml:space="preserve"> FORMCHECKBOX </w:instrText>
      </w:r>
      <w:r w:rsidR="0085109F">
        <w:rPr>
          <w:rFonts w:ascii="Calibri" w:hAnsi="Calibri"/>
        </w:rPr>
      </w:r>
      <w:r w:rsidR="0085109F">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0BF2446" w14:textId="77777777" w:rsidR="00BA0057" w:rsidRPr="00BA0057" w:rsidRDefault="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85109F">
        <w:rPr>
          <w:rFonts w:ascii="Calibri" w:hAnsi="Calibri"/>
        </w:rPr>
      </w:r>
      <w:r w:rsidR="0085109F">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FDF52B2" w14:textId="77777777" w:rsidR="00BA0057" w:rsidRDefault="00BA0057" w:rsidP="00B00D41">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14:paraId="1D707971" w14:textId="0C1BCE67" w:rsidR="00BA0057" w:rsidRPr="00BA0057" w:rsidRDefault="00BA0057" w:rsidP="00B00D41">
      <w:pPr>
        <w:numPr>
          <w:ilvl w:val="0"/>
          <w:numId w:val="26"/>
        </w:numPr>
        <w:spacing w:before="120"/>
        <w:rPr>
          <w:rFonts w:ascii="Calibri" w:hAnsi="Calibri"/>
        </w:rPr>
      </w:pPr>
      <w:r w:rsidRPr="00BA0057">
        <w:rPr>
          <w:rFonts w:ascii="Calibri" w:hAnsi="Calibri"/>
        </w:rPr>
        <w:t>Do you agree the</w:t>
      </w:r>
      <w:r w:rsidR="00AE3485">
        <w:rPr>
          <w:rFonts w:ascii="Calibri" w:hAnsi="Calibri"/>
        </w:rPr>
        <w:t xml:space="preserve"> </w:t>
      </w:r>
      <w:r w:rsidR="00D129C0">
        <w:rPr>
          <w:rFonts w:ascii="Calibri" w:hAnsi="Calibri"/>
        </w:rPr>
        <w:t>revised</w:t>
      </w:r>
      <w:r w:rsidR="00D129C0" w:rsidRPr="00BA0057">
        <w:rPr>
          <w:rFonts w:ascii="Calibri" w:hAnsi="Calibri"/>
        </w:rPr>
        <w:t xml:space="preserve"> WECC</w:t>
      </w:r>
      <w:r w:rsidR="00581283" w:rsidRPr="00AE3485">
        <w:rPr>
          <w:rFonts w:ascii="Calibri" w:hAnsi="Calibri"/>
        </w:rPr>
        <w:t xml:space="preserve"> RSDP</w:t>
      </w:r>
      <w:r w:rsidR="00AE3485" w:rsidRPr="00AE3485">
        <w:rPr>
          <w:rFonts w:ascii="Calibri" w:hAnsi="Calibri"/>
        </w:rPr>
        <w:t xml:space="preserve"> continues to</w:t>
      </w:r>
      <w:r w:rsidR="00581283" w:rsidRPr="00AE3485">
        <w:rPr>
          <w:rFonts w:ascii="Calibri" w:hAnsi="Calibri"/>
        </w:rPr>
        <w:t xml:space="preserve"> </w:t>
      </w:r>
      <w:r w:rsidRPr="00AE3485">
        <w:rPr>
          <w:rFonts w:ascii="Calibri" w:hAnsi="Calibri"/>
        </w:rPr>
        <w:t>me</w:t>
      </w:r>
      <w:r w:rsidR="00AE3485" w:rsidRPr="00AE3485">
        <w:rPr>
          <w:rFonts w:ascii="Calibri" w:hAnsi="Calibri"/>
        </w:rPr>
        <w:t>e</w:t>
      </w:r>
      <w:r w:rsidRPr="00AE3485">
        <w:rPr>
          <w:rFonts w:ascii="Calibri" w:hAnsi="Calibri"/>
        </w:rPr>
        <w:t>t</w:t>
      </w:r>
      <w:r w:rsidRPr="00BA0057">
        <w:rPr>
          <w:rFonts w:ascii="Calibri" w:hAnsi="Calibri"/>
        </w:rPr>
        <w:t xml:space="preserve"> the “Due Process” criteria as outlined above? If “No”, please exp</w:t>
      </w:r>
      <w:r w:rsidR="0085109F">
        <w:rPr>
          <w:rFonts w:ascii="Calibri" w:hAnsi="Calibri"/>
        </w:rPr>
        <w:t>lain in the comment area below.</w:t>
      </w:r>
    </w:p>
    <w:p w14:paraId="7EEFB3FF" w14:textId="77777777" w:rsidR="00BA0057" w:rsidRPr="00BA0057" w:rsidRDefault="00BA0057" w:rsidP="0042577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85109F">
        <w:rPr>
          <w:rFonts w:ascii="Calibri" w:hAnsi="Calibri"/>
        </w:rPr>
      </w:r>
      <w:r w:rsidR="0085109F">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CD93692" w14:textId="77777777" w:rsidR="00BA0057" w:rsidRPr="00BA0057" w:rsidRDefault="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85109F">
        <w:rPr>
          <w:rFonts w:ascii="Calibri" w:hAnsi="Calibri"/>
        </w:rPr>
      </w:r>
      <w:r w:rsidR="0085109F">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40F5F79" w14:textId="77777777" w:rsidR="00BA0057" w:rsidRDefault="00BA0057" w:rsidP="00B00D41">
      <w:pPr>
        <w:spacing w:before="120"/>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3792D8EA" w14:textId="4C51C265" w:rsidR="00BA0057" w:rsidRPr="00BA0057" w:rsidRDefault="00BA0057" w:rsidP="00B00D41">
      <w:pPr>
        <w:numPr>
          <w:ilvl w:val="0"/>
          <w:numId w:val="26"/>
        </w:numPr>
        <w:spacing w:before="120"/>
        <w:rPr>
          <w:rFonts w:ascii="Calibri" w:hAnsi="Calibri"/>
        </w:rPr>
      </w:pPr>
      <w:r w:rsidRPr="00BA0057">
        <w:rPr>
          <w:rFonts w:ascii="Calibri" w:hAnsi="Calibri"/>
        </w:rPr>
        <w:t xml:space="preserve">Do you agree the </w:t>
      </w:r>
      <w:r w:rsidR="00AE3485">
        <w:rPr>
          <w:rFonts w:ascii="Calibri" w:hAnsi="Calibri"/>
        </w:rPr>
        <w:t>revised</w:t>
      </w:r>
      <w:r w:rsidRPr="00BA0057">
        <w:rPr>
          <w:rFonts w:ascii="Calibri" w:hAnsi="Calibri"/>
        </w:rPr>
        <w:t xml:space="preserve"> </w:t>
      </w:r>
      <w:r w:rsidR="00581283" w:rsidRPr="00AE3485">
        <w:rPr>
          <w:rFonts w:ascii="Calibri" w:hAnsi="Calibri"/>
        </w:rPr>
        <w:t>WECC RSDP</w:t>
      </w:r>
      <w:r w:rsidR="00AE3485" w:rsidRPr="00AE3485">
        <w:rPr>
          <w:rFonts w:ascii="Calibri" w:hAnsi="Calibri"/>
        </w:rPr>
        <w:t xml:space="preserve"> continues to meet</w:t>
      </w:r>
      <w:r w:rsidRPr="00BA0057">
        <w:rPr>
          <w:rFonts w:ascii="Calibri" w:hAnsi="Calibri"/>
        </w:rPr>
        <w:t xml:space="preserve"> the “Transparent” criteria as outlined above? If “No”, please exp</w:t>
      </w:r>
      <w:r w:rsidR="0085109F">
        <w:rPr>
          <w:rFonts w:ascii="Calibri" w:hAnsi="Calibri"/>
        </w:rPr>
        <w:t>lain in the comment area below.</w:t>
      </w:r>
      <w:bookmarkStart w:id="2" w:name="_GoBack"/>
      <w:bookmarkEnd w:id="2"/>
    </w:p>
    <w:p w14:paraId="179851D7" w14:textId="77777777" w:rsidR="00BA0057" w:rsidRPr="00BA0057" w:rsidRDefault="00BA0057" w:rsidP="00425774">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85109F">
        <w:rPr>
          <w:rFonts w:ascii="Calibri" w:hAnsi="Calibri"/>
        </w:rPr>
      </w:r>
      <w:r w:rsidR="0085109F">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9886DDC" w14:textId="77777777" w:rsidR="00BA0057" w:rsidRPr="00BA0057" w:rsidRDefault="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85109F">
        <w:rPr>
          <w:rFonts w:ascii="Calibri" w:hAnsi="Calibri"/>
        </w:rPr>
      </w:r>
      <w:r w:rsidR="0085109F">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6D5B9C73" w14:textId="2AE81532" w:rsidR="00C04EB3" w:rsidRDefault="00BA0057" w:rsidP="00B00D41">
      <w:pPr>
        <w:spacing w:before="120"/>
        <w:ind w:left="720"/>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sectPr w:rsidR="00C04EB3" w:rsidSect="00B00D41">
      <w:headerReference w:type="default" r:id="rId15"/>
      <w:footerReference w:type="default" r:id="rId16"/>
      <w:headerReference w:type="first" r:id="rId17"/>
      <w:footerReference w:type="first" r:id="rId18"/>
      <w:pgSz w:w="12240" w:h="15840" w:code="1"/>
      <w:pgMar w:top="1584" w:right="936" w:bottom="1008" w:left="936"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12FB7" w14:textId="77777777" w:rsidR="00D67CD8" w:rsidRDefault="00D67CD8">
      <w:r>
        <w:separator/>
      </w:r>
    </w:p>
  </w:endnote>
  <w:endnote w:type="continuationSeparator" w:id="0">
    <w:p w14:paraId="0AB7CE03" w14:textId="77777777" w:rsidR="00D67CD8" w:rsidRDefault="00D67CD8">
      <w:r>
        <w:continuationSeparator/>
      </w:r>
    </w:p>
  </w:endnote>
  <w:endnote w:type="continuationNotice" w:id="1">
    <w:p w14:paraId="321F3669" w14:textId="77777777" w:rsidR="00D67CD8" w:rsidRDefault="00D67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54D5" w14:textId="22C05E8C" w:rsidR="00785700" w:rsidRPr="00FA460E" w:rsidRDefault="00785700" w:rsidP="002A2B4F">
    <w:pPr>
      <w:pStyle w:val="Footer"/>
      <w:ind w:left="0" w:right="18"/>
    </w:pPr>
    <w:r w:rsidRPr="00BA0057">
      <w:t>Unofficial Comment Form</w:t>
    </w:r>
    <w:r w:rsidRPr="00BA0057">
      <w:br/>
    </w:r>
    <w:r w:rsidR="00D129C0">
      <w:t>WECC Reliability</w:t>
    </w:r>
    <w:r>
      <w:t xml:space="preserve"> Standard</w:t>
    </w:r>
    <w:r w:rsidR="00581283">
      <w:t xml:space="preserve">s Development </w:t>
    </w:r>
    <w:r w:rsidR="00D129C0">
      <w:t xml:space="preserve">Procedure </w:t>
    </w:r>
    <w:r w:rsidR="00D129C0" w:rsidRPr="00BA0057">
      <w:t>|</w:t>
    </w:r>
    <w:r w:rsidRPr="00BA0057">
      <w:t xml:space="preserve"> </w:t>
    </w:r>
    <w:r w:rsidR="00581283">
      <w:t xml:space="preserve">February-April 2021 </w:t>
    </w:r>
    <w:r>
      <w:tab/>
    </w:r>
    <w:r w:rsidRPr="001F176A">
      <w:fldChar w:fldCharType="begin"/>
    </w:r>
    <w:r w:rsidRPr="001F176A">
      <w:instrText xml:space="preserve"> PAGE </w:instrText>
    </w:r>
    <w:r w:rsidRPr="001F176A">
      <w:fldChar w:fldCharType="separate"/>
    </w:r>
    <w:r w:rsidR="0085109F">
      <w:rPr>
        <w:noProof/>
      </w:rPr>
      <w:t>4</w:t>
    </w:r>
    <w:r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0ED2" w14:textId="22C8E844" w:rsidR="003F426E" w:rsidRDefault="003F426E" w:rsidP="003F426E">
    <w:r>
      <w:rPr>
        <w:noProof/>
      </w:rPr>
      <w:drawing>
        <wp:anchor distT="0" distB="0" distL="114300" distR="114300" simplePos="0" relativeHeight="251660290" behindDoc="1" locked="0" layoutInCell="1" allowOverlap="1" wp14:anchorId="4B4378A6" wp14:editId="767856B6">
          <wp:simplePos x="0" y="0"/>
          <wp:positionH relativeFrom="margin">
            <wp:posOffset>-413385</wp:posOffset>
          </wp:positionH>
          <wp:positionV relativeFrom="page">
            <wp:posOffset>217170</wp:posOffset>
          </wp:positionV>
          <wp:extent cx="7408837" cy="4102443"/>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83C32B0" w14:textId="5D07956B" w:rsidR="00785700" w:rsidRPr="00B00D41" w:rsidRDefault="003F426E" w:rsidP="00B00D41">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56E88" w14:textId="77777777" w:rsidR="00D67CD8" w:rsidRDefault="00D67CD8">
      <w:r>
        <w:separator/>
      </w:r>
    </w:p>
  </w:footnote>
  <w:footnote w:type="continuationSeparator" w:id="0">
    <w:p w14:paraId="020539FB" w14:textId="77777777" w:rsidR="00D67CD8" w:rsidRDefault="00D67CD8">
      <w:r>
        <w:continuationSeparator/>
      </w:r>
    </w:p>
  </w:footnote>
  <w:footnote w:type="continuationNotice" w:id="1">
    <w:p w14:paraId="6DC96710" w14:textId="77777777" w:rsidR="00D67CD8" w:rsidRDefault="00D67C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0F3A9" w14:textId="77777777" w:rsidR="00785700" w:rsidRDefault="00785700">
    <w:r>
      <w:rPr>
        <w:noProof/>
      </w:rPr>
      <w:drawing>
        <wp:anchor distT="0" distB="0" distL="114300" distR="114300" simplePos="0" relativeHeight="251658242" behindDoc="1" locked="0" layoutInCell="1" allowOverlap="1" wp14:anchorId="1C82E652" wp14:editId="64CAA351">
          <wp:simplePos x="0" y="0"/>
          <wp:positionH relativeFrom="column">
            <wp:posOffset>-460404</wp:posOffset>
          </wp:positionH>
          <wp:positionV relativeFrom="page">
            <wp:posOffset>122308</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8C76" w14:textId="77777777" w:rsidR="00785700" w:rsidRDefault="00785700">
    <w:r>
      <w:rPr>
        <w:noProof/>
      </w:rPr>
      <w:drawing>
        <wp:anchor distT="0" distB="0" distL="114300" distR="114300" simplePos="0" relativeHeight="251658241" behindDoc="1" locked="0" layoutInCell="1" allowOverlap="1" wp14:anchorId="4CE837DC" wp14:editId="03B3E02C">
          <wp:simplePos x="0" y="0"/>
          <wp:positionH relativeFrom="column">
            <wp:posOffset>-428608</wp:posOffset>
          </wp:positionH>
          <wp:positionV relativeFrom="page">
            <wp:posOffset>164465</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B03EF"/>
    <w:multiLevelType w:val="hybridMultilevel"/>
    <w:tmpl w:val="491ACB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62A9A"/>
    <w:multiLevelType w:val="multilevel"/>
    <w:tmpl w:val="63E4A40E"/>
    <w:numStyleLink w:val="NERCListBullets"/>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02D6F83"/>
    <w:multiLevelType w:val="hybridMultilevel"/>
    <w:tmpl w:val="9DF4243A"/>
    <w:lvl w:ilvl="0" w:tplc="28BE7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030CCD"/>
    <w:multiLevelType w:val="hybridMultilevel"/>
    <w:tmpl w:val="6B7C0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1" w15:restartNumberingAfterBreak="0">
    <w:nsid w:val="42AC0069"/>
    <w:multiLevelType w:val="hybridMultilevel"/>
    <w:tmpl w:val="F5FC45F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3312BB"/>
    <w:multiLevelType w:val="hybridMultilevel"/>
    <w:tmpl w:val="FF203804"/>
    <w:lvl w:ilvl="0" w:tplc="EA1CD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D3F63"/>
    <w:multiLevelType w:val="hybridMultilevel"/>
    <w:tmpl w:val="0F4C3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5D3685"/>
    <w:multiLevelType w:val="multilevel"/>
    <w:tmpl w:val="63E4A40E"/>
    <w:numStyleLink w:val="NERCListBullets"/>
  </w:abstractNum>
  <w:abstractNum w:abstractNumId="25" w15:restartNumberingAfterBreak="0">
    <w:nsid w:val="53095826"/>
    <w:multiLevelType w:val="hybridMultilevel"/>
    <w:tmpl w:val="346EB8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C12B8"/>
    <w:multiLevelType w:val="hybridMultilevel"/>
    <w:tmpl w:val="C27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E7E484D"/>
    <w:multiLevelType w:val="hybridMultilevel"/>
    <w:tmpl w:val="01EE4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849FA"/>
    <w:multiLevelType w:val="hybridMultilevel"/>
    <w:tmpl w:val="6B3A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832C66"/>
    <w:multiLevelType w:val="multilevel"/>
    <w:tmpl w:val="63E4A40E"/>
    <w:numStyleLink w:val="NERCListBullets"/>
  </w:abstractNum>
  <w:abstractNum w:abstractNumId="32" w15:restartNumberingAfterBreak="0">
    <w:nsid w:val="64B70246"/>
    <w:multiLevelType w:val="hybridMultilevel"/>
    <w:tmpl w:val="CCE4C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5D73206"/>
    <w:multiLevelType w:val="hybridMultilevel"/>
    <w:tmpl w:val="29CA983C"/>
    <w:lvl w:ilvl="0" w:tplc="B3DEEA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1"/>
  </w:num>
  <w:num w:numId="3">
    <w:abstractNumId w:val="35"/>
  </w:num>
  <w:num w:numId="4">
    <w:abstractNumId w:val="14"/>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28"/>
  </w:num>
  <w:num w:numId="20">
    <w:abstractNumId w:val="24"/>
  </w:num>
  <w:num w:numId="21">
    <w:abstractNumId w:val="31"/>
  </w:num>
  <w:num w:numId="22">
    <w:abstractNumId w:val="13"/>
  </w:num>
  <w:num w:numId="23">
    <w:abstractNumId w:val="34"/>
  </w:num>
  <w:num w:numId="24">
    <w:abstractNumId w:val="12"/>
  </w:num>
  <w:num w:numId="25">
    <w:abstractNumId w:val="30"/>
  </w:num>
  <w:num w:numId="26">
    <w:abstractNumId w:val="18"/>
  </w:num>
  <w:num w:numId="27">
    <w:abstractNumId w:val="26"/>
  </w:num>
  <w:num w:numId="28">
    <w:abstractNumId w:val="22"/>
  </w:num>
  <w:num w:numId="29">
    <w:abstractNumId w:val="32"/>
  </w:num>
  <w:num w:numId="30">
    <w:abstractNumId w:val="29"/>
  </w:num>
  <w:num w:numId="31">
    <w:abstractNumId w:val="21"/>
  </w:num>
  <w:num w:numId="32">
    <w:abstractNumId w:val="23"/>
  </w:num>
  <w:num w:numId="33">
    <w:abstractNumId w:val="17"/>
  </w:num>
  <w:num w:numId="34">
    <w:abstractNumId w:val="33"/>
  </w:num>
  <w:num w:numId="35">
    <w:abstractNumId w:val="15"/>
  </w:num>
  <w:num w:numId="36">
    <w:abstractNumId w:val="2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27"/>
    <w:rsid w:val="00011D42"/>
    <w:rsid w:val="000149EA"/>
    <w:rsid w:val="00021A24"/>
    <w:rsid w:val="000232FC"/>
    <w:rsid w:val="000334DF"/>
    <w:rsid w:val="00045442"/>
    <w:rsid w:val="000A70BC"/>
    <w:rsid w:val="000B36CB"/>
    <w:rsid w:val="000B412D"/>
    <w:rsid w:val="000B7A04"/>
    <w:rsid w:val="000C0883"/>
    <w:rsid w:val="000D7162"/>
    <w:rsid w:val="000E3AB0"/>
    <w:rsid w:val="0011310A"/>
    <w:rsid w:val="0011386B"/>
    <w:rsid w:val="00136931"/>
    <w:rsid w:val="00155887"/>
    <w:rsid w:val="001574EA"/>
    <w:rsid w:val="0017342F"/>
    <w:rsid w:val="00185C24"/>
    <w:rsid w:val="001A5008"/>
    <w:rsid w:val="001E0118"/>
    <w:rsid w:val="001E2617"/>
    <w:rsid w:val="00223BC7"/>
    <w:rsid w:val="00283FB4"/>
    <w:rsid w:val="002A2B4F"/>
    <w:rsid w:val="002A78B9"/>
    <w:rsid w:val="002D6019"/>
    <w:rsid w:val="002E4C97"/>
    <w:rsid w:val="002E7434"/>
    <w:rsid w:val="002F78B3"/>
    <w:rsid w:val="00316985"/>
    <w:rsid w:val="003406F1"/>
    <w:rsid w:val="00366A96"/>
    <w:rsid w:val="00372CE6"/>
    <w:rsid w:val="0039275D"/>
    <w:rsid w:val="003948E2"/>
    <w:rsid w:val="003B6DF1"/>
    <w:rsid w:val="003E1C41"/>
    <w:rsid w:val="003E57F0"/>
    <w:rsid w:val="003F426E"/>
    <w:rsid w:val="00406EBC"/>
    <w:rsid w:val="00425774"/>
    <w:rsid w:val="00433039"/>
    <w:rsid w:val="00457486"/>
    <w:rsid w:val="004631BF"/>
    <w:rsid w:val="00464057"/>
    <w:rsid w:val="004800C7"/>
    <w:rsid w:val="004A0294"/>
    <w:rsid w:val="004B2D31"/>
    <w:rsid w:val="004B7DE3"/>
    <w:rsid w:val="004B7ED4"/>
    <w:rsid w:val="004D5B08"/>
    <w:rsid w:val="004E7B5C"/>
    <w:rsid w:val="004F4917"/>
    <w:rsid w:val="00502C8B"/>
    <w:rsid w:val="00510652"/>
    <w:rsid w:val="00513253"/>
    <w:rsid w:val="005316C6"/>
    <w:rsid w:val="005316F3"/>
    <w:rsid w:val="00552CB0"/>
    <w:rsid w:val="00555F79"/>
    <w:rsid w:val="00557919"/>
    <w:rsid w:val="00573832"/>
    <w:rsid w:val="00581283"/>
    <w:rsid w:val="00581BB0"/>
    <w:rsid w:val="005831AB"/>
    <w:rsid w:val="005A721A"/>
    <w:rsid w:val="005D3F72"/>
    <w:rsid w:val="005F272E"/>
    <w:rsid w:val="006164FE"/>
    <w:rsid w:val="00632127"/>
    <w:rsid w:val="00646D4A"/>
    <w:rsid w:val="00652754"/>
    <w:rsid w:val="00656825"/>
    <w:rsid w:val="00664B96"/>
    <w:rsid w:val="00665605"/>
    <w:rsid w:val="00667917"/>
    <w:rsid w:val="00693CC9"/>
    <w:rsid w:val="00694CD1"/>
    <w:rsid w:val="006B2751"/>
    <w:rsid w:val="006B3EC7"/>
    <w:rsid w:val="006C02AF"/>
    <w:rsid w:val="006C1F78"/>
    <w:rsid w:val="007254EA"/>
    <w:rsid w:val="007277E2"/>
    <w:rsid w:val="00736823"/>
    <w:rsid w:val="0074626C"/>
    <w:rsid w:val="0075698C"/>
    <w:rsid w:val="0076365D"/>
    <w:rsid w:val="007776DB"/>
    <w:rsid w:val="00785700"/>
    <w:rsid w:val="00791651"/>
    <w:rsid w:val="007C1460"/>
    <w:rsid w:val="007C3A33"/>
    <w:rsid w:val="007D618E"/>
    <w:rsid w:val="007E45B3"/>
    <w:rsid w:val="008042B9"/>
    <w:rsid w:val="00824C77"/>
    <w:rsid w:val="0085109F"/>
    <w:rsid w:val="008630C1"/>
    <w:rsid w:val="008720A6"/>
    <w:rsid w:val="008C1473"/>
    <w:rsid w:val="008C5D0A"/>
    <w:rsid w:val="008D0868"/>
    <w:rsid w:val="008F674A"/>
    <w:rsid w:val="008F768C"/>
    <w:rsid w:val="0092313A"/>
    <w:rsid w:val="0095499D"/>
    <w:rsid w:val="009549ED"/>
    <w:rsid w:val="009B380B"/>
    <w:rsid w:val="009D753D"/>
    <w:rsid w:val="009F770C"/>
    <w:rsid w:val="00A11D01"/>
    <w:rsid w:val="00A13C83"/>
    <w:rsid w:val="00A22C1B"/>
    <w:rsid w:val="00A25038"/>
    <w:rsid w:val="00A35DA7"/>
    <w:rsid w:val="00A47EA0"/>
    <w:rsid w:val="00A54A7B"/>
    <w:rsid w:val="00A6618C"/>
    <w:rsid w:val="00A6738A"/>
    <w:rsid w:val="00A815F1"/>
    <w:rsid w:val="00AA3DB2"/>
    <w:rsid w:val="00AB50DE"/>
    <w:rsid w:val="00AC792C"/>
    <w:rsid w:val="00AD41BD"/>
    <w:rsid w:val="00AE3485"/>
    <w:rsid w:val="00AF3D11"/>
    <w:rsid w:val="00B00D41"/>
    <w:rsid w:val="00B137E2"/>
    <w:rsid w:val="00B146D4"/>
    <w:rsid w:val="00B24EA6"/>
    <w:rsid w:val="00B375B5"/>
    <w:rsid w:val="00B67B62"/>
    <w:rsid w:val="00B7735C"/>
    <w:rsid w:val="00BA0057"/>
    <w:rsid w:val="00BA34E0"/>
    <w:rsid w:val="00BB5E88"/>
    <w:rsid w:val="00BC04CC"/>
    <w:rsid w:val="00BC10A6"/>
    <w:rsid w:val="00BD1C4B"/>
    <w:rsid w:val="00BE0DB4"/>
    <w:rsid w:val="00BE5580"/>
    <w:rsid w:val="00BF1D49"/>
    <w:rsid w:val="00C04EB3"/>
    <w:rsid w:val="00C07558"/>
    <w:rsid w:val="00C539E2"/>
    <w:rsid w:val="00C55059"/>
    <w:rsid w:val="00C657B9"/>
    <w:rsid w:val="00C661F0"/>
    <w:rsid w:val="00C73BB8"/>
    <w:rsid w:val="00C878C5"/>
    <w:rsid w:val="00C96094"/>
    <w:rsid w:val="00CC09A3"/>
    <w:rsid w:val="00CC32E7"/>
    <w:rsid w:val="00CC7BE7"/>
    <w:rsid w:val="00CD38FE"/>
    <w:rsid w:val="00CF705A"/>
    <w:rsid w:val="00D129C0"/>
    <w:rsid w:val="00D20C70"/>
    <w:rsid w:val="00D228D6"/>
    <w:rsid w:val="00D41A42"/>
    <w:rsid w:val="00D67CD8"/>
    <w:rsid w:val="00D933A3"/>
    <w:rsid w:val="00DA634C"/>
    <w:rsid w:val="00DB62EC"/>
    <w:rsid w:val="00DD09CB"/>
    <w:rsid w:val="00E6135B"/>
    <w:rsid w:val="00E95C93"/>
    <w:rsid w:val="00EA3E18"/>
    <w:rsid w:val="00EB72E2"/>
    <w:rsid w:val="00EF1D2A"/>
    <w:rsid w:val="00F06E1A"/>
    <w:rsid w:val="00F4013A"/>
    <w:rsid w:val="00F925E8"/>
    <w:rsid w:val="00FA460E"/>
    <w:rsid w:val="00FC22EA"/>
    <w:rsid w:val="00FC7B36"/>
    <w:rsid w:val="00FD012D"/>
    <w:rsid w:val="00FE70BB"/>
    <w:rsid w:val="00FF652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41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styleId="Revision">
    <w:name w:val="Revision"/>
    <w:hidden/>
    <w:uiPriority w:val="99"/>
    <w:semiHidden/>
    <w:rsid w:val="00E6135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3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0"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imberlin.harris@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s Informational Regional Postings Document" ma:contentTypeID="0x01010078EEA3ECF0D5C6409A451734D31E55AFD30092E4229B5CC3DF4794C62C2E6971FED9" ma:contentTypeVersion="93" ma:contentTypeDescription="Standards Informational Regional Postings Document" ma:contentTypeScope="" ma:versionID="c8470e096f29dbed401a4073bb5f2d2d">
  <xsd:schema xmlns:xsd="http://www.w3.org/2001/XMLSchema" xmlns:xs="http://www.w3.org/2001/XMLSchema" xmlns:p="http://schemas.microsoft.com/office/2006/metadata/properties" xmlns:ns1="http://schemas.microsoft.com/sharepoint/v3" xmlns:ns2="be72bb46-7b96-43f6-b3d2-cb56bca42853" targetNamespace="http://schemas.microsoft.com/office/2006/metadata/properties" ma:root="true" ma:fieldsID="d4a9ae0c44621b8ca57c7b6b0f20823d" ns1:_="" ns2:_="">
    <xsd:import namespace="http://schemas.microsoft.com/sharepoint/v3"/>
    <xsd:import namespace="be72bb46-7b96-43f6-b3d2-cb56bca42853"/>
    <xsd:element name="properties">
      <xsd:complexType>
        <xsd:sequence>
          <xsd:element name="documentManagement">
            <xsd:complexType>
              <xsd:all>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cdf3cbee94764e26944fe87dd551be11" minOccurs="0"/>
                <xsd:element ref="ns2:b5e10b6548044edaacad5f88270ba6b0" minOccurs="0"/>
                <xsd:element ref="ns2:TaxCatchAllLabel" minOccurs="0"/>
                <xsd:element ref="ns2:i5013ccc260249c3be6806cd239cc29d" minOccurs="0"/>
                <xsd:element ref="ns2:d2d98d20ea2f4b9fbd08e30e5defd993"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3"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Posting_x0020_Date" ma:index="6" nillable="true" ma:displayName="Posting Date" ma:format="DateOnly" ma:indexed="true" ma:internalName="Posting_x0020_Date">
      <xsd:simpleType>
        <xsd:restriction base="dms:DateTime"/>
      </xsd:simpleType>
    </xsd:element>
    <xsd:element name="Data_x0020_Classification_x0020_Restrictions" ma:index="9" nillable="true" ma:displayName="Additional Handling Instructions" ma:hidden="true" ma:internalName="Data_x0020_Classification_x0020_Restrictions" ma:readOnly="false">
      <xsd:simpleType>
        <xsd:restriction base="dms:Note"/>
      </xsd:simpleType>
    </xsd:element>
    <xsd:element name="To" ma:index="11" nillable="true" ma:displayName="To" ma:internalName="To">
      <xsd:simpleType>
        <xsd:restriction base="dms:Text">
          <xsd:maxLength value="255"/>
        </xsd:restriction>
      </xsd:simpleType>
    </xsd:element>
    <xsd:element name="From1" ma:index="12" nillable="true" ma:displayName="From" ma:internalName="From1">
      <xsd:simpleType>
        <xsd:restriction base="dms:Text">
          <xsd:maxLength value="255"/>
        </xsd:restriction>
      </xsd:simpleType>
    </xsd:element>
    <xsd:element name="Date_x0020_Received" ma:index="13" nillable="true" ma:displayName="Date Received" ma:format="DateOnly" ma:internalName="Date_x0020_Received" ma:readOnly="false">
      <xsd:simpleType>
        <xsd:restriction base="dms:DateTime"/>
      </xsd:simpleType>
    </xsd:element>
    <xsd:element name="Review_x0020_History" ma:index="14"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cdf3cbee94764e26944fe87dd551be11" ma:index="25"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b5e10b6548044edaacad5f88270ba6b0" ma:index="26"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i5013ccc260249c3be6806cd239cc29d" ma:index="28" nillable="true" ma:taxonomy="true" ma:internalName="i5013ccc260249c3be6806cd239cc29d" ma:taxonomyFieldName="Standard_x0020_Number" ma:displayName="Standard Number" ma:default="" ma:fieldId="{25013ccc-2602-49c3-be68-06cd239cc29d}" ma:sspId="9444bc9d-bb2e-441f-89a7-915ba9281662" ma:termSetId="7935d1c3-bed3-4812-a119-69afbb94d344" ma:anchorId="00000000-0000-0000-0000-000000000000" ma:open="false" ma:isKeyword="false">
      <xsd:complexType>
        <xsd:sequence>
          <xsd:element ref="pc:Terms" minOccurs="0" maxOccurs="1"/>
        </xsd:sequence>
      </xsd:complexType>
    </xsd:element>
    <xsd:element name="d2d98d20ea2f4b9fbd08e30e5defd993" ma:index="30" nillable="true" ma:taxonomy="true" ma:internalName="d2d98d20ea2f4b9fbd08e30e5defd993" ma:taxonomyFieldName="Standard_x0020_Project_x0020_Document_x0020_Type" ma:displayName="Standard Project Document Type" ma:default="" ma:fieldId="{d2d98d20-ea2f-4b9f-bd08-e30e5defd993}" ma:sspId="9444bc9d-bb2e-441f-89a7-915ba9281662" ma:termSetId="4ac567b7-b897-4399-8f98-c4df31c8e702" ma:anchorId="4eab505c-f6c6-4198-be14-296095c9dd21"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E361A-8285-4162-8C17-43D3114B1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1C4FF-0B3E-4AEF-9371-93FBC98C95A7}">
  <ds:schemaRefs>
    <ds:schemaRef ds:uri="http://schemas.microsoft.com/sharepoint/events"/>
  </ds:schemaRefs>
</ds:datastoreItem>
</file>

<file path=customXml/itemProps3.xml><?xml version="1.0" encoding="utf-8"?>
<ds:datastoreItem xmlns:ds="http://schemas.openxmlformats.org/officeDocument/2006/customXml" ds:itemID="{D0A05D2E-C5B7-4403-9A07-FB03C679163A}"/>
</file>

<file path=customXml/itemProps4.xml><?xml version="1.0" encoding="utf-8"?>
<ds:datastoreItem xmlns:ds="http://schemas.openxmlformats.org/officeDocument/2006/customXml" ds:itemID="{A66ACC4F-B6AE-45AA-B007-36A1475C3BDE}">
  <ds:schemaRefs>
    <ds:schemaRef ds:uri="http://schemas.microsoft.com/sharepoint/v3/contenttype/forms"/>
  </ds:schemaRefs>
</ds:datastoreItem>
</file>

<file path=customXml/itemProps5.xml><?xml version="1.0" encoding="utf-8"?>
<ds:datastoreItem xmlns:ds="http://schemas.openxmlformats.org/officeDocument/2006/customXml" ds:itemID="{1374C60F-4BE1-41A8-9D46-609161D941FF}">
  <ds:schemaRefs>
    <ds:schemaRef ds:uri="http://schemas.openxmlformats.org/package/2006/metadata/core-properties"/>
    <ds:schemaRef ds:uri="http://schemas.microsoft.com/sharepoint/v3"/>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be72bb46-7b96-43f6-b3d2-cb56bca42853"/>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BA384E37-903D-460F-B430-51DFAEAE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keywords/>
  <cp:lastModifiedBy/>
  <cp:revision>1</cp:revision>
  <dcterms:created xsi:type="dcterms:W3CDTF">2021-02-17T14:27:00Z</dcterms:created>
  <dcterms:modified xsi:type="dcterms:W3CDTF">2021-02-17T14:48:00Z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7df03a38-af21-4627-8e42-f6eac605ce2c</vt:lpwstr>
  </property>
  <property fmtid="{D5CDD505-2E9C-101B-9397-08002B2CF9AE}" pid="4" name="NERC Region">
    <vt:lpwstr>4996;#WECC|1c725e48-2a37-4361-af84-f717906fcf79</vt:lpwstr>
  </property>
  <property fmtid="{D5CDD505-2E9C-101B-9397-08002B2CF9AE}" pid="5" name="TaxKeyword">
    <vt:lpwstr/>
  </property>
  <property fmtid="{D5CDD505-2E9C-101B-9397-08002B2CF9AE}" pid="6" name="Standard Number">
    <vt:lpwstr/>
  </property>
  <property fmtid="{D5CDD505-2E9C-101B-9397-08002B2CF9AE}" pid="7" name="Standard Project Document Type">
    <vt:lpwstr>8723;#Unofficial Comment Form|6fe8d727-cebf-49ad-977b-6c39f718face</vt:lpwstr>
  </property>
  <property fmtid="{D5CDD505-2E9C-101B-9397-08002B2CF9AE}" pid="8" name="Data Classification">
    <vt:lpwstr>1;#Confidential - Internal|aa40a886-0bc0-4ba6-a22c-37ccbc8c9bd8</vt:lpwstr>
  </property>
  <property fmtid="{D5CDD505-2E9C-101B-9397-08002B2CF9AE}" pid="9" name="Document Status">
    <vt:lpwstr/>
  </property>
  <property fmtid="{D5CDD505-2E9C-101B-9397-08002B2CF9AE}" pid="10" name="_docset_NoMedatataSyncRequired">
    <vt:lpwstr>False</vt:lpwstr>
  </property>
  <property fmtid="{D5CDD505-2E9C-101B-9397-08002B2CF9AE}" pid="11" name="GS_AddingInProgress">
    <vt:lpwstr>True</vt:lpwstr>
  </property>
</Properties>
</file>