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B92780">
        <w:rPr>
          <w:b w:val="0"/>
          <w:sz w:val="32"/>
          <w:szCs w:val="32"/>
        </w:rPr>
        <w:t>Technical Rational</w:t>
      </w:r>
      <w:r w:rsidR="006835BC">
        <w:rPr>
          <w:b w:val="0"/>
          <w:sz w:val="32"/>
          <w:szCs w:val="32"/>
        </w:rPr>
        <w:t>e</w:t>
      </w:r>
      <w:r w:rsidR="00B92780">
        <w:rPr>
          <w:b w:val="0"/>
          <w:sz w:val="32"/>
          <w:szCs w:val="32"/>
        </w:rPr>
        <w:t xml:space="preserve"> for Reliability Standards</w:t>
      </w:r>
      <w:r w:rsidR="0000166A" w:rsidRPr="00833311">
        <w:rPr>
          <w:b w:val="0"/>
          <w:sz w:val="36"/>
          <w:szCs w:val="36"/>
        </w:rPr>
        <w:br/>
      </w:r>
    </w:p>
    <w:p w:rsidR="004A60CD" w:rsidRDefault="004A60CD" w:rsidP="00D52B3D">
      <w:pPr>
        <w:ind w:right="-162"/>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1" w:history="1">
        <w:r w:rsidR="00833311" w:rsidRPr="00271EE7">
          <w:rPr>
            <w:rStyle w:val="Hyperlink"/>
            <w:rFonts w:cs="Arial"/>
          </w:rPr>
          <w:t>electronic form</w:t>
        </w:r>
      </w:hyperlink>
      <w:r w:rsidR="00833311">
        <w:rPr>
          <w:rFonts w:cs="Arial"/>
        </w:rPr>
        <w:t xml:space="preserve"> </w:t>
      </w:r>
      <w:r>
        <w:rPr>
          <w:rFonts w:cs="Arial"/>
        </w:rPr>
        <w:t xml:space="preserve">to submit nominations </w:t>
      </w:r>
      <w:r w:rsidR="00833311">
        <w:rPr>
          <w:rFonts w:cs="Arial"/>
        </w:rPr>
        <w:t>by</w:t>
      </w:r>
      <w:r>
        <w:rPr>
          <w:rFonts w:cs="Arial"/>
        </w:rPr>
        <w:t xml:space="preserve"> </w:t>
      </w:r>
      <w:r w:rsidR="00663305">
        <w:rPr>
          <w:rStyle w:val="Strong"/>
          <w:rFonts w:ascii="Calibri" w:hAnsi="Calibri" w:cs="Arial"/>
        </w:rPr>
        <w:t xml:space="preserve">8 p.m. Eastern, </w:t>
      </w:r>
      <w:r w:rsidR="00271EE7">
        <w:rPr>
          <w:rStyle w:val="Strong"/>
          <w:rFonts w:ascii="Calibri" w:hAnsi="Calibri" w:cs="Arial"/>
        </w:rPr>
        <w:t xml:space="preserve">Friday, </w:t>
      </w:r>
      <w:r w:rsidR="00D52B3D">
        <w:rPr>
          <w:rStyle w:val="Strong"/>
          <w:rFonts w:ascii="Calibri" w:hAnsi="Calibri" w:cs="Arial"/>
        </w:rPr>
        <w:t>May 25</w:t>
      </w:r>
      <w:r w:rsidR="00271EE7">
        <w:rPr>
          <w:rStyle w:val="Strong"/>
          <w:rFonts w:ascii="Calibri" w:hAnsi="Calibri" w:cs="Arial"/>
        </w:rPr>
        <w:t>, 2018</w:t>
      </w:r>
      <w:r w:rsidR="00271EE7" w:rsidRPr="00271EE7">
        <w:rPr>
          <w:rStyle w:val="Strong"/>
          <w:rFonts w:ascii="Calibri" w:hAnsi="Calibri" w:cs="Arial"/>
          <w:b w:val="0"/>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the </w:t>
      </w:r>
      <w:hyperlink r:id="rId12" w:history="1">
        <w:r w:rsidR="00271EE7" w:rsidRPr="00271EE7">
          <w:rPr>
            <w:rStyle w:val="Hyperlink"/>
          </w:rPr>
          <w:t>Technical Rational</w:t>
        </w:r>
        <w:r w:rsidR="006835BC">
          <w:rPr>
            <w:rStyle w:val="Hyperlink"/>
          </w:rPr>
          <w:t>e</w:t>
        </w:r>
        <w:r w:rsidR="00271EE7" w:rsidRPr="00271EE7">
          <w:rPr>
            <w:rStyle w:val="Hyperlink"/>
          </w:rPr>
          <w:t xml:space="preserve"> for Reliability Standards</w:t>
        </w:r>
      </w:hyperlink>
      <w:r>
        <w:t xml:space="preserve"> page</w:t>
      </w:r>
      <w:r w:rsidR="00833311">
        <w:t xml:space="preserve">. </w:t>
      </w:r>
      <w:r w:rsidR="00833311" w:rsidRPr="00786AD7">
        <w:t>If you have questions</w:t>
      </w:r>
      <w:r w:rsidR="00833311">
        <w:t xml:space="preserve">, </w:t>
      </w:r>
      <w:r w:rsidR="00833311" w:rsidRPr="00C74DBC">
        <w:t>contact</w:t>
      </w:r>
      <w:r w:rsidR="00833311">
        <w:t xml:space="preserve"> </w:t>
      </w:r>
      <w:hyperlink r:id="rId13" w:history="1">
        <w:r w:rsidR="006835BC" w:rsidRPr="006835BC">
          <w:rPr>
            <w:rStyle w:val="Hyperlink"/>
          </w:rPr>
          <w:t>Al McMeekin</w:t>
        </w:r>
      </w:hyperlink>
      <w:r>
        <w:t xml:space="preserve"> </w:t>
      </w:r>
      <w:r w:rsidR="00833311" w:rsidRPr="00F86A52">
        <w:t>(via email)</w:t>
      </w:r>
      <w:r w:rsidR="00833311">
        <w:t>,</w:t>
      </w:r>
      <w:r w:rsidR="00833311" w:rsidRPr="00F86A52">
        <w:t xml:space="preserve"> or at </w:t>
      </w:r>
      <w:r w:rsidR="006835BC">
        <w:t>404-446-</w:t>
      </w:r>
      <w:bookmarkStart w:id="1" w:name="_GoBack"/>
      <w:bookmarkEnd w:id="1"/>
      <w:r w:rsidR="006835BC">
        <w:t>9675</w:t>
      </w:r>
      <w:r w:rsidR="00833311">
        <w:t>.</w:t>
      </w:r>
    </w:p>
    <w:p w:rsidR="00816016" w:rsidRDefault="00816016" w:rsidP="00816016">
      <w:pPr>
        <w:rPr>
          <w:rFonts w:ascii="Verdana" w:hAnsi="Verdana" w:cs="Arial"/>
          <w:sz w:val="18"/>
          <w:szCs w:val="18"/>
        </w:rPr>
      </w:pPr>
    </w:p>
    <w:p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p>
    <w:p w:rsidR="0062446B" w:rsidRDefault="0062446B" w:rsidP="0062446B">
      <w:pPr>
        <w:ind w:left="-5" w:right="378"/>
        <w:rPr>
          <w:color w:val="000000"/>
        </w:rPr>
      </w:pPr>
    </w:p>
    <w:p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rsidR="00816016" w:rsidRDefault="00816016" w:rsidP="00816016">
      <w:pPr>
        <w:rPr>
          <w:rFonts w:ascii="Verdana" w:hAnsi="Verdana" w:cs="Arial"/>
          <w:sz w:val="20"/>
        </w:rPr>
      </w:pPr>
    </w:p>
    <w:p w:rsidR="00271EE7" w:rsidRPr="00D93BFC" w:rsidRDefault="00271EE7" w:rsidP="00271EE7">
      <w:pPr>
        <w:ind w:right="370"/>
        <w:rPr>
          <w:color w:val="000000"/>
        </w:rPr>
      </w:pPr>
      <w:r>
        <w:rPr>
          <w:rStyle w:val="BoxText"/>
          <w:rFonts w:ascii="Tahoma" w:hAnsi="Tahoma" w:cs="Tahoma"/>
          <w:sz w:val="22"/>
          <w:szCs w:val="22"/>
        </w:rPr>
        <w:t>Technical Rationale for Reliability Standards</w:t>
      </w:r>
      <w:r w:rsidR="00476B91" w:rsidRPr="0062446B">
        <w:rPr>
          <w:rStyle w:val="BoxText"/>
          <w:rFonts w:ascii="Tahoma" w:hAnsi="Tahoma" w:cs="Tahoma"/>
          <w:sz w:val="22"/>
          <w:szCs w:val="22"/>
          <w:highlight w:val="yellow"/>
        </w:rPr>
        <w:t xml:space="preserve"> </w:t>
      </w:r>
      <w:r w:rsidR="00816016" w:rsidRPr="0062446B">
        <w:rPr>
          <w:rStyle w:val="BoxText"/>
          <w:rFonts w:ascii="Tahoma" w:hAnsi="Tahoma" w:cs="Tahoma"/>
          <w:sz w:val="22"/>
          <w:szCs w:val="22"/>
          <w:highlight w:val="yellow"/>
        </w:rPr>
        <w:br/>
      </w:r>
      <w:r>
        <w:rPr>
          <w:rStyle w:val="BoxText"/>
          <w:rFonts w:asciiTheme="minorHAnsi" w:hAnsiTheme="minorHAnsi" w:cs="Arial"/>
          <w:b w:val="0"/>
          <w:sz w:val="24"/>
        </w:rPr>
        <w:t xml:space="preserve">Guidelines and Technical Basis (GTB) review teams </w:t>
      </w:r>
      <w:r>
        <w:rPr>
          <w:color w:val="000000"/>
        </w:rPr>
        <w:t xml:space="preserve">will be tasked with identifying </w:t>
      </w:r>
      <w:r w:rsidRPr="00D93BFC">
        <w:rPr>
          <w:color w:val="000000"/>
        </w:rPr>
        <w:t>GTB containing only technical guidance or Rationale information</w:t>
      </w:r>
      <w:r>
        <w:rPr>
          <w:color w:val="000000"/>
        </w:rPr>
        <w:t>,</w:t>
      </w:r>
      <w:r w:rsidRPr="00D93BFC">
        <w:rPr>
          <w:color w:val="000000"/>
        </w:rPr>
        <w:t xml:space="preserve"> and clearly</w:t>
      </w:r>
      <w:r w:rsidRPr="00D93BFC">
        <w:rPr>
          <w:i/>
          <w:color w:val="000000"/>
        </w:rPr>
        <w:t xml:space="preserve"> do not</w:t>
      </w:r>
      <w:r w:rsidRPr="00D93BFC">
        <w:rPr>
          <w:color w:val="000000"/>
        </w:rPr>
        <w:t xml:space="preserve"> contain compliance examples or approaches.</w:t>
      </w:r>
      <w:r>
        <w:rPr>
          <w:color w:val="000000"/>
        </w:rPr>
        <w:t xml:space="preserve"> In addition, they will work with NERC staff to transition those examples of GTB to Technical Rationale. Team members will be designated to the following work teams:</w:t>
      </w:r>
    </w:p>
    <w:p w:rsidR="00271EE7" w:rsidRDefault="00271EE7" w:rsidP="00271EE7">
      <w:pPr>
        <w:ind w:right="370"/>
        <w:rPr>
          <w:color w:val="000000"/>
        </w:rPr>
      </w:pPr>
    </w:p>
    <w:p w:rsidR="00271EE7" w:rsidRPr="00271EE7" w:rsidRDefault="00271EE7" w:rsidP="00271EE7">
      <w:pPr>
        <w:pStyle w:val="Default"/>
        <w:numPr>
          <w:ilvl w:val="2"/>
          <w:numId w:val="24"/>
        </w:numPr>
        <w:ind w:left="1440"/>
        <w:rPr>
          <w:rFonts w:ascii="Calibri" w:eastAsiaTheme="minorHAnsi" w:hAnsi="Calibri" w:cs="Calibri"/>
        </w:rPr>
      </w:pPr>
      <w:r w:rsidRPr="00271EE7">
        <w:rPr>
          <w:rFonts w:ascii="Calibri" w:eastAsiaTheme="minorHAnsi" w:hAnsi="Calibri" w:cs="Calibri"/>
        </w:rPr>
        <w:t>Cyber Security – CIP</w:t>
      </w:r>
    </w:p>
    <w:p w:rsidR="00271EE7" w:rsidRPr="00271EE7" w:rsidRDefault="00271EE7" w:rsidP="00271EE7">
      <w:pPr>
        <w:pStyle w:val="Default"/>
        <w:numPr>
          <w:ilvl w:val="2"/>
          <w:numId w:val="24"/>
        </w:numPr>
        <w:ind w:left="1440"/>
        <w:rPr>
          <w:rFonts w:ascii="Calibri" w:eastAsiaTheme="minorHAnsi" w:hAnsi="Calibri" w:cs="Calibri"/>
        </w:rPr>
      </w:pPr>
      <w:r w:rsidRPr="00271EE7">
        <w:rPr>
          <w:rFonts w:ascii="Calibri" w:eastAsiaTheme="minorHAnsi" w:hAnsi="Calibri" w:cs="Calibri"/>
        </w:rPr>
        <w:t>Operations &amp; Data Exchange – BAL, INT, IRO, TOP</w:t>
      </w:r>
    </w:p>
    <w:p w:rsidR="00271EE7" w:rsidRPr="00271EE7" w:rsidRDefault="00271EE7" w:rsidP="00271EE7">
      <w:pPr>
        <w:pStyle w:val="Default"/>
        <w:numPr>
          <w:ilvl w:val="2"/>
          <w:numId w:val="24"/>
        </w:numPr>
        <w:ind w:left="1440"/>
        <w:rPr>
          <w:rFonts w:ascii="Calibri" w:eastAsiaTheme="minorHAnsi" w:hAnsi="Calibri" w:cs="Calibri"/>
        </w:rPr>
      </w:pPr>
      <w:r w:rsidRPr="00271EE7">
        <w:rPr>
          <w:rFonts w:ascii="Calibri" w:eastAsiaTheme="minorHAnsi" w:hAnsi="Calibri" w:cs="Calibri"/>
        </w:rPr>
        <w:t>Personnel &amp; Emergency Planning – COM, EOP, PER</w:t>
      </w:r>
    </w:p>
    <w:p w:rsidR="00271EE7" w:rsidRPr="00271EE7" w:rsidRDefault="00271EE7" w:rsidP="00271EE7">
      <w:pPr>
        <w:pStyle w:val="Default"/>
        <w:numPr>
          <w:ilvl w:val="2"/>
          <w:numId w:val="24"/>
        </w:numPr>
        <w:ind w:left="1440"/>
        <w:rPr>
          <w:rFonts w:ascii="Calibri" w:eastAsiaTheme="minorHAnsi" w:hAnsi="Calibri" w:cs="Calibri"/>
        </w:rPr>
      </w:pPr>
      <w:r w:rsidRPr="00271EE7">
        <w:rPr>
          <w:rFonts w:ascii="Calibri" w:eastAsiaTheme="minorHAnsi" w:hAnsi="Calibri" w:cs="Calibri"/>
        </w:rPr>
        <w:t>Modeling &amp; Long-term Planning – FAC, MOD, NUC, TPL</w:t>
      </w:r>
    </w:p>
    <w:p w:rsidR="00271EE7" w:rsidRPr="00271EE7" w:rsidRDefault="00271EE7" w:rsidP="00271EE7">
      <w:pPr>
        <w:pStyle w:val="Default"/>
        <w:numPr>
          <w:ilvl w:val="2"/>
          <w:numId w:val="24"/>
        </w:numPr>
        <w:ind w:left="1440"/>
        <w:rPr>
          <w:rFonts w:ascii="Calibri" w:eastAsiaTheme="minorHAnsi" w:hAnsi="Calibri" w:cs="Calibri"/>
        </w:rPr>
      </w:pPr>
      <w:r w:rsidRPr="00271EE7">
        <w:rPr>
          <w:rFonts w:ascii="Calibri" w:eastAsiaTheme="minorHAnsi" w:hAnsi="Calibri" w:cs="Calibri"/>
        </w:rPr>
        <w:t>System Performance – PRC, VAR</w:t>
      </w:r>
    </w:p>
    <w:p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rsidR="00487E9F" w:rsidRDefault="00487E9F" w:rsidP="00487E9F">
      <w:pPr>
        <w:ind w:left="-5" w:right="378"/>
        <w:rPr>
          <w:color w:val="000000"/>
        </w:rPr>
      </w:pPr>
      <w:r w:rsidRPr="004C0DCD">
        <w:rPr>
          <w:color w:val="000000"/>
        </w:rPr>
        <w:t>The time commitment for these projects is expected to be up to two face-to-face meetings per quarter (on average two full working days each meeting) with conference calls scheduled as needed to meet the agreed</w:t>
      </w:r>
      <w:r>
        <w:rPr>
          <w:color w:val="000000"/>
        </w:rPr>
        <w:t>-</w:t>
      </w:r>
      <w:r w:rsidRPr="004C0DCD">
        <w:rPr>
          <w:color w:val="000000"/>
        </w:rPr>
        <w:t xml:space="preserve">upon timeline the review or drafting team sets forth. </w:t>
      </w:r>
      <w:r w:rsidR="00972C26">
        <w:rPr>
          <w:color w:val="000000"/>
        </w:rPr>
        <w:t>T</w:t>
      </w:r>
      <w:r w:rsidR="00D34F9C">
        <w:rPr>
          <w:color w:val="000000"/>
        </w:rPr>
        <w:t>eam</w:t>
      </w:r>
      <w:r w:rsidR="00972C26">
        <w:rPr>
          <w:color w:val="000000"/>
        </w:rPr>
        <w:t xml:space="preserve"> members may also have</w:t>
      </w:r>
      <w:r w:rsidRPr="004C0DCD">
        <w:rPr>
          <w:color w:val="000000"/>
        </w:rPr>
        <w:t xml:space="preserve"> side projects, either individually or by subgroup, to present to the larger team for discussion and review. Lastly, an important component of the review and drafting team effort is outreach. Members of the team </w:t>
      </w:r>
      <w:r w:rsidR="00972C26">
        <w:rPr>
          <w:color w:val="000000"/>
        </w:rPr>
        <w:t xml:space="preserve">will be expected to </w:t>
      </w:r>
      <w:r w:rsidRPr="004C0DCD">
        <w:rPr>
          <w:color w:val="000000"/>
        </w:rPr>
        <w:t>conduct</w:t>
      </w:r>
      <w:r w:rsidR="00972C26">
        <w:rPr>
          <w:color w:val="000000"/>
        </w:rPr>
        <w:t xml:space="preserve"> industry outreach </w:t>
      </w:r>
      <w:r w:rsidRPr="004C0DCD">
        <w:rPr>
          <w:color w:val="000000"/>
        </w:rPr>
        <w:t xml:space="preserve">during </w:t>
      </w:r>
      <w:r w:rsidR="00972C26">
        <w:rPr>
          <w:color w:val="000000"/>
        </w:rPr>
        <w:t xml:space="preserve">the </w:t>
      </w:r>
      <w:r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Pr="004C0DCD">
        <w:rPr>
          <w:color w:val="000000"/>
        </w:rPr>
        <w:t>.</w:t>
      </w:r>
    </w:p>
    <w:p w:rsidR="00565AB5" w:rsidRDefault="00240726" w:rsidP="00816016">
      <w:pPr>
        <w:rPr>
          <w:rFonts w:ascii="Verdana" w:hAnsi="Verdana" w:cs="Arial"/>
          <w:sz w:val="18"/>
          <w:szCs w:val="18"/>
        </w:rPr>
      </w:pPr>
      <w:r>
        <w:rPr>
          <w:rStyle w:val="BoxText"/>
          <w:rFonts w:asciiTheme="minorHAnsi" w:hAnsiTheme="minorHAnsi" w:cs="Arial"/>
          <w:b w:val="0"/>
          <w:sz w:val="24"/>
        </w:rPr>
        <w:br/>
      </w:r>
    </w:p>
    <w:p w:rsidR="00260BED" w:rsidRDefault="00260BED">
      <w:pPr>
        <w:rPr>
          <w:rFonts w:ascii="Verdana" w:hAnsi="Verdana" w:cs="Arial"/>
          <w:sz w:val="18"/>
          <w:szCs w:val="18"/>
        </w:rPr>
      </w:pPr>
      <w:r>
        <w:rPr>
          <w:rFonts w:ascii="Verdana" w:hAnsi="Verdana" w:cs="Arial"/>
          <w:sz w:val="18"/>
          <w:szCs w:val="18"/>
        </w:rP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rsidTr="00202BB5">
        <w:trPr>
          <w:trHeight w:val="413"/>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lastRenderedPageBreak/>
              <w:t>Name:</w:t>
            </w:r>
            <w:r w:rsidRPr="00193AE7">
              <w:rPr>
                <w:rStyle w:val="BoxText"/>
                <w:rFonts w:asciiTheme="minorHAnsi" w:hAnsiTheme="minorHAnsi" w:cs="Arial"/>
                <w:sz w:val="24"/>
              </w:rPr>
              <w:tab/>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67"/>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cantSplit/>
          <w:trHeight w:val="458"/>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40"/>
          <w:jc w:val="center"/>
        </w:trPr>
        <w:tc>
          <w:tcPr>
            <w:tcW w:w="2074" w:type="dxa"/>
          </w:tcPr>
          <w:p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trHeight w:val="440"/>
          <w:jc w:val="center"/>
        </w:trPr>
        <w:tc>
          <w:tcPr>
            <w:tcW w:w="2074" w:type="dxa"/>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202BB5">
        <w:trPr>
          <w:cantSplit/>
          <w:trHeight w:val="1232"/>
          <w:jc w:val="center"/>
        </w:trPr>
        <w:tc>
          <w:tcPr>
            <w:tcW w:w="10356" w:type="dxa"/>
            <w:gridSpan w:val="4"/>
          </w:tcPr>
          <w:p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271EE7">
              <w:rPr>
                <w:rStyle w:val="BoxText"/>
                <w:rFonts w:asciiTheme="minorHAnsi" w:hAnsiTheme="minorHAnsi" w:cs="Arial"/>
                <w:sz w:val="24"/>
              </w:rPr>
              <w:t xml:space="preserve">Review or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rsidR="00FD1345" w:rsidRDefault="00FD1345" w:rsidP="00DB028B">
            <w:pPr>
              <w:spacing w:before="60" w:after="60"/>
              <w:rPr>
                <w:rStyle w:val="BoxText"/>
                <w:rFonts w:asciiTheme="minorHAnsi" w:hAnsiTheme="minorHAnsi" w:cs="Arial"/>
                <w:sz w:val="24"/>
              </w:rPr>
            </w:pPr>
          </w:p>
          <w:p w:rsidR="006A71F1" w:rsidRPr="00193AE7" w:rsidRDefault="006A71F1" w:rsidP="00DB028B">
            <w:pPr>
              <w:spacing w:before="60" w:after="60"/>
              <w:rPr>
                <w:rStyle w:val="BoxText"/>
                <w:rFonts w:asciiTheme="minorHAnsi" w:hAnsiTheme="minorHAnsi" w:cs="Arial"/>
                <w:sz w:val="24"/>
              </w:rPr>
            </w:pPr>
          </w:p>
        </w:tc>
      </w:tr>
      <w:tr w:rsidR="00FD1345" w:rsidRPr="00E23D20" w:rsidTr="00202BB5">
        <w:tblPrEx>
          <w:tblLook w:val="01E0" w:firstRow="1" w:lastRow="1" w:firstColumn="1" w:lastColumn="1" w:noHBand="0" w:noVBand="0"/>
        </w:tblPrEx>
        <w:trPr>
          <w:trHeight w:val="485"/>
          <w:jc w:val="center"/>
        </w:trPr>
        <w:tc>
          <w:tcPr>
            <w:tcW w:w="10356" w:type="dxa"/>
            <w:gridSpan w:val="4"/>
          </w:tcPr>
          <w:p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D52B3D">
              <w:rPr>
                <w:rFonts w:cs="Arial"/>
              </w:rPr>
            </w:r>
            <w:r w:rsidR="00D52B3D">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D52B3D">
              <w:rPr>
                <w:rFonts w:cs="Arial"/>
              </w:rPr>
            </w:r>
            <w:r w:rsidR="00D52B3D">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D52B3D">
              <w:rPr>
                <w:rFonts w:cs="Arial"/>
              </w:rPr>
            </w:r>
            <w:r w:rsidR="00D52B3D">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D52B3D">
              <w:rPr>
                <w:rFonts w:cs="Arial"/>
              </w:rPr>
            </w:r>
            <w:r w:rsidR="00D52B3D">
              <w:rPr>
                <w:rFonts w:cs="Arial"/>
              </w:rPr>
              <w:fldChar w:fldCharType="separate"/>
            </w:r>
            <w:r w:rsidRPr="00193AE7">
              <w:rPr>
                <w:rFonts w:cs="Arial"/>
              </w:rPr>
              <w:fldChar w:fldCharType="end"/>
            </w:r>
            <w:r w:rsidR="00FD1345" w:rsidRPr="00193AE7">
              <w:rPr>
                <w:rFonts w:cs="Arial"/>
              </w:rPr>
              <w:t xml:space="preserve"> Prior experience on the following team(s):</w:t>
            </w:r>
          </w:p>
          <w:p w:rsidR="00FD1345" w:rsidRPr="00193AE7" w:rsidRDefault="00FD1345" w:rsidP="00DB028B">
            <w:pPr>
              <w:tabs>
                <w:tab w:val="left" w:pos="432"/>
              </w:tabs>
              <w:spacing w:before="60" w:after="60"/>
              <w:ind w:left="432"/>
              <w:rPr>
                <w:rFonts w:cs="Arial"/>
              </w:rPr>
            </w:pPr>
          </w:p>
        </w:tc>
      </w:tr>
      <w:tr w:rsidR="00FD1345" w:rsidRPr="00081BCE"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rsidTr="00202BB5">
        <w:trPr>
          <w:cantSplit/>
          <w:jc w:val="center"/>
        </w:trPr>
        <w:tc>
          <w:tcPr>
            <w:tcW w:w="2164" w:type="dxa"/>
            <w:gridSpan w:val="2"/>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D52B3D">
              <w:rPr>
                <w:rStyle w:val="BoxText"/>
                <w:rFonts w:asciiTheme="minorHAnsi" w:hAnsiTheme="minorHAnsi"/>
                <w:b w:val="0"/>
                <w:sz w:val="24"/>
              </w:rPr>
            </w:r>
            <w:r w:rsidR="00D52B3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Texas RE</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D52B3D">
              <w:rPr>
                <w:rStyle w:val="BoxText"/>
                <w:rFonts w:asciiTheme="minorHAnsi" w:hAnsiTheme="minorHAnsi"/>
                <w:b w:val="0"/>
                <w:sz w:val="24"/>
              </w:rPr>
            </w:r>
            <w:r w:rsidR="00D52B3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D52B3D">
              <w:rPr>
                <w:rStyle w:val="BoxText"/>
                <w:rFonts w:asciiTheme="minorHAnsi" w:hAnsiTheme="minorHAnsi"/>
                <w:b w:val="0"/>
                <w:sz w:val="24"/>
              </w:rPr>
            </w:r>
            <w:r w:rsidR="00D52B3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D52B3D">
              <w:rPr>
                <w:rStyle w:val="BoxText"/>
                <w:rFonts w:asciiTheme="minorHAnsi" w:hAnsiTheme="minorHAnsi"/>
                <w:b w:val="0"/>
                <w:sz w:val="24"/>
              </w:rPr>
            </w:r>
            <w:r w:rsidR="00D52B3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D52B3D">
              <w:rPr>
                <w:rStyle w:val="BoxText"/>
                <w:rFonts w:asciiTheme="minorHAnsi" w:hAnsiTheme="minorHAnsi"/>
                <w:b w:val="0"/>
                <w:sz w:val="24"/>
              </w:rPr>
            </w:r>
            <w:r w:rsidR="00D52B3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DD63A3">
              <w:rPr>
                <w:rStyle w:val="BoxText"/>
                <w:rFonts w:asciiTheme="minorHAnsi" w:hAnsiTheme="minorHAnsi"/>
                <w:b w:val="0"/>
                <w:sz w:val="24"/>
              </w:rPr>
              <w:t xml:space="preserve"> RF</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D52B3D">
              <w:rPr>
                <w:rStyle w:val="BoxText"/>
                <w:rFonts w:asciiTheme="minorHAnsi" w:hAnsiTheme="minorHAnsi"/>
                <w:b w:val="0"/>
                <w:sz w:val="24"/>
              </w:rPr>
            </w:r>
            <w:r w:rsidR="00D52B3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2" w:type="dxa"/>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D52B3D">
              <w:rPr>
                <w:rStyle w:val="BoxText"/>
                <w:rFonts w:asciiTheme="minorHAnsi" w:hAnsiTheme="minorHAnsi"/>
                <w:b w:val="0"/>
                <w:sz w:val="24"/>
              </w:rPr>
            </w:r>
            <w:r w:rsidR="00D52B3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r w:rsidR="00DD63A3">
              <w:rPr>
                <w:rStyle w:val="BoxText"/>
                <w:rFonts w:asciiTheme="minorHAnsi" w:hAnsiTheme="minorHAnsi"/>
                <w:b w:val="0"/>
                <w:sz w:val="24"/>
              </w:rPr>
              <w:t xml:space="preserve"> RE</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D52B3D">
              <w:rPr>
                <w:rStyle w:val="BoxText"/>
                <w:rFonts w:asciiTheme="minorHAnsi" w:hAnsiTheme="minorHAnsi"/>
                <w:b w:val="0"/>
                <w:sz w:val="24"/>
              </w:rPr>
            </w:r>
            <w:r w:rsidR="00D52B3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D52B3D">
              <w:rPr>
                <w:rFonts w:cs="Arial"/>
              </w:rPr>
            </w:r>
            <w:r w:rsidR="00D52B3D">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bl>
    <w:p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rsidTr="00202BB5">
        <w:trPr>
          <w:trHeight w:val="621"/>
          <w:jc w:val="center"/>
        </w:trPr>
        <w:tc>
          <w:tcPr>
            <w:tcW w:w="10356" w:type="dxa"/>
            <w:gridSpan w:val="3"/>
            <w:tcBorders>
              <w:bottom w:val="single" w:sz="4" w:space="0" w:color="auto"/>
            </w:tcBorders>
            <w:shd w:val="clear" w:color="auto" w:fill="204C81"/>
            <w:vAlign w:val="center"/>
          </w:tcPr>
          <w:p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rsidTr="00202BB5">
        <w:trPr>
          <w:cantSplit/>
          <w:trHeight w:val="512"/>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52B3D">
              <w:rPr>
                <w:rFonts w:ascii="Verdana" w:hAnsi="Verdana" w:cs="Arial"/>
              </w:rPr>
            </w:r>
            <w:r w:rsidR="00D52B3D">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rsidTr="00202BB5">
        <w:trPr>
          <w:cantSplit/>
          <w:trHeight w:val="28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D52B3D">
              <w:rPr>
                <w:rFonts w:ascii="Verdana" w:hAnsi="Verdana" w:cs="Arial"/>
              </w:rPr>
            </w:r>
            <w:r w:rsidR="00D52B3D">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rsidTr="00202BB5">
        <w:trPr>
          <w:cantSplit/>
          <w:trHeight w:val="305"/>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52B3D">
              <w:rPr>
                <w:rFonts w:ascii="Verdana" w:hAnsi="Verdana" w:cs="Arial"/>
              </w:rPr>
            </w:r>
            <w:r w:rsidR="00D52B3D">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rsidTr="00202BB5">
        <w:trPr>
          <w:cantSplit/>
          <w:trHeight w:val="27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52B3D">
              <w:rPr>
                <w:rFonts w:ascii="Verdana" w:hAnsi="Verdana" w:cs="Arial"/>
              </w:rPr>
            </w:r>
            <w:r w:rsidR="00D52B3D">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4 — Transmission-dependent Utilities</w:t>
            </w:r>
          </w:p>
        </w:tc>
      </w:tr>
      <w:tr w:rsidR="00563006" w:rsidRPr="00E23D20" w:rsidTr="00202BB5">
        <w:trPr>
          <w:cantSplit/>
          <w:trHeight w:val="332"/>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52B3D">
              <w:rPr>
                <w:rFonts w:ascii="Verdana" w:hAnsi="Verdana" w:cs="Arial"/>
              </w:rPr>
            </w:r>
            <w:r w:rsidR="00D52B3D">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5 — Electric Generators</w:t>
            </w:r>
          </w:p>
        </w:tc>
      </w:tr>
      <w:tr w:rsidR="00563006" w:rsidRPr="00E23D20" w:rsidTr="00202BB5">
        <w:trPr>
          <w:cantSplit/>
          <w:trHeight w:val="26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52B3D">
              <w:rPr>
                <w:rFonts w:ascii="Verdana" w:hAnsi="Verdana" w:cs="Arial"/>
              </w:rPr>
            </w:r>
            <w:r w:rsidR="00D52B3D">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rsidTr="00202BB5">
        <w:trPr>
          <w:cantSplit/>
          <w:trHeight w:val="305"/>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52B3D">
              <w:rPr>
                <w:rFonts w:ascii="Verdana" w:hAnsi="Verdana" w:cs="Arial"/>
              </w:rPr>
            </w:r>
            <w:r w:rsidR="00D52B3D">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7 — Large Electricity End Users</w:t>
            </w:r>
          </w:p>
        </w:tc>
      </w:tr>
      <w:tr w:rsidR="00563006" w:rsidRPr="00E23D20" w:rsidTr="00202BB5">
        <w:trPr>
          <w:cantSplit/>
          <w:trHeight w:val="308"/>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52B3D">
              <w:rPr>
                <w:rFonts w:ascii="Verdana" w:hAnsi="Verdana" w:cs="Arial"/>
              </w:rPr>
            </w:r>
            <w:r w:rsidR="00D52B3D">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spacing w:before="60" w:after="60"/>
              <w:rPr>
                <w:rFonts w:cs="Arial"/>
              </w:rPr>
            </w:pPr>
            <w:r w:rsidRPr="00997A70">
              <w:rPr>
                <w:rFonts w:cs="Arial"/>
              </w:rPr>
              <w:t>8 — Small Electricity End Users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52B3D">
              <w:rPr>
                <w:rFonts w:ascii="Verdana" w:hAnsi="Verdana" w:cs="Arial"/>
              </w:rPr>
            </w:r>
            <w:r w:rsidR="00D52B3D">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D52B3D">
              <w:rPr>
                <w:rFonts w:ascii="Verdana" w:hAnsi="Verdana" w:cs="Arial"/>
              </w:rPr>
            </w:r>
            <w:r w:rsidR="00D52B3D">
              <w:rPr>
                <w:rFonts w:ascii="Verdana" w:hAnsi="Verdana" w:cs="Arial"/>
              </w:rPr>
              <w:fldChar w:fldCharType="separate"/>
            </w:r>
            <w:r w:rsidRPr="00997A70">
              <w:rPr>
                <w:rFonts w:ascii="Verdana" w:hAnsi="Verdana" w:cs="Arial"/>
              </w:rPr>
              <w:fldChar w:fldCharType="end"/>
            </w:r>
          </w:p>
        </w:tc>
        <w:tc>
          <w:tcPr>
            <w:tcW w:w="9902" w:type="dxa"/>
            <w:gridSpan w:val="2"/>
          </w:tcPr>
          <w:p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rsidTr="00202BB5">
        <w:trPr>
          <w:cantSplit/>
          <w:trHeight w:val="270"/>
          <w:jc w:val="center"/>
        </w:trPr>
        <w:tc>
          <w:tcPr>
            <w:tcW w:w="454" w:type="dxa"/>
            <w:vAlign w:val="center"/>
          </w:tcPr>
          <w:p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D52B3D">
              <w:rPr>
                <w:rStyle w:val="BoxText"/>
                <w:rFonts w:ascii="Verdana" w:hAnsi="Verdana"/>
                <w:b w:val="0"/>
                <w:sz w:val="24"/>
              </w:rPr>
            </w:r>
            <w:r w:rsidR="00D52B3D">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rsidTr="006835BC">
        <w:tblPrEx>
          <w:tblLook w:val="0000" w:firstRow="0" w:lastRow="0" w:firstColumn="0" w:lastColumn="0" w:noHBand="0" w:noVBand="0"/>
        </w:tblPrEx>
        <w:trPr>
          <w:cantSplit/>
          <w:trHeight w:val="621"/>
          <w:jc w:val="center"/>
        </w:trPr>
        <w:tc>
          <w:tcPr>
            <w:tcW w:w="4414" w:type="dxa"/>
            <w:gridSpan w:val="2"/>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6835BC" w:rsidRPr="00E23D20" w:rsidTr="006835BC">
        <w:tblPrEx>
          <w:tblLook w:val="0000" w:firstRow="0" w:lastRow="0" w:firstColumn="0" w:lastColumn="0" w:noHBand="0" w:noVBand="0"/>
        </w:tblPrEx>
        <w:trPr>
          <w:cantSplit/>
          <w:trHeight w:val="449"/>
          <w:jc w:val="center"/>
        </w:trPr>
        <w:tc>
          <w:tcPr>
            <w:tcW w:w="10356" w:type="dxa"/>
            <w:gridSpan w:val="3"/>
            <w:shd w:val="clear" w:color="auto" w:fill="204C81" w:themeFill="accent1"/>
          </w:tcPr>
          <w:p w:rsidR="006835BC" w:rsidRPr="00193AE7" w:rsidRDefault="006835BC" w:rsidP="006835BC">
            <w:pPr>
              <w:spacing w:before="60" w:after="60"/>
              <w:rPr>
                <w:rStyle w:val="BoxText"/>
                <w:rFonts w:asciiTheme="minorHAnsi" w:hAnsiTheme="minorHAnsi" w:cs="Arial"/>
                <w:b w:val="0"/>
                <w:sz w:val="24"/>
              </w:rPr>
            </w:pPr>
            <w:r w:rsidRPr="00081BCE">
              <w:rPr>
                <w:rStyle w:val="BoxText"/>
                <w:rFonts w:asciiTheme="minorHAnsi" w:hAnsiTheme="minorHAnsi" w:cs="Arial"/>
                <w:color w:val="FFFFFF" w:themeColor="text1"/>
                <w:sz w:val="24"/>
              </w:rPr>
              <w:t xml:space="preserve">Select </w:t>
            </w:r>
            <w:r>
              <w:rPr>
                <w:rStyle w:val="BoxText"/>
                <w:rFonts w:asciiTheme="minorHAnsi" w:hAnsiTheme="minorHAnsi" w:cs="Arial"/>
                <w:color w:val="FFFFFF" w:themeColor="text1"/>
                <w:sz w:val="24"/>
              </w:rPr>
              <w:t>one or more sub-team</w:t>
            </w:r>
            <w:r w:rsidR="009F2D6A">
              <w:rPr>
                <w:rStyle w:val="BoxText"/>
                <w:rFonts w:asciiTheme="minorHAnsi" w:hAnsiTheme="minorHAnsi" w:cs="Arial"/>
                <w:color w:val="FFFFFF" w:themeColor="text1"/>
                <w:sz w:val="24"/>
              </w:rPr>
              <w:t>(s)</w:t>
            </w:r>
            <w:r>
              <w:rPr>
                <w:rStyle w:val="BoxText"/>
                <w:rFonts w:asciiTheme="minorHAnsi" w:hAnsiTheme="minorHAnsi" w:cs="Arial"/>
                <w:color w:val="FFFFFF" w:themeColor="text1"/>
                <w:sz w:val="24"/>
              </w:rPr>
              <w:t xml:space="preserve"> that</w:t>
            </w:r>
            <w:r w:rsidRPr="00081BCE">
              <w:rPr>
                <w:rStyle w:val="BoxText"/>
                <w:rFonts w:asciiTheme="minorHAnsi" w:hAnsiTheme="minorHAnsi" w:cs="Arial"/>
                <w:color w:val="FFFFFF" w:themeColor="text1"/>
                <w:sz w:val="24"/>
              </w:rPr>
              <w:t xml:space="preserve"> you </w:t>
            </w:r>
            <w:r>
              <w:rPr>
                <w:rStyle w:val="BoxText"/>
                <w:rFonts w:asciiTheme="minorHAnsi" w:hAnsiTheme="minorHAnsi" w:cs="Arial"/>
                <w:color w:val="FFFFFF" w:themeColor="text1"/>
                <w:sz w:val="24"/>
              </w:rPr>
              <w:t>are interested in</w:t>
            </w:r>
            <w:r w:rsidRPr="00081BCE">
              <w:rPr>
                <w:rStyle w:val="BoxText"/>
                <w:rFonts w:asciiTheme="minorHAnsi" w:hAnsiTheme="minorHAnsi" w:cs="Arial"/>
                <w:color w:val="FFFFFF" w:themeColor="text1"/>
                <w:sz w:val="24"/>
              </w:rPr>
              <w:t>:</w:t>
            </w:r>
          </w:p>
        </w:tc>
      </w:tr>
      <w:tr w:rsidR="006835BC" w:rsidRPr="00E23D20" w:rsidTr="00BC5CF7">
        <w:tblPrEx>
          <w:tblLook w:val="0000" w:firstRow="0" w:lastRow="0" w:firstColumn="0" w:lastColumn="0" w:noHBand="0" w:noVBand="0"/>
        </w:tblPrEx>
        <w:trPr>
          <w:cantSplit/>
          <w:trHeight w:val="621"/>
          <w:jc w:val="center"/>
        </w:trPr>
        <w:tc>
          <w:tcPr>
            <w:tcW w:w="10356" w:type="dxa"/>
            <w:gridSpan w:val="3"/>
            <w:tcBorders>
              <w:bottom w:val="single" w:sz="4" w:space="0" w:color="auto"/>
            </w:tcBorders>
          </w:tcPr>
          <w:p w:rsidR="006835BC" w:rsidRDefault="006835BC" w:rsidP="006835BC">
            <w:pPr>
              <w:ind w:right="370"/>
              <w:rPr>
                <w:color w:val="000000"/>
              </w:rPr>
            </w:pPr>
          </w:p>
          <w:p w:rsidR="006835BC" w:rsidRPr="00271EE7" w:rsidRDefault="006835BC" w:rsidP="006835BC">
            <w:pPr>
              <w:pStyle w:val="Default"/>
              <w:rPr>
                <w:rFonts w:ascii="Calibri" w:eastAsiaTheme="minorHAnsi" w:hAnsi="Calibri" w:cs="Calibri"/>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w:t>
            </w:r>
            <w:r w:rsidRPr="00271EE7">
              <w:rPr>
                <w:rFonts w:ascii="Calibri" w:eastAsiaTheme="minorHAnsi" w:hAnsi="Calibri" w:cs="Calibri"/>
              </w:rPr>
              <w:t>Cyber Security – CIP</w:t>
            </w:r>
          </w:p>
          <w:p w:rsidR="006835BC" w:rsidRPr="00271EE7" w:rsidRDefault="006835BC" w:rsidP="006835BC">
            <w:pPr>
              <w:pStyle w:val="Default"/>
              <w:rPr>
                <w:rFonts w:ascii="Calibri" w:eastAsiaTheme="minorHAnsi" w:hAnsi="Calibri" w:cs="Calibri"/>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w:t>
            </w:r>
            <w:r w:rsidRPr="00271EE7">
              <w:rPr>
                <w:rFonts w:ascii="Calibri" w:eastAsiaTheme="minorHAnsi" w:hAnsi="Calibri" w:cs="Calibri"/>
              </w:rPr>
              <w:t>Operations &amp; Data Exchange – BAL, INT, IRO, TOP</w:t>
            </w:r>
          </w:p>
          <w:p w:rsidR="006835BC" w:rsidRPr="00271EE7" w:rsidRDefault="006835BC" w:rsidP="006835BC">
            <w:pPr>
              <w:pStyle w:val="Default"/>
              <w:rPr>
                <w:rFonts w:ascii="Calibri" w:eastAsiaTheme="minorHAnsi" w:hAnsi="Calibri" w:cs="Calibri"/>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w:t>
            </w:r>
            <w:r w:rsidRPr="00271EE7">
              <w:rPr>
                <w:rFonts w:ascii="Calibri" w:eastAsiaTheme="minorHAnsi" w:hAnsi="Calibri" w:cs="Calibri"/>
              </w:rPr>
              <w:t>Personnel &amp; Emergency Planning – COM, EOP, PER</w:t>
            </w:r>
          </w:p>
          <w:p w:rsidR="006835BC" w:rsidRPr="00271EE7" w:rsidRDefault="006835BC" w:rsidP="006835BC">
            <w:pPr>
              <w:pStyle w:val="Default"/>
              <w:rPr>
                <w:rFonts w:ascii="Calibri" w:eastAsiaTheme="minorHAnsi" w:hAnsi="Calibri" w:cs="Calibri"/>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w:t>
            </w:r>
            <w:r w:rsidRPr="00271EE7">
              <w:rPr>
                <w:rFonts w:ascii="Calibri" w:eastAsiaTheme="minorHAnsi" w:hAnsi="Calibri" w:cs="Calibri"/>
              </w:rPr>
              <w:t>Modeling &amp; Long-term Planning – FAC, MOD, NUC, TPL</w:t>
            </w:r>
          </w:p>
          <w:p w:rsidR="006835BC" w:rsidRDefault="006835BC" w:rsidP="006835BC">
            <w:pPr>
              <w:pStyle w:val="Default"/>
              <w:rPr>
                <w:rFonts w:ascii="Calibri" w:eastAsiaTheme="minorHAnsi" w:hAnsi="Calibri" w:cs="Calibri"/>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Pr="00193AE7">
              <w:rPr>
                <w:rStyle w:val="BoxText"/>
                <w:rFonts w:asciiTheme="minorHAnsi" w:hAnsiTheme="minorHAnsi" w:cs="Arial"/>
                <w:b w:val="0"/>
                <w:sz w:val="24"/>
              </w:rPr>
              <w:instrText xml:space="preserve"> FORMCHECKBOX </w:instrText>
            </w:r>
            <w:r w:rsidR="00D52B3D">
              <w:rPr>
                <w:rStyle w:val="BoxText"/>
                <w:rFonts w:asciiTheme="minorHAnsi" w:hAnsiTheme="minorHAnsi" w:cs="Arial"/>
                <w:b w:val="0"/>
                <w:sz w:val="24"/>
              </w:rPr>
            </w:r>
            <w:r w:rsidR="00D52B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Pr="00193AE7">
              <w:rPr>
                <w:rStyle w:val="BoxText"/>
                <w:rFonts w:asciiTheme="minorHAnsi" w:hAnsiTheme="minorHAnsi" w:cs="Arial"/>
                <w:b w:val="0"/>
                <w:sz w:val="24"/>
              </w:rPr>
              <w:t xml:space="preserve"> </w:t>
            </w:r>
            <w:r w:rsidRPr="00271EE7">
              <w:rPr>
                <w:rFonts w:ascii="Calibri" w:eastAsiaTheme="minorHAnsi" w:hAnsi="Calibri" w:cs="Calibri"/>
              </w:rPr>
              <w:t>System Performance – PRC, VAR</w:t>
            </w:r>
          </w:p>
          <w:p w:rsidR="006835BC" w:rsidRPr="00193AE7" w:rsidRDefault="006835BC" w:rsidP="006835BC">
            <w:pPr>
              <w:pStyle w:val="Default"/>
              <w:rPr>
                <w:rStyle w:val="BoxText"/>
                <w:rFonts w:asciiTheme="minorHAnsi" w:hAnsiTheme="minorHAnsi" w:cs="Arial"/>
                <w:b w:val="0"/>
                <w:sz w:val="24"/>
              </w:rPr>
            </w:pPr>
          </w:p>
        </w:tc>
      </w:tr>
    </w:tbl>
    <w:p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rsidTr="00FF5C65">
        <w:trPr>
          <w:cantSplit/>
          <w:jc w:val="center"/>
        </w:trPr>
        <w:tc>
          <w:tcPr>
            <w:tcW w:w="10345" w:type="dxa"/>
            <w:gridSpan w:val="4"/>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FF5C65">
        <w:trPr>
          <w:cantSplit/>
          <w:jc w:val="center"/>
        </w:trPr>
        <w:tc>
          <w:tcPr>
            <w:tcW w:w="2164"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r>
      <w:tr w:rsidR="00202BB5" w:rsidRPr="004D5128"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rsidR="00202BB5" w:rsidRDefault="00202BB5" w:rsidP="00C90FDC">
            <w:pPr>
              <w:spacing w:before="120" w:after="120"/>
              <w:rPr>
                <w:rStyle w:val="BoxText"/>
                <w:b w:val="0"/>
              </w:rPr>
            </w:pPr>
          </w:p>
        </w:tc>
      </w:tr>
      <w:tr w:rsidR="00202BB5"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rsidR="00202BB5" w:rsidRDefault="00202BB5" w:rsidP="00C90FDC">
            <w:pPr>
              <w:spacing w:before="120" w:after="120"/>
              <w:rPr>
                <w:rStyle w:val="BoxText"/>
                <w:b w:val="0"/>
              </w:rPr>
            </w:pPr>
          </w:p>
        </w:tc>
      </w:tr>
    </w:tbl>
    <w:p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rsidR="002F2BFE" w:rsidRDefault="002F2BFE" w:rsidP="00102A01">
      <w:pPr>
        <w:pStyle w:val="Heading1"/>
      </w:pPr>
    </w:p>
    <w:sectPr w:rsidR="002F2BFE" w:rsidSect="004A60CD">
      <w:headerReference w:type="default" r:id="rId14"/>
      <w:footerReference w:type="default" r:id="rId15"/>
      <w:headerReference w:type="first" r:id="rId16"/>
      <w:footerReference w:type="first" r:id="rId17"/>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FB2" w:rsidRDefault="00B21FB2">
      <w:r>
        <w:separator/>
      </w:r>
    </w:p>
  </w:endnote>
  <w:endnote w:type="continuationSeparator" w:id="0">
    <w:p w:rsidR="00B21FB2" w:rsidRDefault="00B2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Pr="00855BA8" w:rsidRDefault="00896153" w:rsidP="0002368A">
    <w:pPr>
      <w:pStyle w:val="Footer"/>
      <w:tabs>
        <w:tab w:val="clear" w:pos="10354"/>
        <w:tab w:val="right" w:pos="10350"/>
      </w:tabs>
      <w:ind w:left="0" w:right="18"/>
    </w:pPr>
    <w:r>
      <w:t>Unofficial Nomination Form</w:t>
    </w:r>
    <w:r w:rsidR="0002368A">
      <w:br/>
    </w:r>
    <w:r w:rsidR="00271EE7">
      <w:t>Technical Rationale for Reliability Standards</w:t>
    </w:r>
    <w:r w:rsidR="00833311" w:rsidRPr="00833311">
      <w:t xml:space="preserve"> | </w:t>
    </w:r>
    <w:r w:rsidR="00271EE7">
      <w:t>Ma</w:t>
    </w:r>
    <w:r w:rsidR="00D52B3D">
      <w:t>y</w:t>
    </w:r>
    <w:r w:rsidR="00271EE7">
      <w:t xml:space="preserve"> 2018</w:t>
    </w:r>
    <w:r>
      <w:tab/>
    </w:r>
    <w:r w:rsidR="001F52FD">
      <w:fldChar w:fldCharType="begin"/>
    </w:r>
    <w:r w:rsidR="001F52FD">
      <w:instrText xml:space="preserve"> PAGE </w:instrText>
    </w:r>
    <w:r w:rsidR="001F52FD">
      <w:fldChar w:fldCharType="separate"/>
    </w:r>
    <w:r w:rsidR="00D52B3D">
      <w:rPr>
        <w:noProof/>
      </w:rPr>
      <w:t>2</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FB2" w:rsidRDefault="00B21FB2">
      <w:r>
        <w:separator/>
      </w:r>
    </w:p>
  </w:footnote>
  <w:footnote w:type="continuationSeparator" w:id="0">
    <w:p w:rsidR="00B21FB2" w:rsidRDefault="00B21FB2">
      <w:r>
        <w:continuationSeparator/>
      </w:r>
    </w:p>
  </w:footnote>
  <w:footnote w:id="1">
    <w:p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BD1278"/>
    <w:multiLevelType w:val="hybridMultilevel"/>
    <w:tmpl w:val="72FCA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1"/>
  </w:num>
  <w:num w:numId="4">
    <w:abstractNumId w:val="16"/>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5763D"/>
    <w:rsid w:val="00064B26"/>
    <w:rsid w:val="00066EA4"/>
    <w:rsid w:val="00081BCE"/>
    <w:rsid w:val="000A70BC"/>
    <w:rsid w:val="000B36CB"/>
    <w:rsid w:val="000B7A04"/>
    <w:rsid w:val="000C32BD"/>
    <w:rsid w:val="000D7162"/>
    <w:rsid w:val="000E3AB0"/>
    <w:rsid w:val="00102A01"/>
    <w:rsid w:val="00104317"/>
    <w:rsid w:val="001346AA"/>
    <w:rsid w:val="00136931"/>
    <w:rsid w:val="001574EA"/>
    <w:rsid w:val="00193AE7"/>
    <w:rsid w:val="00196FDD"/>
    <w:rsid w:val="001A6FC8"/>
    <w:rsid w:val="001D47FD"/>
    <w:rsid w:val="001F52FD"/>
    <w:rsid w:val="00202BB5"/>
    <w:rsid w:val="00220085"/>
    <w:rsid w:val="00222203"/>
    <w:rsid w:val="00240726"/>
    <w:rsid w:val="00257B0C"/>
    <w:rsid w:val="00260BED"/>
    <w:rsid w:val="00271EE7"/>
    <w:rsid w:val="00283FB4"/>
    <w:rsid w:val="002B29E4"/>
    <w:rsid w:val="002E2423"/>
    <w:rsid w:val="002E488B"/>
    <w:rsid w:val="002F2BFE"/>
    <w:rsid w:val="00300ABD"/>
    <w:rsid w:val="003134D1"/>
    <w:rsid w:val="00366A96"/>
    <w:rsid w:val="0038676B"/>
    <w:rsid w:val="0039275D"/>
    <w:rsid w:val="003E1C41"/>
    <w:rsid w:val="0040580D"/>
    <w:rsid w:val="0041064C"/>
    <w:rsid w:val="00442ED0"/>
    <w:rsid w:val="00456B99"/>
    <w:rsid w:val="004631BF"/>
    <w:rsid w:val="00467326"/>
    <w:rsid w:val="00476B91"/>
    <w:rsid w:val="004800C7"/>
    <w:rsid w:val="004859C6"/>
    <w:rsid w:val="0048765A"/>
    <w:rsid w:val="00487E9F"/>
    <w:rsid w:val="004A1B6D"/>
    <w:rsid w:val="004A60CD"/>
    <w:rsid w:val="004B7DE3"/>
    <w:rsid w:val="004D5953"/>
    <w:rsid w:val="004E7B5C"/>
    <w:rsid w:val="00510652"/>
    <w:rsid w:val="00520FD1"/>
    <w:rsid w:val="005316C6"/>
    <w:rsid w:val="005316F3"/>
    <w:rsid w:val="00555F79"/>
    <w:rsid w:val="00563006"/>
    <w:rsid w:val="00565AB5"/>
    <w:rsid w:val="00573832"/>
    <w:rsid w:val="00583A5C"/>
    <w:rsid w:val="005A721A"/>
    <w:rsid w:val="005B7382"/>
    <w:rsid w:val="005D3F72"/>
    <w:rsid w:val="00614E63"/>
    <w:rsid w:val="0062446B"/>
    <w:rsid w:val="00631E0B"/>
    <w:rsid w:val="00652754"/>
    <w:rsid w:val="00663305"/>
    <w:rsid w:val="00676CFA"/>
    <w:rsid w:val="006826D0"/>
    <w:rsid w:val="006835BC"/>
    <w:rsid w:val="00692F16"/>
    <w:rsid w:val="00694CD1"/>
    <w:rsid w:val="006A71F1"/>
    <w:rsid w:val="006B3EC7"/>
    <w:rsid w:val="006C1F78"/>
    <w:rsid w:val="006C3C30"/>
    <w:rsid w:val="006C6BAC"/>
    <w:rsid w:val="006E67B7"/>
    <w:rsid w:val="006E7855"/>
    <w:rsid w:val="006E7949"/>
    <w:rsid w:val="00707018"/>
    <w:rsid w:val="007254EA"/>
    <w:rsid w:val="00733724"/>
    <w:rsid w:val="0074626C"/>
    <w:rsid w:val="00791651"/>
    <w:rsid w:val="007C5DB6"/>
    <w:rsid w:val="007E79B4"/>
    <w:rsid w:val="0080753A"/>
    <w:rsid w:val="00816016"/>
    <w:rsid w:val="00833311"/>
    <w:rsid w:val="00855BA8"/>
    <w:rsid w:val="008866E7"/>
    <w:rsid w:val="00896153"/>
    <w:rsid w:val="008A2272"/>
    <w:rsid w:val="008C572D"/>
    <w:rsid w:val="008F3E6E"/>
    <w:rsid w:val="00905DC1"/>
    <w:rsid w:val="00930D3B"/>
    <w:rsid w:val="00972C26"/>
    <w:rsid w:val="00973329"/>
    <w:rsid w:val="009960A3"/>
    <w:rsid w:val="00997A70"/>
    <w:rsid w:val="009A4ED6"/>
    <w:rsid w:val="009E317C"/>
    <w:rsid w:val="009F2D6A"/>
    <w:rsid w:val="00A15C0A"/>
    <w:rsid w:val="00A35DA7"/>
    <w:rsid w:val="00A6738A"/>
    <w:rsid w:val="00A90754"/>
    <w:rsid w:val="00AC0C35"/>
    <w:rsid w:val="00AD1865"/>
    <w:rsid w:val="00B146D4"/>
    <w:rsid w:val="00B21FB2"/>
    <w:rsid w:val="00B240FF"/>
    <w:rsid w:val="00B375B5"/>
    <w:rsid w:val="00B62A1A"/>
    <w:rsid w:val="00B86AB0"/>
    <w:rsid w:val="00B92780"/>
    <w:rsid w:val="00BA34E0"/>
    <w:rsid w:val="00BD61A5"/>
    <w:rsid w:val="00BE5580"/>
    <w:rsid w:val="00BF7EF4"/>
    <w:rsid w:val="00C31EA1"/>
    <w:rsid w:val="00C52B81"/>
    <w:rsid w:val="00C802A9"/>
    <w:rsid w:val="00C87293"/>
    <w:rsid w:val="00C975FA"/>
    <w:rsid w:val="00CB6B5B"/>
    <w:rsid w:val="00CC7BE7"/>
    <w:rsid w:val="00CF6E4A"/>
    <w:rsid w:val="00D06D7D"/>
    <w:rsid w:val="00D228D6"/>
    <w:rsid w:val="00D34F9C"/>
    <w:rsid w:val="00D52B3D"/>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E24246"/>
    <w:rsid w:val="00E65B2F"/>
    <w:rsid w:val="00F200CF"/>
    <w:rsid w:val="00F31926"/>
    <w:rsid w:val="00F359FF"/>
    <w:rsid w:val="00F5557A"/>
    <w:rsid w:val="00FB5404"/>
    <w:rsid w:val="00FC7B36"/>
    <w:rsid w:val="00FD1345"/>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McMeekin@nerc.net?subject=Technical%20Rationale%20Tea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TechnicalRationaleforReliabilityStandard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35774f5b251a4c4c87c8d728e93da9f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C9BBB1ADEFCA459D2FEF77985A6010" ma:contentTypeVersion="24" ma:contentTypeDescription="Create a new document." ma:contentTypeScope="" ma:versionID="27f03935cc91952f0895352055dac280">
  <xsd:schema xmlns:xsd="http://www.w3.org/2001/XMLSchema" xmlns:xs="http://www.w3.org/2001/XMLSchema" xmlns:p="http://schemas.microsoft.com/office/2006/metadata/properties" xmlns:ns2="d255dc3e-053e-4b62-8283-68abfc61cdbb" targetNamespace="http://schemas.microsoft.com/office/2006/metadata/properties" ma:root="true" ma:fieldsID="e9194a7879dd29db414fdcda70fd5dd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61D94-8A9B-4192-90AA-CB1B56096FEE}"/>
</file>

<file path=customXml/itemProps2.xml><?xml version="1.0" encoding="utf-8"?>
<ds:datastoreItem xmlns:ds="http://schemas.openxmlformats.org/officeDocument/2006/customXml" ds:itemID="{1FA1D400-2C2F-43CE-9427-E3BA39C934FD}"/>
</file>

<file path=customXml/itemProps3.xml><?xml version="1.0" encoding="utf-8"?>
<ds:datastoreItem xmlns:ds="http://schemas.openxmlformats.org/officeDocument/2006/customXml" ds:itemID="{5C38DB56-92EB-4796-8EC0-0C069F4780F6}"/>
</file>

<file path=customXml/itemProps4.xml><?xml version="1.0" encoding="utf-8"?>
<ds:datastoreItem xmlns:ds="http://schemas.openxmlformats.org/officeDocument/2006/customXml" ds:itemID="{7F06EB6A-9D25-4CD4-9BCB-13619B5351CF}"/>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2018-05-04T21:16:00Z</dcterms:created>
  <dcterms:modified xsi:type="dcterms:W3CDTF">2018-05-04T21:17:00Z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0x01010062C9BBB1ADEFCA459D2FEF77985A6010</vt:lpwstr>
  </property>
  <property fmtid="{D5CDD505-2E9C-101B-9397-08002B2CF9AE}" pid="3" name="_dlc_DocIdItemGuid">
    <vt:lpwstr>15268b01-b896-48a2-aca1-048c1256c011</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