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EA" w:rsidRDefault="00F67CEA" w:rsidP="00F67CEA">
      <w:pPr>
        <w:pStyle w:val="DocumentTitle"/>
        <w:spacing w:before="0"/>
        <w:ind w:left="0"/>
        <w:rPr>
          <w:sz w:val="32"/>
          <w:szCs w:val="32"/>
        </w:rPr>
      </w:pPr>
      <w:bookmarkStart w:id="0" w:name="_Toc195946480"/>
    </w:p>
    <w:p w:rsidR="00F67CEA" w:rsidRDefault="00F67CEA" w:rsidP="00F67CEA">
      <w:pPr>
        <w:pStyle w:val="DocumentTitle"/>
        <w:spacing w:before="0"/>
        <w:ind w:left="0"/>
        <w:rPr>
          <w:sz w:val="32"/>
          <w:szCs w:val="32"/>
        </w:rPr>
      </w:pPr>
    </w:p>
    <w:p w:rsidR="00F67CEA" w:rsidRDefault="00F67CEA" w:rsidP="00F67CEA">
      <w:pPr>
        <w:pStyle w:val="DocumentTitle"/>
        <w:spacing w:before="0"/>
        <w:ind w:left="0"/>
        <w:rPr>
          <w:sz w:val="32"/>
          <w:szCs w:val="32"/>
        </w:rPr>
      </w:pPr>
    </w:p>
    <w:p w:rsidR="00F67CEA" w:rsidRPr="0036127D" w:rsidRDefault="00F67CEA" w:rsidP="00A04296">
      <w:pPr>
        <w:pStyle w:val="DocumentTitle"/>
        <w:spacing w:before="0"/>
        <w:ind w:left="-450"/>
        <w:rPr>
          <w:sz w:val="40"/>
          <w:szCs w:val="40"/>
        </w:rPr>
      </w:pPr>
      <w:r w:rsidRPr="0036127D">
        <w:rPr>
          <w:sz w:val="40"/>
          <w:szCs w:val="40"/>
        </w:rPr>
        <w:t>Project 2012-INT-04 Interpretation for ITC</w:t>
      </w:r>
    </w:p>
    <w:bookmarkEnd w:id="0"/>
    <w:p w:rsidR="0036127D" w:rsidRPr="0036127D" w:rsidRDefault="00F67CEA" w:rsidP="00A04296">
      <w:pPr>
        <w:pStyle w:val="Header"/>
        <w:ind w:left="-450"/>
        <w:rPr>
          <w:rFonts w:ascii="Tahoma" w:hAnsi="Tahoma" w:cs="Tahoma"/>
          <w:bCs/>
          <w:color w:val="143970"/>
          <w:sz w:val="24"/>
          <w:szCs w:val="24"/>
        </w:rPr>
      </w:pPr>
      <w:r w:rsidRPr="0036127D">
        <w:rPr>
          <w:rFonts w:ascii="Tahoma" w:hAnsi="Tahoma" w:cs="Tahoma"/>
          <w:bCs/>
          <w:color w:val="143970"/>
          <w:sz w:val="24"/>
          <w:szCs w:val="24"/>
        </w:rPr>
        <w:t>Unoffic</w:t>
      </w:r>
      <w:r w:rsidRPr="0036127D">
        <w:rPr>
          <w:rFonts w:ascii="Tahoma" w:hAnsi="Tahoma" w:cs="Tahoma"/>
          <w:bCs/>
          <w:noProof/>
          <w:color w:val="143970"/>
          <w:sz w:val="24"/>
          <w:szCs w:val="24"/>
        </w:rPr>
        <w:drawing>
          <wp:anchor distT="0" distB="0" distL="114300" distR="114300" simplePos="0" relativeHeight="251659264" behindDoc="1" locked="0" layoutInCell="1" allowOverlap="1">
            <wp:simplePos x="0" y="0"/>
            <wp:positionH relativeFrom="page">
              <wp:posOffset>228600</wp:posOffset>
            </wp:positionH>
            <wp:positionV relativeFrom="page">
              <wp:posOffset>228600</wp:posOffset>
            </wp:positionV>
            <wp:extent cx="7315200" cy="683895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315200" cy="6839585"/>
                    </a:xfrm>
                    <a:prstGeom prst="rect">
                      <a:avLst/>
                    </a:prstGeom>
                    <a:noFill/>
                  </pic:spPr>
                </pic:pic>
              </a:graphicData>
            </a:graphic>
          </wp:anchor>
        </w:drawing>
      </w:r>
      <w:r w:rsidR="0036127D" w:rsidRPr="0036127D">
        <w:rPr>
          <w:rFonts w:ascii="Tahoma" w:hAnsi="Tahoma" w:cs="Tahoma"/>
          <w:bCs/>
          <w:color w:val="143970"/>
          <w:sz w:val="24"/>
          <w:szCs w:val="24"/>
        </w:rPr>
        <w:t>ial Comment Form</w:t>
      </w:r>
    </w:p>
    <w:p w:rsidR="00F67CEA" w:rsidRPr="0036127D" w:rsidRDefault="0036127D" w:rsidP="00A04296">
      <w:pPr>
        <w:pStyle w:val="Header"/>
        <w:ind w:left="-450"/>
        <w:rPr>
          <w:rFonts w:asciiTheme="minorHAnsi" w:hAnsiTheme="minorHAnsi"/>
          <w:sz w:val="24"/>
          <w:szCs w:val="24"/>
        </w:rPr>
      </w:pPr>
      <w:r w:rsidRPr="0036127D">
        <w:rPr>
          <w:rFonts w:ascii="Tahoma" w:hAnsi="Tahoma" w:cs="Tahoma"/>
          <w:bCs/>
          <w:color w:val="143970"/>
          <w:sz w:val="24"/>
          <w:szCs w:val="24"/>
        </w:rPr>
        <w:t xml:space="preserve">Project 2012-INT-04 </w:t>
      </w:r>
      <w:r w:rsidR="00F67CEA" w:rsidRPr="0036127D">
        <w:rPr>
          <w:rFonts w:ascii="Tahoma" w:hAnsi="Tahoma" w:cs="Tahoma"/>
          <w:bCs/>
          <w:color w:val="143970"/>
          <w:sz w:val="24"/>
          <w:szCs w:val="24"/>
        </w:rPr>
        <w:t>Interpretation of CIP-007</w:t>
      </w:r>
      <w:r>
        <w:rPr>
          <w:rFonts w:ascii="Tahoma" w:hAnsi="Tahoma" w:cs="Tahoma"/>
          <w:bCs/>
          <w:color w:val="143970"/>
          <w:sz w:val="24"/>
          <w:szCs w:val="24"/>
        </w:rPr>
        <w:t>-3</w:t>
      </w:r>
      <w:r>
        <w:rPr>
          <w:rFonts w:ascii="Tahoma" w:hAnsi="Tahoma" w:cs="Tahoma"/>
          <w:bCs/>
          <w:color w:val="143970"/>
          <w:sz w:val="24"/>
          <w:szCs w:val="24"/>
        </w:rPr>
        <w:br/>
      </w:r>
      <w:r w:rsidR="00F67CEA" w:rsidRPr="0036127D">
        <w:rPr>
          <w:rFonts w:ascii="Tahoma" w:hAnsi="Tahoma" w:cs="Tahoma"/>
          <w:bCs/>
          <w:color w:val="143970"/>
          <w:sz w:val="24"/>
          <w:szCs w:val="24"/>
        </w:rPr>
        <w:t>Applicability Section and Requirement R5 for ITC</w:t>
      </w:r>
    </w:p>
    <w:p w:rsidR="00F67CEA" w:rsidRPr="00592F54" w:rsidRDefault="00F67CEA" w:rsidP="00A04296">
      <w:pPr>
        <w:ind w:left="-450"/>
        <w:rPr>
          <w:rFonts w:asciiTheme="minorHAnsi" w:hAnsiTheme="minorHAnsi"/>
          <w:sz w:val="24"/>
          <w:szCs w:val="24"/>
        </w:rPr>
      </w:pPr>
    </w:p>
    <w:p w:rsidR="0038592D" w:rsidRPr="0036127D" w:rsidRDefault="0038592D" w:rsidP="00A04296">
      <w:pPr>
        <w:ind w:left="-450"/>
        <w:rPr>
          <w:rFonts w:asciiTheme="minorHAnsi" w:hAnsiTheme="minorHAnsi"/>
          <w:sz w:val="24"/>
          <w:szCs w:val="24"/>
        </w:rPr>
      </w:pPr>
      <w:r w:rsidRPr="0036127D">
        <w:rPr>
          <w:rFonts w:asciiTheme="minorHAnsi" w:hAnsiTheme="minorHAnsi"/>
          <w:sz w:val="24"/>
          <w:szCs w:val="24"/>
        </w:rPr>
        <w:t xml:space="preserve">Please </w:t>
      </w:r>
      <w:r w:rsidRPr="00514C64">
        <w:rPr>
          <w:rFonts w:asciiTheme="minorHAnsi" w:hAnsiTheme="minorHAnsi"/>
          <w:b/>
          <w:color w:val="FF0000"/>
          <w:sz w:val="24"/>
          <w:szCs w:val="24"/>
        </w:rPr>
        <w:t>DO NOT</w:t>
      </w:r>
      <w:r w:rsidRPr="0036127D">
        <w:rPr>
          <w:rFonts w:asciiTheme="minorHAnsi" w:hAnsiTheme="minorHAnsi"/>
          <w:b/>
          <w:sz w:val="24"/>
          <w:szCs w:val="24"/>
        </w:rPr>
        <w:t xml:space="preserve"> </w:t>
      </w:r>
      <w:proofErr w:type="gramStart"/>
      <w:r w:rsidRPr="0036127D">
        <w:rPr>
          <w:rFonts w:asciiTheme="minorHAnsi" w:hAnsiTheme="minorHAnsi"/>
          <w:sz w:val="24"/>
          <w:szCs w:val="24"/>
        </w:rPr>
        <w:t>use</w:t>
      </w:r>
      <w:proofErr w:type="gramEnd"/>
      <w:r w:rsidRPr="0036127D">
        <w:rPr>
          <w:rFonts w:asciiTheme="minorHAnsi" w:hAnsiTheme="minorHAnsi"/>
          <w:sz w:val="24"/>
          <w:szCs w:val="24"/>
        </w:rPr>
        <w:t xml:space="preserve"> this form to submit comments.  Please use the </w:t>
      </w:r>
      <w:hyperlink r:id="rId8" w:history="1">
        <w:r w:rsidRPr="00AE601F">
          <w:rPr>
            <w:rStyle w:val="Hyperlink"/>
            <w:rFonts w:asciiTheme="minorHAnsi" w:hAnsiTheme="minorHAnsi"/>
            <w:sz w:val="24"/>
            <w:szCs w:val="24"/>
          </w:rPr>
          <w:t>electronic comment</w:t>
        </w:r>
      </w:hyperlink>
      <w:r w:rsidRPr="0036127D">
        <w:rPr>
          <w:rFonts w:asciiTheme="minorHAnsi" w:hAnsiTheme="minorHAnsi"/>
          <w:sz w:val="24"/>
          <w:szCs w:val="24"/>
        </w:rPr>
        <w:t xml:space="preserve"> </w:t>
      </w:r>
      <w:r w:rsidR="00177EF4">
        <w:rPr>
          <w:rFonts w:asciiTheme="minorHAnsi" w:hAnsiTheme="minorHAnsi"/>
          <w:sz w:val="24"/>
          <w:szCs w:val="24"/>
        </w:rPr>
        <w:t xml:space="preserve">form </w:t>
      </w:r>
      <w:r w:rsidR="00725938">
        <w:rPr>
          <w:rFonts w:asciiTheme="minorHAnsi" w:hAnsiTheme="minorHAnsi"/>
          <w:sz w:val="24"/>
          <w:szCs w:val="24"/>
        </w:rPr>
        <w:t xml:space="preserve">to submit comments </w:t>
      </w:r>
      <w:r w:rsidRPr="0036127D">
        <w:rPr>
          <w:rFonts w:asciiTheme="minorHAnsi" w:hAnsiTheme="minorHAnsi"/>
          <w:sz w:val="24"/>
          <w:szCs w:val="24"/>
        </w:rPr>
        <w:t xml:space="preserve">on the </w:t>
      </w:r>
      <w:r w:rsidR="0051028B" w:rsidRPr="0036127D">
        <w:rPr>
          <w:rFonts w:asciiTheme="minorHAnsi" w:hAnsiTheme="minorHAnsi"/>
          <w:sz w:val="24"/>
          <w:szCs w:val="24"/>
        </w:rPr>
        <w:t>Interpretation of CIP-00</w:t>
      </w:r>
      <w:r w:rsidR="00707296" w:rsidRPr="0036127D">
        <w:rPr>
          <w:rFonts w:asciiTheme="minorHAnsi" w:hAnsiTheme="minorHAnsi"/>
          <w:sz w:val="24"/>
          <w:szCs w:val="24"/>
        </w:rPr>
        <w:t>7</w:t>
      </w:r>
      <w:r w:rsidR="0051028B" w:rsidRPr="0036127D">
        <w:rPr>
          <w:rFonts w:asciiTheme="minorHAnsi" w:hAnsiTheme="minorHAnsi"/>
          <w:sz w:val="24"/>
          <w:szCs w:val="24"/>
        </w:rPr>
        <w:t>-3</w:t>
      </w:r>
      <w:r w:rsidR="00707296" w:rsidRPr="0036127D">
        <w:rPr>
          <w:rFonts w:asciiTheme="minorHAnsi" w:hAnsiTheme="minorHAnsi"/>
          <w:sz w:val="24"/>
          <w:szCs w:val="24"/>
        </w:rPr>
        <w:t>, Requirement R5</w:t>
      </w:r>
      <w:r w:rsidR="003312D6" w:rsidRPr="0036127D">
        <w:rPr>
          <w:rFonts w:asciiTheme="minorHAnsi" w:hAnsiTheme="minorHAnsi"/>
          <w:sz w:val="24"/>
          <w:szCs w:val="24"/>
        </w:rPr>
        <w:t xml:space="preserve">, for </w:t>
      </w:r>
      <w:r w:rsidR="00707296" w:rsidRPr="0036127D">
        <w:rPr>
          <w:rFonts w:asciiTheme="minorHAnsi" w:hAnsiTheme="minorHAnsi"/>
          <w:sz w:val="24"/>
          <w:szCs w:val="24"/>
        </w:rPr>
        <w:t>ITC</w:t>
      </w:r>
      <w:r w:rsidRPr="0036127D">
        <w:rPr>
          <w:rFonts w:asciiTheme="minorHAnsi" w:hAnsiTheme="minorHAnsi"/>
          <w:bCs/>
          <w:sz w:val="24"/>
          <w:szCs w:val="24"/>
        </w:rPr>
        <w:t xml:space="preserve"> (Project </w:t>
      </w:r>
      <w:r w:rsidR="003312D6" w:rsidRPr="0036127D">
        <w:rPr>
          <w:rFonts w:asciiTheme="minorHAnsi" w:hAnsiTheme="minorHAnsi"/>
          <w:bCs/>
          <w:sz w:val="24"/>
          <w:szCs w:val="24"/>
        </w:rPr>
        <w:t>2012-INT-0</w:t>
      </w:r>
      <w:r w:rsidR="00707296" w:rsidRPr="0036127D">
        <w:rPr>
          <w:rFonts w:asciiTheme="minorHAnsi" w:hAnsiTheme="minorHAnsi"/>
          <w:bCs/>
          <w:sz w:val="24"/>
          <w:szCs w:val="24"/>
        </w:rPr>
        <w:t>4)</w:t>
      </w:r>
      <w:r w:rsidRPr="0036127D">
        <w:rPr>
          <w:rFonts w:asciiTheme="minorHAnsi" w:hAnsiTheme="minorHAnsi"/>
          <w:sz w:val="24"/>
          <w:szCs w:val="24"/>
        </w:rPr>
        <w:t xml:space="preserve">.  The electronic comment form must be </w:t>
      </w:r>
      <w:r w:rsidR="00514C64">
        <w:rPr>
          <w:rFonts w:asciiTheme="minorHAnsi" w:hAnsiTheme="minorHAnsi"/>
          <w:sz w:val="24"/>
          <w:szCs w:val="24"/>
        </w:rPr>
        <w:t>completed</w:t>
      </w:r>
      <w:r w:rsidRPr="0036127D">
        <w:rPr>
          <w:rFonts w:asciiTheme="minorHAnsi" w:hAnsiTheme="minorHAnsi"/>
          <w:sz w:val="24"/>
          <w:szCs w:val="24"/>
        </w:rPr>
        <w:t xml:space="preserve"> by</w:t>
      </w:r>
      <w:r w:rsidR="00725938">
        <w:rPr>
          <w:rFonts w:asciiTheme="minorHAnsi" w:hAnsiTheme="minorHAnsi"/>
          <w:sz w:val="24"/>
          <w:szCs w:val="24"/>
        </w:rPr>
        <w:t xml:space="preserve"> </w:t>
      </w:r>
      <w:r w:rsidR="00725938" w:rsidRPr="00514C64">
        <w:rPr>
          <w:rFonts w:asciiTheme="minorHAnsi" w:hAnsiTheme="minorHAnsi"/>
          <w:color w:val="000000" w:themeColor="text1"/>
          <w:sz w:val="24"/>
          <w:szCs w:val="24"/>
        </w:rPr>
        <w:t>8 p.m. ET</w:t>
      </w:r>
      <w:r w:rsidR="00725938" w:rsidRPr="00725938">
        <w:rPr>
          <w:rFonts w:asciiTheme="minorHAnsi" w:hAnsiTheme="minorHAnsi"/>
          <w:b/>
          <w:color w:val="FF0000"/>
          <w:sz w:val="24"/>
          <w:szCs w:val="24"/>
        </w:rPr>
        <w:t xml:space="preserve"> December 10, 2012</w:t>
      </w:r>
      <w:r w:rsidRPr="00725938">
        <w:rPr>
          <w:rFonts w:asciiTheme="minorHAnsi" w:hAnsiTheme="minorHAnsi"/>
          <w:b/>
          <w:color w:val="000000" w:themeColor="text1"/>
          <w:sz w:val="24"/>
          <w:szCs w:val="24"/>
        </w:rPr>
        <w:t>.</w:t>
      </w:r>
    </w:p>
    <w:p w:rsidR="0038592D" w:rsidRPr="0036127D" w:rsidRDefault="0038592D" w:rsidP="00A04296">
      <w:pPr>
        <w:ind w:left="-450"/>
        <w:rPr>
          <w:rFonts w:asciiTheme="minorHAnsi" w:hAnsiTheme="minorHAnsi"/>
          <w:sz w:val="24"/>
          <w:szCs w:val="24"/>
        </w:rPr>
      </w:pPr>
    </w:p>
    <w:p w:rsidR="00164523" w:rsidRPr="0036127D" w:rsidRDefault="00F648E8" w:rsidP="00514C64">
      <w:pPr>
        <w:ind w:left="-450"/>
        <w:rPr>
          <w:rFonts w:asciiTheme="minorHAnsi" w:hAnsiTheme="minorHAnsi"/>
          <w:sz w:val="24"/>
          <w:szCs w:val="24"/>
        </w:rPr>
      </w:pPr>
      <w:hyperlink r:id="rId9" w:history="1">
        <w:r w:rsidR="00514C64">
          <w:rPr>
            <w:rStyle w:val="Hyperlink"/>
            <w:rFonts w:asciiTheme="minorHAnsi" w:hAnsiTheme="minorHAnsi"/>
            <w:sz w:val="24"/>
            <w:szCs w:val="24"/>
          </w:rPr>
          <w:t>Project Page</w:t>
        </w:r>
      </w:hyperlink>
    </w:p>
    <w:p w:rsidR="00F77899" w:rsidRPr="0036127D" w:rsidRDefault="00F77899" w:rsidP="00A04296">
      <w:pPr>
        <w:ind w:left="-450"/>
        <w:rPr>
          <w:rFonts w:asciiTheme="minorHAnsi" w:hAnsiTheme="minorHAnsi"/>
          <w:sz w:val="24"/>
          <w:szCs w:val="24"/>
        </w:rPr>
      </w:pPr>
    </w:p>
    <w:p w:rsidR="004759E2" w:rsidRPr="0036127D" w:rsidRDefault="004759E2" w:rsidP="00A04296">
      <w:pPr>
        <w:ind w:left="-450"/>
        <w:rPr>
          <w:rFonts w:asciiTheme="minorHAnsi" w:hAnsiTheme="minorHAnsi"/>
          <w:sz w:val="24"/>
          <w:szCs w:val="24"/>
        </w:rPr>
      </w:pPr>
      <w:r w:rsidRPr="0036127D">
        <w:rPr>
          <w:rFonts w:asciiTheme="minorHAnsi" w:hAnsiTheme="minorHAnsi"/>
          <w:sz w:val="24"/>
          <w:szCs w:val="24"/>
        </w:rPr>
        <w:t xml:space="preserve">If you have questions please contact </w:t>
      </w:r>
      <w:r w:rsidR="00E53AED" w:rsidRPr="0036127D">
        <w:rPr>
          <w:rFonts w:asciiTheme="minorHAnsi" w:hAnsiTheme="minorHAnsi"/>
          <w:sz w:val="24"/>
          <w:szCs w:val="24"/>
        </w:rPr>
        <w:t>Steven Noess</w:t>
      </w:r>
      <w:r w:rsidR="006B1C30" w:rsidRPr="0036127D">
        <w:rPr>
          <w:rFonts w:asciiTheme="minorHAnsi" w:hAnsiTheme="minorHAnsi"/>
          <w:sz w:val="24"/>
          <w:szCs w:val="24"/>
        </w:rPr>
        <w:t xml:space="preserve"> </w:t>
      </w:r>
      <w:r w:rsidRPr="0036127D">
        <w:rPr>
          <w:rFonts w:asciiTheme="minorHAnsi" w:hAnsiTheme="minorHAnsi"/>
          <w:sz w:val="24"/>
          <w:szCs w:val="24"/>
        </w:rPr>
        <w:t xml:space="preserve">at </w:t>
      </w:r>
      <w:hyperlink r:id="rId10" w:history="1">
        <w:r w:rsidR="00E53AED" w:rsidRPr="0036127D">
          <w:rPr>
            <w:rStyle w:val="Hyperlink"/>
            <w:rFonts w:asciiTheme="minorHAnsi" w:hAnsiTheme="minorHAnsi"/>
            <w:sz w:val="24"/>
            <w:szCs w:val="24"/>
          </w:rPr>
          <w:t>steven.noess@nerc.net</w:t>
        </w:r>
      </w:hyperlink>
      <w:r w:rsidR="00E53AED" w:rsidRPr="0036127D">
        <w:rPr>
          <w:rFonts w:asciiTheme="minorHAnsi" w:hAnsiTheme="minorHAnsi"/>
          <w:sz w:val="24"/>
          <w:szCs w:val="24"/>
        </w:rPr>
        <w:t xml:space="preserve"> </w:t>
      </w:r>
      <w:r w:rsidRPr="0036127D">
        <w:rPr>
          <w:rFonts w:asciiTheme="minorHAnsi" w:hAnsiTheme="minorHAnsi"/>
          <w:sz w:val="24"/>
          <w:szCs w:val="24"/>
        </w:rPr>
        <w:t xml:space="preserve">or by telephone at </w:t>
      </w:r>
      <w:r w:rsidR="00C3724E" w:rsidRPr="0036127D">
        <w:rPr>
          <w:rFonts w:asciiTheme="minorHAnsi" w:hAnsiTheme="minorHAnsi"/>
          <w:sz w:val="24"/>
          <w:szCs w:val="24"/>
        </w:rPr>
        <w:t>404.446.</w:t>
      </w:r>
      <w:r w:rsidR="00E53AED" w:rsidRPr="0036127D">
        <w:rPr>
          <w:rFonts w:asciiTheme="minorHAnsi" w:hAnsiTheme="minorHAnsi"/>
          <w:sz w:val="24"/>
          <w:szCs w:val="24"/>
        </w:rPr>
        <w:t>9691</w:t>
      </w:r>
      <w:r w:rsidRPr="0036127D">
        <w:rPr>
          <w:rFonts w:asciiTheme="minorHAnsi" w:hAnsiTheme="minorHAnsi"/>
          <w:sz w:val="24"/>
          <w:szCs w:val="24"/>
        </w:rPr>
        <w:t>.</w:t>
      </w:r>
    </w:p>
    <w:p w:rsidR="00597653" w:rsidRDefault="00597653" w:rsidP="00A04296">
      <w:pPr>
        <w:ind w:left="-450"/>
        <w:rPr>
          <w:rFonts w:ascii="Verdana" w:hAnsi="Verdana"/>
          <w:sz w:val="20"/>
        </w:rPr>
      </w:pPr>
    </w:p>
    <w:p w:rsidR="00597653" w:rsidRPr="00597653" w:rsidRDefault="00597653" w:rsidP="00A04296">
      <w:pPr>
        <w:pStyle w:val="Heading3"/>
        <w:spacing w:before="0" w:after="0"/>
        <w:ind w:left="-450"/>
        <w:rPr>
          <w:rFonts w:ascii="Verdana" w:hAnsi="Verdana"/>
          <w:b/>
          <w:sz w:val="22"/>
          <w:szCs w:val="22"/>
        </w:rPr>
      </w:pPr>
      <w:r w:rsidRPr="00597653">
        <w:rPr>
          <w:rFonts w:ascii="Verdana" w:hAnsi="Verdana"/>
          <w:b/>
          <w:sz w:val="22"/>
          <w:szCs w:val="22"/>
        </w:rPr>
        <w:t xml:space="preserve">Background Information </w:t>
      </w:r>
    </w:p>
    <w:p w:rsidR="0051028B" w:rsidRPr="0036127D" w:rsidRDefault="0051028B" w:rsidP="00A04296">
      <w:pPr>
        <w:pStyle w:val="Default"/>
        <w:ind w:left="-450"/>
        <w:rPr>
          <w:rFonts w:asciiTheme="minorHAnsi" w:hAnsiTheme="minorHAnsi" w:cs="Tahoma"/>
        </w:rPr>
      </w:pPr>
      <w:r w:rsidRPr="0036127D">
        <w:rPr>
          <w:rFonts w:asciiTheme="minorHAnsi" w:hAnsiTheme="minorHAnsi" w:cs="Tahoma"/>
        </w:rPr>
        <w:t>In May 2011, the Standards Committee appointed a standing CIP Interpretation Drafting Team</w:t>
      </w:r>
      <w:r w:rsidR="00F77899" w:rsidRPr="0036127D">
        <w:rPr>
          <w:rFonts w:asciiTheme="minorHAnsi" w:hAnsiTheme="minorHAnsi" w:cs="Tahoma"/>
        </w:rPr>
        <w:t xml:space="preserve"> (IDT)</w:t>
      </w:r>
      <w:r w:rsidRPr="0036127D">
        <w:rPr>
          <w:rFonts w:asciiTheme="minorHAnsi" w:hAnsiTheme="minorHAnsi" w:cs="Tahoma"/>
        </w:rPr>
        <w:t xml:space="preserve"> for the development of CIP Interpretations. A project team from the CIP </w:t>
      </w:r>
      <w:r w:rsidR="00F77899" w:rsidRPr="0036127D">
        <w:rPr>
          <w:rFonts w:asciiTheme="minorHAnsi" w:hAnsiTheme="minorHAnsi" w:cs="Tahoma"/>
        </w:rPr>
        <w:t>IDT</w:t>
      </w:r>
      <w:r w:rsidRPr="0036127D">
        <w:rPr>
          <w:rFonts w:asciiTheme="minorHAnsi" w:hAnsiTheme="minorHAnsi" w:cs="Tahoma"/>
        </w:rPr>
        <w:t xml:space="preserve"> has reviewed </w:t>
      </w:r>
      <w:r w:rsidR="00707296" w:rsidRPr="0036127D">
        <w:rPr>
          <w:rFonts w:asciiTheme="minorHAnsi" w:hAnsiTheme="minorHAnsi" w:cs="Tahoma"/>
        </w:rPr>
        <w:t>ITC</w:t>
      </w:r>
      <w:r w:rsidRPr="0036127D">
        <w:rPr>
          <w:rFonts w:asciiTheme="minorHAnsi" w:hAnsiTheme="minorHAnsi" w:cs="Tahoma"/>
        </w:rPr>
        <w:t xml:space="preserve">’s request for interpretation and developed this interpretation pursuant to the NERC Guidelines for </w:t>
      </w:r>
      <w:r w:rsidR="00F77899" w:rsidRPr="0036127D">
        <w:rPr>
          <w:rFonts w:asciiTheme="minorHAnsi" w:hAnsiTheme="minorHAnsi" w:cs="Tahoma"/>
        </w:rPr>
        <w:t>IDTs</w:t>
      </w:r>
      <w:r w:rsidRPr="0036127D">
        <w:rPr>
          <w:rFonts w:asciiTheme="minorHAnsi" w:hAnsiTheme="minorHAnsi" w:cs="Tahoma"/>
        </w:rPr>
        <w:t xml:space="preserve">. (Available at: </w:t>
      </w:r>
      <w:hyperlink r:id="rId11" w:history="1">
        <w:r w:rsidR="00514C64">
          <w:rPr>
            <w:rStyle w:val="Hyperlink"/>
            <w:rFonts w:asciiTheme="minorHAnsi" w:hAnsiTheme="minorHAnsi" w:cs="Tahoma"/>
          </w:rPr>
          <w:t>Guidelines for Interpretation Drafting Teams</w:t>
        </w:r>
      </w:hyperlink>
      <w:r w:rsidR="00514C64">
        <w:rPr>
          <w:rFonts w:asciiTheme="minorHAnsi" w:hAnsiTheme="minorHAnsi"/>
        </w:rPr>
        <w:t>)</w:t>
      </w:r>
      <w:r w:rsidR="0093085F">
        <w:rPr>
          <w:rFonts w:asciiTheme="minorHAnsi" w:hAnsiTheme="minorHAnsi"/>
        </w:rPr>
        <w:t>.</w:t>
      </w:r>
    </w:p>
    <w:p w:rsidR="0051028B" w:rsidRPr="0036127D" w:rsidRDefault="0051028B" w:rsidP="00A04296">
      <w:pPr>
        <w:pStyle w:val="Default"/>
        <w:ind w:left="-450"/>
        <w:rPr>
          <w:rFonts w:asciiTheme="minorHAnsi" w:hAnsiTheme="minorHAnsi" w:cs="Tahoma"/>
        </w:rPr>
      </w:pPr>
      <w:r w:rsidRPr="0036127D">
        <w:rPr>
          <w:rFonts w:asciiTheme="minorHAnsi" w:hAnsiTheme="minorHAnsi" w:cs="Tahoma"/>
        </w:rPr>
        <w:t> </w:t>
      </w:r>
    </w:p>
    <w:p w:rsidR="00CD60B6" w:rsidRPr="0036127D" w:rsidRDefault="00363C2F" w:rsidP="00A04296">
      <w:pPr>
        <w:pStyle w:val="Default"/>
        <w:ind w:left="-450"/>
        <w:rPr>
          <w:rFonts w:asciiTheme="minorHAnsi" w:hAnsiTheme="minorHAnsi" w:cs="Tahoma"/>
        </w:rPr>
      </w:pPr>
      <w:r w:rsidRPr="0036127D">
        <w:rPr>
          <w:rFonts w:asciiTheme="minorHAnsi" w:hAnsiTheme="minorHAnsi" w:cs="Tahoma"/>
        </w:rPr>
        <w:t>The stated purpose of CIP-00</w:t>
      </w:r>
      <w:r w:rsidR="00F5244A" w:rsidRPr="0036127D">
        <w:rPr>
          <w:rFonts w:asciiTheme="minorHAnsi" w:hAnsiTheme="minorHAnsi" w:cs="Tahoma"/>
        </w:rPr>
        <w:t>7</w:t>
      </w:r>
      <w:r w:rsidRPr="0036127D">
        <w:rPr>
          <w:rFonts w:asciiTheme="minorHAnsi" w:hAnsiTheme="minorHAnsi" w:cs="Tahoma"/>
        </w:rPr>
        <w:t xml:space="preserve">-3 is, in part, </w:t>
      </w:r>
      <w:r w:rsidR="00CD60B6" w:rsidRPr="0036127D">
        <w:rPr>
          <w:rFonts w:asciiTheme="minorHAnsi" w:hAnsiTheme="minorHAnsi" w:cs="Tahoma"/>
        </w:rPr>
        <w:t xml:space="preserve">“to define methods, processes, and procedures for securing those systems determined to be Critical Cyber Assets, as well as the other (non-critical) Cyber Assets within the Electronic Security Perimeter(s).” </w:t>
      </w:r>
    </w:p>
    <w:p w:rsidR="00363C2F" w:rsidRPr="0036127D" w:rsidRDefault="00363C2F" w:rsidP="00A04296">
      <w:pPr>
        <w:pStyle w:val="Default"/>
        <w:ind w:left="-450"/>
        <w:rPr>
          <w:rFonts w:asciiTheme="minorHAnsi" w:hAnsiTheme="minorHAnsi" w:cs="Tahoma"/>
        </w:rPr>
      </w:pPr>
    </w:p>
    <w:p w:rsidR="00422955" w:rsidRPr="0036127D" w:rsidRDefault="00A17FDF" w:rsidP="00A04296">
      <w:pPr>
        <w:ind w:left="-450"/>
        <w:contextualSpacing/>
        <w:rPr>
          <w:rFonts w:asciiTheme="minorHAnsi" w:hAnsiTheme="minorHAnsi" w:cs="Tahoma"/>
          <w:color w:val="000000"/>
          <w:sz w:val="24"/>
          <w:szCs w:val="24"/>
        </w:rPr>
      </w:pPr>
      <w:r w:rsidRPr="0036127D">
        <w:rPr>
          <w:rFonts w:asciiTheme="minorHAnsi" w:hAnsiTheme="minorHAnsi" w:cs="Tahoma"/>
          <w:color w:val="000000"/>
          <w:sz w:val="24"/>
          <w:szCs w:val="24"/>
        </w:rPr>
        <w:t xml:space="preserve">The IDT first examined the </w:t>
      </w:r>
      <w:r w:rsidR="00F77899" w:rsidRPr="0036127D">
        <w:rPr>
          <w:rFonts w:asciiTheme="minorHAnsi" w:hAnsiTheme="minorHAnsi" w:cs="Tahoma"/>
          <w:color w:val="000000"/>
          <w:sz w:val="24"/>
          <w:szCs w:val="24"/>
        </w:rPr>
        <w:t>request</w:t>
      </w:r>
      <w:r w:rsidR="00563C6A" w:rsidRPr="0036127D">
        <w:rPr>
          <w:rFonts w:asciiTheme="minorHAnsi" w:hAnsiTheme="minorHAnsi" w:cs="Tahoma"/>
          <w:color w:val="000000"/>
          <w:sz w:val="24"/>
          <w:szCs w:val="24"/>
        </w:rPr>
        <w:t>s</w:t>
      </w:r>
      <w:r w:rsidR="00F77899" w:rsidRPr="0036127D">
        <w:rPr>
          <w:rFonts w:asciiTheme="minorHAnsi" w:hAnsiTheme="minorHAnsi" w:cs="Tahoma"/>
          <w:color w:val="000000"/>
          <w:sz w:val="24"/>
          <w:szCs w:val="24"/>
        </w:rPr>
        <w:t xml:space="preserve"> for interpretation (RFI</w:t>
      </w:r>
      <w:r w:rsidRPr="0036127D">
        <w:rPr>
          <w:rFonts w:asciiTheme="minorHAnsi" w:hAnsiTheme="minorHAnsi" w:cs="Tahoma"/>
          <w:color w:val="000000"/>
          <w:sz w:val="24"/>
          <w:szCs w:val="24"/>
        </w:rPr>
        <w:t>s</w:t>
      </w:r>
      <w:r w:rsidR="00F77899" w:rsidRPr="0036127D">
        <w:rPr>
          <w:rFonts w:asciiTheme="minorHAnsi" w:hAnsiTheme="minorHAnsi" w:cs="Tahoma"/>
          <w:color w:val="000000"/>
          <w:sz w:val="24"/>
          <w:szCs w:val="24"/>
        </w:rPr>
        <w:t>)</w:t>
      </w:r>
      <w:r w:rsidRPr="0036127D">
        <w:rPr>
          <w:rFonts w:asciiTheme="minorHAnsi" w:hAnsiTheme="minorHAnsi" w:cs="Tahoma"/>
          <w:color w:val="000000"/>
          <w:sz w:val="24"/>
          <w:szCs w:val="24"/>
        </w:rPr>
        <w:t xml:space="preserve"> from both TECO</w:t>
      </w:r>
      <w:r w:rsidR="00563C6A" w:rsidRPr="0036127D">
        <w:rPr>
          <w:rFonts w:asciiTheme="minorHAnsi" w:hAnsiTheme="minorHAnsi" w:cs="Tahoma"/>
          <w:color w:val="000000"/>
          <w:sz w:val="24"/>
          <w:szCs w:val="24"/>
        </w:rPr>
        <w:t xml:space="preserve"> (Project 2012-INT-03)</w:t>
      </w:r>
      <w:r w:rsidRPr="0036127D">
        <w:rPr>
          <w:rFonts w:asciiTheme="minorHAnsi" w:hAnsiTheme="minorHAnsi" w:cs="Tahoma"/>
          <w:color w:val="000000"/>
          <w:sz w:val="24"/>
          <w:szCs w:val="24"/>
        </w:rPr>
        <w:t xml:space="preserve"> and ITC</w:t>
      </w:r>
      <w:r w:rsidR="00563C6A" w:rsidRPr="0036127D">
        <w:rPr>
          <w:rFonts w:asciiTheme="minorHAnsi" w:hAnsiTheme="minorHAnsi" w:cs="Tahoma"/>
          <w:color w:val="000000"/>
          <w:sz w:val="24"/>
          <w:szCs w:val="24"/>
        </w:rPr>
        <w:t>,</w:t>
      </w:r>
      <w:r w:rsidRPr="0036127D">
        <w:rPr>
          <w:rFonts w:asciiTheme="minorHAnsi" w:hAnsiTheme="minorHAnsi" w:cs="Tahoma"/>
          <w:color w:val="000000"/>
          <w:sz w:val="24"/>
          <w:szCs w:val="24"/>
        </w:rPr>
        <w:t xml:space="preserve"> and </w:t>
      </w:r>
      <w:r w:rsidR="00563C6A" w:rsidRPr="0036127D">
        <w:rPr>
          <w:rFonts w:asciiTheme="minorHAnsi" w:hAnsiTheme="minorHAnsi" w:cs="Tahoma"/>
          <w:color w:val="000000"/>
          <w:sz w:val="24"/>
          <w:szCs w:val="24"/>
        </w:rPr>
        <w:t xml:space="preserve">it determined </w:t>
      </w:r>
      <w:r w:rsidRPr="0036127D">
        <w:rPr>
          <w:rFonts w:asciiTheme="minorHAnsi" w:hAnsiTheme="minorHAnsi" w:cs="Tahoma"/>
          <w:color w:val="000000"/>
          <w:sz w:val="24"/>
          <w:szCs w:val="24"/>
        </w:rPr>
        <w:t>that</w:t>
      </w:r>
      <w:r w:rsidR="00563C6A" w:rsidRPr="0036127D">
        <w:rPr>
          <w:rFonts w:asciiTheme="minorHAnsi" w:hAnsiTheme="minorHAnsi" w:cs="Tahoma"/>
          <w:color w:val="000000"/>
          <w:sz w:val="24"/>
          <w:szCs w:val="24"/>
        </w:rPr>
        <w:t xml:space="preserve"> one interpretation effort could address both</w:t>
      </w:r>
      <w:r w:rsidR="00AF67B4" w:rsidRPr="0036127D">
        <w:rPr>
          <w:rFonts w:asciiTheme="minorHAnsi" w:hAnsiTheme="minorHAnsi" w:cs="Tahoma"/>
          <w:color w:val="000000"/>
          <w:sz w:val="24"/>
          <w:szCs w:val="24"/>
        </w:rPr>
        <w:t>.  In examining the two RFI</w:t>
      </w:r>
      <w:r w:rsidR="00422955" w:rsidRPr="0036127D">
        <w:rPr>
          <w:rFonts w:asciiTheme="minorHAnsi" w:hAnsiTheme="minorHAnsi" w:cs="Tahoma"/>
          <w:color w:val="000000"/>
          <w:sz w:val="24"/>
          <w:szCs w:val="24"/>
        </w:rPr>
        <w:t>s</w:t>
      </w:r>
      <w:r w:rsidR="00AF67B4" w:rsidRPr="0036127D">
        <w:rPr>
          <w:rFonts w:asciiTheme="minorHAnsi" w:hAnsiTheme="minorHAnsi" w:cs="Tahoma"/>
          <w:color w:val="000000"/>
          <w:sz w:val="24"/>
          <w:szCs w:val="24"/>
        </w:rPr>
        <w:t>,</w:t>
      </w:r>
      <w:r w:rsidR="00422955" w:rsidRPr="0036127D">
        <w:rPr>
          <w:rFonts w:asciiTheme="minorHAnsi" w:hAnsiTheme="minorHAnsi" w:cs="Tahoma"/>
          <w:color w:val="000000"/>
          <w:sz w:val="24"/>
          <w:szCs w:val="24"/>
        </w:rPr>
        <w:t xml:space="preserve"> the IDT identified the need </w:t>
      </w:r>
      <w:r w:rsidR="00563C6A" w:rsidRPr="0036127D">
        <w:rPr>
          <w:rFonts w:asciiTheme="minorHAnsi" w:hAnsiTheme="minorHAnsi" w:cs="Tahoma"/>
          <w:color w:val="000000"/>
          <w:sz w:val="24"/>
          <w:szCs w:val="24"/>
        </w:rPr>
        <w:t>to determine</w:t>
      </w:r>
      <w:r w:rsidR="00422955" w:rsidRPr="0036127D">
        <w:rPr>
          <w:rFonts w:asciiTheme="minorHAnsi" w:hAnsiTheme="minorHAnsi" w:cs="Tahoma"/>
          <w:color w:val="000000"/>
          <w:sz w:val="24"/>
          <w:szCs w:val="24"/>
        </w:rPr>
        <w:t xml:space="preserve"> a commonly understood </w:t>
      </w:r>
      <w:r w:rsidR="00AF67B4" w:rsidRPr="0036127D">
        <w:rPr>
          <w:rFonts w:asciiTheme="minorHAnsi" w:hAnsiTheme="minorHAnsi" w:cs="Tahoma"/>
          <w:color w:val="000000"/>
          <w:sz w:val="24"/>
          <w:szCs w:val="24"/>
        </w:rPr>
        <w:t>meaning</w:t>
      </w:r>
      <w:r w:rsidR="00422955" w:rsidRPr="0036127D">
        <w:rPr>
          <w:rFonts w:asciiTheme="minorHAnsi" w:hAnsiTheme="minorHAnsi" w:cs="Tahoma"/>
          <w:color w:val="000000"/>
          <w:sz w:val="24"/>
          <w:szCs w:val="24"/>
        </w:rPr>
        <w:t xml:space="preserve"> of </w:t>
      </w:r>
      <w:r w:rsidR="00563C6A" w:rsidRPr="0036127D">
        <w:rPr>
          <w:rFonts w:asciiTheme="minorHAnsi" w:hAnsiTheme="minorHAnsi" w:cs="Tahoma"/>
          <w:color w:val="000000"/>
          <w:sz w:val="24"/>
          <w:szCs w:val="24"/>
        </w:rPr>
        <w:t>“p</w:t>
      </w:r>
      <w:r w:rsidR="00422955" w:rsidRPr="0036127D">
        <w:rPr>
          <w:rFonts w:asciiTheme="minorHAnsi" w:hAnsiTheme="minorHAnsi" w:cs="Tahoma"/>
          <w:color w:val="000000"/>
          <w:sz w:val="24"/>
          <w:szCs w:val="24"/>
        </w:rPr>
        <w:t>rocedural</w:t>
      </w:r>
      <w:r w:rsidR="00563C6A" w:rsidRPr="0036127D">
        <w:rPr>
          <w:rFonts w:asciiTheme="minorHAnsi" w:hAnsiTheme="minorHAnsi" w:cs="Tahoma"/>
          <w:color w:val="000000"/>
          <w:sz w:val="24"/>
          <w:szCs w:val="24"/>
        </w:rPr>
        <w:t>”</w:t>
      </w:r>
      <w:r w:rsidR="00422955" w:rsidRPr="0036127D">
        <w:rPr>
          <w:rFonts w:asciiTheme="minorHAnsi" w:hAnsiTheme="minorHAnsi" w:cs="Tahoma"/>
          <w:color w:val="000000"/>
          <w:sz w:val="24"/>
          <w:szCs w:val="24"/>
        </w:rPr>
        <w:t xml:space="preserve"> and </w:t>
      </w:r>
      <w:r w:rsidR="00563C6A" w:rsidRPr="0036127D">
        <w:rPr>
          <w:rFonts w:asciiTheme="minorHAnsi" w:hAnsiTheme="minorHAnsi" w:cs="Tahoma"/>
          <w:color w:val="000000"/>
          <w:sz w:val="24"/>
          <w:szCs w:val="24"/>
        </w:rPr>
        <w:t xml:space="preserve">“technical” </w:t>
      </w:r>
      <w:r w:rsidR="00422955" w:rsidRPr="0036127D">
        <w:rPr>
          <w:rFonts w:asciiTheme="minorHAnsi" w:hAnsiTheme="minorHAnsi" w:cs="Tahoma"/>
          <w:color w:val="000000"/>
          <w:sz w:val="24"/>
          <w:szCs w:val="24"/>
        </w:rPr>
        <w:t xml:space="preserve">controls.  The IDT </w:t>
      </w:r>
      <w:r w:rsidR="00563C6A" w:rsidRPr="0036127D">
        <w:rPr>
          <w:rFonts w:asciiTheme="minorHAnsi" w:hAnsiTheme="minorHAnsi" w:cs="Tahoma"/>
          <w:color w:val="000000"/>
          <w:sz w:val="24"/>
          <w:szCs w:val="24"/>
        </w:rPr>
        <w:t>used</w:t>
      </w:r>
      <w:r w:rsidR="00422955" w:rsidRPr="0036127D">
        <w:rPr>
          <w:rFonts w:asciiTheme="minorHAnsi" w:hAnsiTheme="minorHAnsi" w:cs="Tahoma"/>
          <w:color w:val="000000"/>
          <w:sz w:val="24"/>
          <w:szCs w:val="24"/>
        </w:rPr>
        <w:t xml:space="preserve"> this </w:t>
      </w:r>
      <w:r w:rsidR="00AF67B4" w:rsidRPr="0036127D">
        <w:rPr>
          <w:rFonts w:asciiTheme="minorHAnsi" w:hAnsiTheme="minorHAnsi" w:cs="Tahoma"/>
          <w:color w:val="000000"/>
          <w:sz w:val="24"/>
          <w:szCs w:val="24"/>
        </w:rPr>
        <w:t>meaning</w:t>
      </w:r>
      <w:r w:rsidR="00422955" w:rsidRPr="0036127D">
        <w:rPr>
          <w:rFonts w:asciiTheme="minorHAnsi" w:hAnsiTheme="minorHAnsi" w:cs="Tahoma"/>
          <w:color w:val="000000"/>
          <w:sz w:val="24"/>
          <w:szCs w:val="24"/>
        </w:rPr>
        <w:t xml:space="preserve"> in </w:t>
      </w:r>
      <w:r w:rsidR="00563C6A" w:rsidRPr="0036127D">
        <w:rPr>
          <w:rFonts w:asciiTheme="minorHAnsi" w:hAnsiTheme="minorHAnsi" w:cs="Tahoma"/>
          <w:color w:val="000000"/>
          <w:sz w:val="24"/>
          <w:szCs w:val="24"/>
        </w:rPr>
        <w:t>its evaluation</w:t>
      </w:r>
      <w:r w:rsidR="00422955" w:rsidRPr="0036127D">
        <w:rPr>
          <w:rFonts w:asciiTheme="minorHAnsi" w:hAnsiTheme="minorHAnsi" w:cs="Tahoma"/>
          <w:color w:val="000000"/>
          <w:sz w:val="24"/>
          <w:szCs w:val="24"/>
        </w:rPr>
        <w:t xml:space="preserve"> of the </w:t>
      </w:r>
      <w:r w:rsidR="00AF67B4" w:rsidRPr="0036127D">
        <w:rPr>
          <w:rFonts w:asciiTheme="minorHAnsi" w:hAnsiTheme="minorHAnsi" w:cs="Tahoma"/>
          <w:color w:val="000000"/>
          <w:sz w:val="24"/>
          <w:szCs w:val="24"/>
        </w:rPr>
        <w:t>questions asked in the RFIs.</w:t>
      </w:r>
    </w:p>
    <w:p w:rsidR="00335268" w:rsidRPr="0036127D" w:rsidRDefault="00335268" w:rsidP="00A04296">
      <w:pPr>
        <w:ind w:left="-450"/>
        <w:contextualSpacing/>
        <w:rPr>
          <w:rFonts w:asciiTheme="minorHAnsi" w:hAnsiTheme="minorHAnsi" w:cs="Tahoma"/>
          <w:color w:val="000000"/>
          <w:sz w:val="24"/>
          <w:szCs w:val="24"/>
        </w:rPr>
      </w:pPr>
    </w:p>
    <w:p w:rsidR="00335268" w:rsidRPr="0036127D" w:rsidRDefault="00335268" w:rsidP="00A04296">
      <w:pPr>
        <w:ind w:left="-450"/>
        <w:contextualSpacing/>
        <w:rPr>
          <w:rFonts w:asciiTheme="minorHAnsi" w:hAnsiTheme="minorHAnsi" w:cs="Tahoma"/>
          <w:color w:val="000000"/>
          <w:sz w:val="24"/>
          <w:szCs w:val="24"/>
        </w:rPr>
      </w:pPr>
      <w:r w:rsidRPr="0036127D">
        <w:rPr>
          <w:rFonts w:asciiTheme="minorHAnsi" w:hAnsiTheme="minorHAnsi" w:cs="Tahoma"/>
          <w:color w:val="000000"/>
          <w:sz w:val="24"/>
          <w:szCs w:val="24"/>
        </w:rPr>
        <w:t xml:space="preserve">The IDT also recognized another area of work </w:t>
      </w:r>
      <w:r w:rsidR="00563C6A" w:rsidRPr="0036127D">
        <w:rPr>
          <w:rFonts w:asciiTheme="minorHAnsi" w:hAnsiTheme="minorHAnsi" w:cs="Tahoma"/>
          <w:color w:val="000000"/>
          <w:sz w:val="24"/>
          <w:szCs w:val="24"/>
        </w:rPr>
        <w:t>that is related</w:t>
      </w:r>
      <w:r w:rsidRPr="0036127D">
        <w:rPr>
          <w:rFonts w:asciiTheme="minorHAnsi" w:hAnsiTheme="minorHAnsi" w:cs="Tahoma"/>
          <w:color w:val="000000"/>
          <w:sz w:val="24"/>
          <w:szCs w:val="24"/>
        </w:rPr>
        <w:t xml:space="preserve"> to this topic introduced by NERC </w:t>
      </w:r>
      <w:r w:rsidR="00563C6A" w:rsidRPr="0036127D">
        <w:rPr>
          <w:rFonts w:asciiTheme="minorHAnsi" w:hAnsiTheme="minorHAnsi" w:cs="Tahoma"/>
          <w:color w:val="000000"/>
          <w:sz w:val="24"/>
          <w:szCs w:val="24"/>
        </w:rPr>
        <w:t>in</w:t>
      </w:r>
      <w:r w:rsidRPr="0036127D">
        <w:rPr>
          <w:rFonts w:asciiTheme="minorHAnsi" w:hAnsiTheme="minorHAnsi" w:cs="Tahoma"/>
          <w:color w:val="000000"/>
          <w:sz w:val="24"/>
          <w:szCs w:val="24"/>
        </w:rPr>
        <w:t xml:space="preserve"> CAN-0017.  CAN-0017 determined that technical and procedural controls are required under R5.1 and R5.2</w:t>
      </w:r>
      <w:r w:rsidR="00AF67B4" w:rsidRPr="0036127D">
        <w:rPr>
          <w:rFonts w:asciiTheme="minorHAnsi" w:hAnsiTheme="minorHAnsi" w:cs="Tahoma"/>
          <w:color w:val="000000"/>
          <w:sz w:val="24"/>
          <w:szCs w:val="24"/>
        </w:rPr>
        <w:t>,</w:t>
      </w:r>
      <w:r w:rsidRPr="0036127D">
        <w:rPr>
          <w:rFonts w:asciiTheme="minorHAnsi" w:hAnsiTheme="minorHAnsi" w:cs="Tahoma"/>
          <w:color w:val="000000"/>
          <w:sz w:val="24"/>
          <w:szCs w:val="24"/>
        </w:rPr>
        <w:t xml:space="preserve"> </w:t>
      </w:r>
      <w:r w:rsidR="00D6666C" w:rsidRPr="0036127D">
        <w:rPr>
          <w:rFonts w:asciiTheme="minorHAnsi" w:hAnsiTheme="minorHAnsi" w:cs="Tahoma"/>
          <w:color w:val="000000"/>
          <w:sz w:val="24"/>
          <w:szCs w:val="24"/>
        </w:rPr>
        <w:t>but both are not required for each sub-requirement</w:t>
      </w:r>
      <w:r w:rsidR="00AF67B4" w:rsidRPr="0036127D">
        <w:rPr>
          <w:rFonts w:asciiTheme="minorHAnsi" w:hAnsiTheme="minorHAnsi" w:cs="Tahoma"/>
          <w:color w:val="000000"/>
          <w:sz w:val="24"/>
          <w:szCs w:val="24"/>
        </w:rPr>
        <w:t>.  H</w:t>
      </w:r>
      <w:r w:rsidRPr="0036127D">
        <w:rPr>
          <w:rFonts w:asciiTheme="minorHAnsi" w:hAnsiTheme="minorHAnsi" w:cs="Tahoma"/>
          <w:color w:val="000000"/>
          <w:sz w:val="24"/>
          <w:szCs w:val="24"/>
        </w:rPr>
        <w:t>owever</w:t>
      </w:r>
      <w:r w:rsidR="00AF67B4" w:rsidRPr="0036127D">
        <w:rPr>
          <w:rFonts w:asciiTheme="minorHAnsi" w:hAnsiTheme="minorHAnsi" w:cs="Tahoma"/>
          <w:color w:val="000000"/>
          <w:sz w:val="24"/>
          <w:szCs w:val="24"/>
        </w:rPr>
        <w:t>, the CAN</w:t>
      </w:r>
      <w:r w:rsidRPr="0036127D">
        <w:rPr>
          <w:rFonts w:asciiTheme="minorHAnsi" w:hAnsiTheme="minorHAnsi" w:cs="Tahoma"/>
          <w:color w:val="000000"/>
          <w:sz w:val="24"/>
          <w:szCs w:val="24"/>
        </w:rPr>
        <w:t xml:space="preserve"> concluded that </w:t>
      </w:r>
      <w:r w:rsidR="00AF67B4" w:rsidRPr="0036127D">
        <w:rPr>
          <w:rFonts w:asciiTheme="minorHAnsi" w:hAnsiTheme="minorHAnsi" w:cs="Tahoma"/>
          <w:color w:val="000000"/>
          <w:sz w:val="24"/>
          <w:szCs w:val="24"/>
        </w:rPr>
        <w:t>they</w:t>
      </w:r>
      <w:r w:rsidRPr="0036127D">
        <w:rPr>
          <w:rFonts w:asciiTheme="minorHAnsi" w:hAnsiTheme="minorHAnsi" w:cs="Tahoma"/>
          <w:color w:val="000000"/>
          <w:sz w:val="24"/>
          <w:szCs w:val="24"/>
        </w:rPr>
        <w:t xml:space="preserve"> </w:t>
      </w:r>
      <w:r w:rsidR="00AF67B4" w:rsidRPr="0036127D">
        <w:rPr>
          <w:rFonts w:asciiTheme="minorHAnsi" w:hAnsiTheme="minorHAnsi" w:cs="Tahoma"/>
          <w:color w:val="000000"/>
          <w:sz w:val="24"/>
          <w:szCs w:val="24"/>
        </w:rPr>
        <w:t>were both</w:t>
      </w:r>
      <w:r w:rsidRPr="0036127D">
        <w:rPr>
          <w:rFonts w:asciiTheme="minorHAnsi" w:hAnsiTheme="minorHAnsi" w:cs="Tahoma"/>
          <w:color w:val="000000"/>
          <w:sz w:val="24"/>
          <w:szCs w:val="24"/>
        </w:rPr>
        <w:t xml:space="preserve"> required </w:t>
      </w:r>
      <w:r w:rsidR="00D6666C" w:rsidRPr="0036127D">
        <w:rPr>
          <w:rFonts w:asciiTheme="minorHAnsi" w:hAnsiTheme="minorHAnsi" w:cs="Tahoma"/>
          <w:color w:val="000000"/>
          <w:sz w:val="24"/>
          <w:szCs w:val="24"/>
        </w:rPr>
        <w:t xml:space="preserve">for the sub-requirements </w:t>
      </w:r>
      <w:r w:rsidRPr="0036127D">
        <w:rPr>
          <w:rFonts w:asciiTheme="minorHAnsi" w:hAnsiTheme="minorHAnsi" w:cs="Tahoma"/>
          <w:color w:val="000000"/>
          <w:sz w:val="24"/>
          <w:szCs w:val="24"/>
        </w:rPr>
        <w:t>under R5.3</w:t>
      </w:r>
      <w:r w:rsidR="00D6666C" w:rsidRPr="0036127D">
        <w:rPr>
          <w:rFonts w:asciiTheme="minorHAnsi" w:hAnsiTheme="minorHAnsi" w:cs="Tahoma"/>
          <w:color w:val="000000"/>
          <w:sz w:val="24"/>
          <w:szCs w:val="24"/>
        </w:rPr>
        <w:t xml:space="preserve"> or the entity would need to demonstrate the existence of a TFE.  The IDT reviewed this approach and believes that the interpretation of the language in the top level</w:t>
      </w:r>
      <w:r w:rsidR="00563C6A" w:rsidRPr="0036127D">
        <w:rPr>
          <w:rFonts w:asciiTheme="minorHAnsi" w:hAnsiTheme="minorHAnsi" w:cs="Tahoma"/>
          <w:color w:val="000000"/>
          <w:sz w:val="24"/>
          <w:szCs w:val="24"/>
        </w:rPr>
        <w:t xml:space="preserve"> Requirement</w:t>
      </w:r>
      <w:r w:rsidR="00D6666C" w:rsidRPr="0036127D">
        <w:rPr>
          <w:rFonts w:asciiTheme="minorHAnsi" w:hAnsiTheme="minorHAnsi" w:cs="Tahoma"/>
          <w:color w:val="000000"/>
          <w:sz w:val="24"/>
          <w:szCs w:val="24"/>
        </w:rPr>
        <w:t xml:space="preserve"> R5 would need to </w:t>
      </w:r>
      <w:r w:rsidR="00AF67B4" w:rsidRPr="0036127D">
        <w:rPr>
          <w:rFonts w:asciiTheme="minorHAnsi" w:hAnsiTheme="minorHAnsi" w:cs="Tahoma"/>
          <w:color w:val="000000"/>
          <w:sz w:val="24"/>
          <w:szCs w:val="24"/>
        </w:rPr>
        <w:t>have</w:t>
      </w:r>
      <w:r w:rsidR="00D6666C" w:rsidRPr="0036127D">
        <w:rPr>
          <w:rFonts w:asciiTheme="minorHAnsi" w:hAnsiTheme="minorHAnsi" w:cs="Tahoma"/>
          <w:color w:val="000000"/>
          <w:sz w:val="24"/>
          <w:szCs w:val="24"/>
        </w:rPr>
        <w:t xml:space="preserve"> a consistent application across </w:t>
      </w:r>
      <w:r w:rsidR="00563C6A" w:rsidRPr="0036127D">
        <w:rPr>
          <w:rFonts w:asciiTheme="minorHAnsi" w:hAnsiTheme="minorHAnsi" w:cs="Tahoma"/>
          <w:color w:val="000000"/>
          <w:sz w:val="24"/>
          <w:szCs w:val="24"/>
        </w:rPr>
        <w:t xml:space="preserve">all of its </w:t>
      </w:r>
      <w:r w:rsidR="00AF67B4" w:rsidRPr="0036127D">
        <w:rPr>
          <w:rFonts w:asciiTheme="minorHAnsi" w:hAnsiTheme="minorHAnsi" w:cs="Tahoma"/>
          <w:color w:val="000000"/>
          <w:sz w:val="24"/>
          <w:szCs w:val="24"/>
        </w:rPr>
        <w:t>associated sub-requirements.</w:t>
      </w:r>
      <w:r w:rsidR="00D6666C" w:rsidRPr="0036127D">
        <w:rPr>
          <w:rFonts w:asciiTheme="minorHAnsi" w:hAnsiTheme="minorHAnsi" w:cs="Tahoma"/>
          <w:color w:val="000000"/>
          <w:sz w:val="24"/>
          <w:szCs w:val="24"/>
        </w:rPr>
        <w:t xml:space="preserve">  </w:t>
      </w:r>
      <w:r w:rsidR="00AF67B4" w:rsidRPr="0036127D">
        <w:rPr>
          <w:rFonts w:asciiTheme="minorHAnsi" w:hAnsiTheme="minorHAnsi" w:cs="Tahoma"/>
          <w:color w:val="000000"/>
          <w:sz w:val="24"/>
          <w:szCs w:val="24"/>
        </w:rPr>
        <w:t>T</w:t>
      </w:r>
      <w:r w:rsidR="00F560C3" w:rsidRPr="0036127D">
        <w:rPr>
          <w:rFonts w:asciiTheme="minorHAnsi" w:hAnsiTheme="minorHAnsi" w:cs="Tahoma"/>
          <w:color w:val="000000"/>
          <w:sz w:val="24"/>
          <w:szCs w:val="24"/>
        </w:rPr>
        <w:t>he IDT n</w:t>
      </w:r>
      <w:r w:rsidR="00563C6A" w:rsidRPr="0036127D">
        <w:rPr>
          <w:rFonts w:asciiTheme="minorHAnsi" w:hAnsiTheme="minorHAnsi" w:cs="Tahoma"/>
          <w:color w:val="000000"/>
          <w:sz w:val="24"/>
          <w:szCs w:val="24"/>
        </w:rPr>
        <w:t>otes that the current CIP-007-5 (as approved through recirculation ballot)</w:t>
      </w:r>
      <w:r w:rsidR="00F560C3" w:rsidRPr="0036127D">
        <w:rPr>
          <w:rFonts w:asciiTheme="minorHAnsi" w:hAnsiTheme="minorHAnsi" w:cs="Tahoma"/>
          <w:color w:val="000000"/>
          <w:sz w:val="24"/>
          <w:szCs w:val="24"/>
        </w:rPr>
        <w:t xml:space="preserve"> has already addressed this applicability issue</w:t>
      </w:r>
      <w:r w:rsidR="00AF67B4" w:rsidRPr="0036127D">
        <w:rPr>
          <w:rFonts w:asciiTheme="minorHAnsi" w:hAnsiTheme="minorHAnsi" w:cs="Tahoma"/>
          <w:color w:val="000000"/>
          <w:sz w:val="24"/>
          <w:szCs w:val="24"/>
        </w:rPr>
        <w:t>,</w:t>
      </w:r>
      <w:r w:rsidR="00F560C3" w:rsidRPr="0036127D">
        <w:rPr>
          <w:rFonts w:asciiTheme="minorHAnsi" w:hAnsiTheme="minorHAnsi" w:cs="Tahoma"/>
          <w:color w:val="000000"/>
          <w:sz w:val="24"/>
          <w:szCs w:val="24"/>
        </w:rPr>
        <w:t xml:space="preserve"> and in specific conditions</w:t>
      </w:r>
      <w:r w:rsidR="00AF67B4" w:rsidRPr="0036127D">
        <w:rPr>
          <w:rFonts w:asciiTheme="minorHAnsi" w:hAnsiTheme="minorHAnsi" w:cs="Tahoma"/>
          <w:color w:val="000000"/>
          <w:sz w:val="24"/>
          <w:szCs w:val="24"/>
        </w:rPr>
        <w:t>, it has</w:t>
      </w:r>
      <w:r w:rsidR="00F560C3" w:rsidRPr="0036127D">
        <w:rPr>
          <w:rFonts w:asciiTheme="minorHAnsi" w:hAnsiTheme="minorHAnsi" w:cs="Tahoma"/>
          <w:color w:val="000000"/>
          <w:sz w:val="24"/>
          <w:szCs w:val="24"/>
        </w:rPr>
        <w:t xml:space="preserve"> applied technical or procedural control language</w:t>
      </w:r>
      <w:r w:rsidR="00D6666C" w:rsidRPr="0036127D">
        <w:rPr>
          <w:rFonts w:asciiTheme="minorHAnsi" w:hAnsiTheme="minorHAnsi" w:cs="Tahoma"/>
          <w:color w:val="000000"/>
          <w:sz w:val="24"/>
          <w:szCs w:val="24"/>
        </w:rPr>
        <w:t>.  Further</w:t>
      </w:r>
      <w:r w:rsidR="00AF67B4" w:rsidRPr="0036127D">
        <w:rPr>
          <w:rFonts w:asciiTheme="minorHAnsi" w:hAnsiTheme="minorHAnsi" w:cs="Tahoma"/>
          <w:color w:val="000000"/>
          <w:sz w:val="24"/>
          <w:szCs w:val="24"/>
        </w:rPr>
        <w:t>,</w:t>
      </w:r>
      <w:r w:rsidR="00D6666C" w:rsidRPr="0036127D">
        <w:rPr>
          <w:rFonts w:asciiTheme="minorHAnsi" w:hAnsiTheme="minorHAnsi" w:cs="Tahoma"/>
          <w:color w:val="000000"/>
          <w:sz w:val="24"/>
          <w:szCs w:val="24"/>
        </w:rPr>
        <w:t xml:space="preserve"> if this </w:t>
      </w:r>
      <w:r w:rsidR="00BC7F40" w:rsidRPr="0036127D">
        <w:rPr>
          <w:rFonts w:asciiTheme="minorHAnsi" w:hAnsiTheme="minorHAnsi" w:cs="Tahoma"/>
          <w:color w:val="000000"/>
          <w:sz w:val="24"/>
          <w:szCs w:val="24"/>
        </w:rPr>
        <w:t xml:space="preserve">interpretation </w:t>
      </w:r>
      <w:r w:rsidR="00D6666C" w:rsidRPr="0036127D">
        <w:rPr>
          <w:rFonts w:asciiTheme="minorHAnsi" w:hAnsiTheme="minorHAnsi" w:cs="Tahoma"/>
          <w:color w:val="000000"/>
          <w:sz w:val="24"/>
          <w:szCs w:val="24"/>
        </w:rPr>
        <w:t>receives industry approval</w:t>
      </w:r>
      <w:r w:rsidR="00AF67B4" w:rsidRPr="0036127D">
        <w:rPr>
          <w:rFonts w:asciiTheme="minorHAnsi" w:hAnsiTheme="minorHAnsi" w:cs="Tahoma"/>
          <w:color w:val="000000"/>
          <w:sz w:val="24"/>
          <w:szCs w:val="24"/>
        </w:rPr>
        <w:t>,</w:t>
      </w:r>
      <w:r w:rsidR="00D6666C" w:rsidRPr="0036127D">
        <w:rPr>
          <w:rFonts w:asciiTheme="minorHAnsi" w:hAnsiTheme="minorHAnsi" w:cs="Tahoma"/>
          <w:color w:val="000000"/>
          <w:sz w:val="24"/>
          <w:szCs w:val="24"/>
        </w:rPr>
        <w:t xml:space="preserve"> the IDT recommends that CAN-0017 </w:t>
      </w:r>
      <w:r w:rsidR="00BC7F40" w:rsidRPr="0036127D">
        <w:rPr>
          <w:rFonts w:asciiTheme="minorHAnsi" w:hAnsiTheme="minorHAnsi" w:cs="Tahoma"/>
          <w:color w:val="000000"/>
          <w:sz w:val="24"/>
          <w:szCs w:val="24"/>
        </w:rPr>
        <w:t xml:space="preserve">be </w:t>
      </w:r>
      <w:r w:rsidR="00D6666C" w:rsidRPr="0036127D">
        <w:rPr>
          <w:rFonts w:asciiTheme="minorHAnsi" w:hAnsiTheme="minorHAnsi" w:cs="Tahoma"/>
          <w:color w:val="000000"/>
          <w:sz w:val="24"/>
          <w:szCs w:val="24"/>
        </w:rPr>
        <w:t>retired.</w:t>
      </w:r>
      <w:r w:rsidR="00F560C3" w:rsidRPr="0036127D">
        <w:rPr>
          <w:rFonts w:asciiTheme="minorHAnsi" w:hAnsiTheme="minorHAnsi" w:cs="Tahoma"/>
          <w:color w:val="000000"/>
          <w:sz w:val="24"/>
          <w:szCs w:val="24"/>
        </w:rPr>
        <w:t xml:space="preserve">  </w:t>
      </w:r>
      <w:r w:rsidR="00D6666C" w:rsidRPr="0036127D">
        <w:rPr>
          <w:rFonts w:asciiTheme="minorHAnsi" w:hAnsiTheme="minorHAnsi" w:cs="Tahoma"/>
          <w:color w:val="000000"/>
          <w:sz w:val="24"/>
          <w:szCs w:val="24"/>
        </w:rPr>
        <w:t xml:space="preserve"> </w:t>
      </w:r>
    </w:p>
    <w:p w:rsidR="00422955" w:rsidRPr="0036127D" w:rsidRDefault="00422955" w:rsidP="00A04296">
      <w:pPr>
        <w:ind w:left="-450"/>
        <w:contextualSpacing/>
        <w:rPr>
          <w:rFonts w:asciiTheme="minorHAnsi" w:hAnsiTheme="minorHAnsi" w:cs="Tahoma"/>
          <w:color w:val="000000"/>
          <w:sz w:val="24"/>
          <w:szCs w:val="24"/>
        </w:rPr>
      </w:pPr>
    </w:p>
    <w:p w:rsidR="00470697" w:rsidRPr="0036127D" w:rsidRDefault="00422955" w:rsidP="00A04296">
      <w:pPr>
        <w:ind w:left="-450"/>
        <w:contextualSpacing/>
        <w:rPr>
          <w:rFonts w:asciiTheme="minorHAnsi" w:hAnsiTheme="minorHAnsi" w:cs="Tahoma"/>
          <w:color w:val="000000"/>
          <w:sz w:val="24"/>
          <w:szCs w:val="24"/>
        </w:rPr>
      </w:pPr>
      <w:r w:rsidRPr="0036127D">
        <w:rPr>
          <w:rFonts w:asciiTheme="minorHAnsi" w:hAnsiTheme="minorHAnsi" w:cs="Tahoma"/>
          <w:color w:val="000000"/>
          <w:sz w:val="24"/>
          <w:szCs w:val="24"/>
        </w:rPr>
        <w:t>In examining the first question</w:t>
      </w:r>
      <w:r w:rsidR="00AF67B4" w:rsidRPr="0036127D">
        <w:rPr>
          <w:rFonts w:asciiTheme="minorHAnsi" w:hAnsiTheme="minorHAnsi" w:cs="Tahoma"/>
          <w:color w:val="000000"/>
          <w:sz w:val="24"/>
          <w:szCs w:val="24"/>
        </w:rPr>
        <w:t>,</w:t>
      </w:r>
      <w:r w:rsidRPr="0036127D">
        <w:rPr>
          <w:rFonts w:asciiTheme="minorHAnsi" w:hAnsiTheme="minorHAnsi" w:cs="Tahoma"/>
          <w:color w:val="000000"/>
          <w:sz w:val="24"/>
          <w:szCs w:val="24"/>
        </w:rPr>
        <w:t xml:space="preserve"> the IDT performed an exercise to determine the scope of the language in the C</w:t>
      </w:r>
      <w:r w:rsidR="002A72FE" w:rsidRPr="0036127D">
        <w:rPr>
          <w:rFonts w:asciiTheme="minorHAnsi" w:hAnsiTheme="minorHAnsi" w:cs="Tahoma"/>
          <w:color w:val="000000"/>
          <w:sz w:val="24"/>
          <w:szCs w:val="24"/>
        </w:rPr>
        <w:t xml:space="preserve">IP-007 </w:t>
      </w:r>
      <w:r w:rsidR="00563C6A" w:rsidRPr="0036127D">
        <w:rPr>
          <w:rFonts w:asciiTheme="minorHAnsi" w:hAnsiTheme="minorHAnsi" w:cs="Tahoma"/>
          <w:color w:val="000000"/>
          <w:sz w:val="24"/>
          <w:szCs w:val="24"/>
        </w:rPr>
        <w:t xml:space="preserve">Requirement </w:t>
      </w:r>
      <w:r w:rsidR="002A72FE" w:rsidRPr="0036127D">
        <w:rPr>
          <w:rFonts w:asciiTheme="minorHAnsi" w:hAnsiTheme="minorHAnsi" w:cs="Tahoma"/>
          <w:color w:val="000000"/>
          <w:sz w:val="24"/>
          <w:szCs w:val="24"/>
        </w:rPr>
        <w:t>R5 top level requirement.</w:t>
      </w:r>
      <w:r w:rsidRPr="0036127D">
        <w:rPr>
          <w:rFonts w:asciiTheme="minorHAnsi" w:hAnsiTheme="minorHAnsi" w:cs="Tahoma"/>
          <w:color w:val="000000"/>
          <w:sz w:val="24"/>
          <w:szCs w:val="24"/>
        </w:rPr>
        <w:t xml:space="preserve"> </w:t>
      </w:r>
      <w:r w:rsidR="002A72FE" w:rsidRPr="0036127D">
        <w:rPr>
          <w:rFonts w:asciiTheme="minorHAnsi" w:hAnsiTheme="minorHAnsi" w:cs="Tahoma"/>
          <w:color w:val="000000"/>
          <w:sz w:val="24"/>
          <w:szCs w:val="24"/>
        </w:rPr>
        <w:t>I</w:t>
      </w:r>
      <w:r w:rsidRPr="0036127D">
        <w:rPr>
          <w:rFonts w:asciiTheme="minorHAnsi" w:hAnsiTheme="minorHAnsi" w:cs="Tahoma"/>
          <w:color w:val="000000"/>
          <w:sz w:val="24"/>
          <w:szCs w:val="24"/>
        </w:rPr>
        <w:t>n the exercise</w:t>
      </w:r>
      <w:r w:rsidR="002A72FE" w:rsidRPr="0036127D">
        <w:rPr>
          <w:rFonts w:asciiTheme="minorHAnsi" w:hAnsiTheme="minorHAnsi" w:cs="Tahoma"/>
          <w:color w:val="000000"/>
          <w:sz w:val="24"/>
          <w:szCs w:val="24"/>
        </w:rPr>
        <w:t>,</w:t>
      </w:r>
      <w:r w:rsidR="00563C6A" w:rsidRPr="0036127D">
        <w:rPr>
          <w:rFonts w:asciiTheme="minorHAnsi" w:hAnsiTheme="minorHAnsi" w:cs="Tahoma"/>
          <w:color w:val="000000"/>
          <w:sz w:val="24"/>
          <w:szCs w:val="24"/>
        </w:rPr>
        <w:t xml:space="preserve"> the IDT examined each sub-</w:t>
      </w:r>
      <w:r w:rsidRPr="0036127D">
        <w:rPr>
          <w:rFonts w:asciiTheme="minorHAnsi" w:hAnsiTheme="minorHAnsi" w:cs="Tahoma"/>
          <w:color w:val="000000"/>
          <w:sz w:val="24"/>
          <w:szCs w:val="24"/>
        </w:rPr>
        <w:t xml:space="preserve">requirement and </w:t>
      </w:r>
      <w:r w:rsidR="00C74D1E" w:rsidRPr="0036127D">
        <w:rPr>
          <w:rFonts w:asciiTheme="minorHAnsi" w:hAnsiTheme="minorHAnsi" w:cs="Tahoma"/>
          <w:color w:val="000000"/>
          <w:sz w:val="24"/>
          <w:szCs w:val="24"/>
        </w:rPr>
        <w:t>evaluated</w:t>
      </w:r>
      <w:r w:rsidRPr="0036127D">
        <w:rPr>
          <w:rFonts w:asciiTheme="minorHAnsi" w:hAnsiTheme="minorHAnsi" w:cs="Tahoma"/>
          <w:color w:val="000000"/>
          <w:sz w:val="24"/>
          <w:szCs w:val="24"/>
        </w:rPr>
        <w:t xml:space="preserve"> the ability to apply both technical and procedural controls in each instance.  In support of this exercise</w:t>
      </w:r>
      <w:r w:rsidR="002A72FE" w:rsidRPr="0036127D">
        <w:rPr>
          <w:rFonts w:asciiTheme="minorHAnsi" w:hAnsiTheme="minorHAnsi" w:cs="Tahoma"/>
          <w:color w:val="000000"/>
          <w:sz w:val="24"/>
          <w:szCs w:val="24"/>
        </w:rPr>
        <w:t>, the IDT developed</w:t>
      </w:r>
      <w:r w:rsidRPr="0036127D">
        <w:rPr>
          <w:rFonts w:asciiTheme="minorHAnsi" w:hAnsiTheme="minorHAnsi" w:cs="Tahoma"/>
          <w:color w:val="000000"/>
          <w:sz w:val="24"/>
          <w:szCs w:val="24"/>
        </w:rPr>
        <w:t xml:space="preserve"> a matrix of </w:t>
      </w:r>
      <w:r w:rsidR="00470697" w:rsidRPr="0036127D">
        <w:rPr>
          <w:rFonts w:asciiTheme="minorHAnsi" w:hAnsiTheme="minorHAnsi" w:cs="Tahoma"/>
          <w:color w:val="000000"/>
          <w:sz w:val="24"/>
          <w:szCs w:val="24"/>
        </w:rPr>
        <w:t xml:space="preserve">the R5 </w:t>
      </w:r>
      <w:r w:rsidR="002A72FE" w:rsidRPr="0036127D">
        <w:rPr>
          <w:rFonts w:asciiTheme="minorHAnsi" w:hAnsiTheme="minorHAnsi" w:cs="Tahoma"/>
          <w:color w:val="000000"/>
          <w:sz w:val="24"/>
          <w:szCs w:val="24"/>
        </w:rPr>
        <w:t xml:space="preserve">requirements, and it </w:t>
      </w:r>
      <w:r w:rsidR="00470697" w:rsidRPr="0036127D">
        <w:rPr>
          <w:rFonts w:asciiTheme="minorHAnsi" w:hAnsiTheme="minorHAnsi" w:cs="Tahoma"/>
          <w:color w:val="000000"/>
          <w:sz w:val="24"/>
          <w:szCs w:val="24"/>
        </w:rPr>
        <w:t xml:space="preserve">evaluated and discussed </w:t>
      </w:r>
      <w:r w:rsidR="002A72FE" w:rsidRPr="0036127D">
        <w:rPr>
          <w:rFonts w:asciiTheme="minorHAnsi" w:hAnsiTheme="minorHAnsi" w:cs="Tahoma"/>
          <w:color w:val="000000"/>
          <w:sz w:val="24"/>
          <w:szCs w:val="24"/>
        </w:rPr>
        <w:t xml:space="preserve">each </w:t>
      </w:r>
      <w:r w:rsidR="00470697" w:rsidRPr="0036127D">
        <w:rPr>
          <w:rFonts w:asciiTheme="minorHAnsi" w:hAnsiTheme="minorHAnsi" w:cs="Tahoma"/>
          <w:color w:val="000000"/>
          <w:sz w:val="24"/>
          <w:szCs w:val="24"/>
        </w:rPr>
        <w:t>for ap</w:t>
      </w:r>
      <w:r w:rsidR="002A72FE" w:rsidRPr="0036127D">
        <w:rPr>
          <w:rFonts w:asciiTheme="minorHAnsi" w:hAnsiTheme="minorHAnsi" w:cs="Tahoma"/>
          <w:color w:val="000000"/>
          <w:sz w:val="24"/>
          <w:szCs w:val="24"/>
        </w:rPr>
        <w:t xml:space="preserve">plicable controls.  This matrix, </w:t>
      </w:r>
      <w:r w:rsidR="00470697" w:rsidRPr="0036127D">
        <w:rPr>
          <w:rFonts w:asciiTheme="minorHAnsi" w:hAnsiTheme="minorHAnsi" w:cs="Tahoma"/>
          <w:color w:val="000000"/>
          <w:sz w:val="24"/>
          <w:szCs w:val="24"/>
        </w:rPr>
        <w:t>with results and narrative</w:t>
      </w:r>
      <w:r w:rsidR="002A72FE" w:rsidRPr="0036127D">
        <w:rPr>
          <w:rFonts w:asciiTheme="minorHAnsi" w:hAnsiTheme="minorHAnsi" w:cs="Tahoma"/>
          <w:color w:val="000000"/>
          <w:sz w:val="24"/>
          <w:szCs w:val="24"/>
        </w:rPr>
        <w:t>,</w:t>
      </w:r>
      <w:r w:rsidR="00470697" w:rsidRPr="0036127D">
        <w:rPr>
          <w:rFonts w:asciiTheme="minorHAnsi" w:hAnsiTheme="minorHAnsi" w:cs="Tahoma"/>
          <w:color w:val="000000"/>
          <w:sz w:val="24"/>
          <w:szCs w:val="24"/>
        </w:rPr>
        <w:t xml:space="preserve"> is supplied</w:t>
      </w:r>
      <w:r w:rsidR="00C74D1E" w:rsidRPr="0036127D">
        <w:rPr>
          <w:rFonts w:asciiTheme="minorHAnsi" w:hAnsiTheme="minorHAnsi" w:cs="Tahoma"/>
          <w:color w:val="000000"/>
          <w:sz w:val="24"/>
          <w:szCs w:val="24"/>
        </w:rPr>
        <w:t xml:space="preserve"> below</w:t>
      </w:r>
      <w:r w:rsidR="00470697" w:rsidRPr="0036127D">
        <w:rPr>
          <w:rFonts w:asciiTheme="minorHAnsi" w:hAnsiTheme="minorHAnsi" w:cs="Tahoma"/>
          <w:color w:val="000000"/>
          <w:sz w:val="24"/>
          <w:szCs w:val="24"/>
        </w:rPr>
        <w:t xml:space="preserve"> as a reference to provide an understanding of the methodology used in this evaluation.  The IDT determined that each requirement and sub requirement could not uniquely and independently be achieved by both technical and procedural controls.  These findings led the IDT to a common understanding that CIP-007</w:t>
      </w:r>
      <w:r w:rsidR="002A72FE" w:rsidRPr="0036127D">
        <w:rPr>
          <w:rFonts w:asciiTheme="minorHAnsi" w:hAnsiTheme="minorHAnsi" w:cs="Tahoma"/>
          <w:color w:val="000000"/>
          <w:sz w:val="24"/>
          <w:szCs w:val="24"/>
        </w:rPr>
        <w:t>-3, Requirement</w:t>
      </w:r>
      <w:r w:rsidR="00470697" w:rsidRPr="0036127D">
        <w:rPr>
          <w:rFonts w:asciiTheme="minorHAnsi" w:hAnsiTheme="minorHAnsi" w:cs="Tahoma"/>
          <w:color w:val="000000"/>
          <w:sz w:val="24"/>
          <w:szCs w:val="24"/>
        </w:rPr>
        <w:t xml:space="preserve"> R5 contains language that is to be achieved by an entity performing the collection of the activities contained within the sub-requirements.  Therefore an entity would utilize </w:t>
      </w:r>
      <w:r w:rsidR="00335268" w:rsidRPr="0036127D">
        <w:rPr>
          <w:rFonts w:asciiTheme="minorHAnsi" w:hAnsiTheme="minorHAnsi" w:cs="Tahoma"/>
          <w:color w:val="000000"/>
          <w:sz w:val="24"/>
          <w:szCs w:val="24"/>
        </w:rPr>
        <w:t xml:space="preserve">a combination of </w:t>
      </w:r>
      <w:r w:rsidR="00470697" w:rsidRPr="0036127D">
        <w:rPr>
          <w:rFonts w:asciiTheme="minorHAnsi" w:hAnsiTheme="minorHAnsi" w:cs="Tahoma"/>
          <w:color w:val="000000"/>
          <w:sz w:val="24"/>
          <w:szCs w:val="24"/>
        </w:rPr>
        <w:t>technical and procedural controls</w:t>
      </w:r>
      <w:r w:rsidR="00335268" w:rsidRPr="0036127D">
        <w:rPr>
          <w:rFonts w:asciiTheme="minorHAnsi" w:hAnsiTheme="minorHAnsi" w:cs="Tahoma"/>
          <w:color w:val="000000"/>
          <w:sz w:val="24"/>
          <w:szCs w:val="24"/>
        </w:rPr>
        <w:t xml:space="preserve"> in an effort to achieve strict compliance with the collection of requirements contained within </w:t>
      </w:r>
      <w:r w:rsidR="00563C6A" w:rsidRPr="0036127D">
        <w:rPr>
          <w:rFonts w:asciiTheme="minorHAnsi" w:hAnsiTheme="minorHAnsi" w:cs="Tahoma"/>
          <w:color w:val="000000"/>
          <w:sz w:val="24"/>
          <w:szCs w:val="24"/>
        </w:rPr>
        <w:t xml:space="preserve">Requirement </w:t>
      </w:r>
      <w:r w:rsidR="00335268" w:rsidRPr="0036127D">
        <w:rPr>
          <w:rFonts w:asciiTheme="minorHAnsi" w:hAnsiTheme="minorHAnsi" w:cs="Tahoma"/>
          <w:color w:val="000000"/>
          <w:sz w:val="24"/>
          <w:szCs w:val="24"/>
        </w:rPr>
        <w:t>R5, not specifically</w:t>
      </w:r>
      <w:r w:rsidR="00563C6A" w:rsidRPr="0036127D">
        <w:rPr>
          <w:rFonts w:asciiTheme="minorHAnsi" w:hAnsiTheme="minorHAnsi" w:cs="Tahoma"/>
          <w:color w:val="000000"/>
          <w:sz w:val="24"/>
          <w:szCs w:val="24"/>
        </w:rPr>
        <w:t xml:space="preserve"> use both</w:t>
      </w:r>
      <w:r w:rsidR="00335268" w:rsidRPr="0036127D">
        <w:rPr>
          <w:rFonts w:asciiTheme="minorHAnsi" w:hAnsiTheme="minorHAnsi" w:cs="Tahoma"/>
          <w:color w:val="000000"/>
          <w:sz w:val="24"/>
          <w:szCs w:val="24"/>
        </w:rPr>
        <w:t xml:space="preserve"> technical and procedural controls in achieving strict compliance for each unique sub-requirement.  The CIP IDT acknowledges that the language within </w:t>
      </w:r>
      <w:r w:rsidR="00563C6A" w:rsidRPr="0036127D">
        <w:rPr>
          <w:rFonts w:asciiTheme="minorHAnsi" w:hAnsiTheme="minorHAnsi" w:cs="Tahoma"/>
          <w:color w:val="000000"/>
          <w:sz w:val="24"/>
          <w:szCs w:val="24"/>
        </w:rPr>
        <w:t xml:space="preserve">Requirement </w:t>
      </w:r>
      <w:r w:rsidR="00335268" w:rsidRPr="0036127D">
        <w:rPr>
          <w:rFonts w:asciiTheme="minorHAnsi" w:hAnsiTheme="minorHAnsi" w:cs="Tahoma"/>
          <w:color w:val="000000"/>
          <w:sz w:val="24"/>
          <w:szCs w:val="24"/>
        </w:rPr>
        <w:t xml:space="preserve">R5 would have been clearer had it read </w:t>
      </w:r>
      <w:r w:rsidR="00563C6A" w:rsidRPr="0036127D">
        <w:rPr>
          <w:rFonts w:asciiTheme="minorHAnsi" w:hAnsiTheme="minorHAnsi" w:cs="Tahoma"/>
          <w:color w:val="000000"/>
          <w:sz w:val="24"/>
          <w:szCs w:val="24"/>
        </w:rPr>
        <w:t>“</w:t>
      </w:r>
      <w:r w:rsidR="00335268" w:rsidRPr="0036127D">
        <w:rPr>
          <w:rFonts w:asciiTheme="minorHAnsi" w:hAnsiTheme="minorHAnsi" w:cs="Tahoma"/>
          <w:color w:val="000000"/>
          <w:sz w:val="24"/>
          <w:szCs w:val="24"/>
        </w:rPr>
        <w:t xml:space="preserve">technical </w:t>
      </w:r>
      <w:r w:rsidR="0077721D" w:rsidRPr="0036127D">
        <w:rPr>
          <w:rFonts w:asciiTheme="minorHAnsi" w:hAnsiTheme="minorHAnsi" w:cs="Tahoma"/>
          <w:i/>
          <w:color w:val="000000"/>
          <w:sz w:val="24"/>
          <w:szCs w:val="24"/>
        </w:rPr>
        <w:t>or</w:t>
      </w:r>
      <w:r w:rsidR="00335268" w:rsidRPr="0036127D">
        <w:rPr>
          <w:rFonts w:asciiTheme="minorHAnsi" w:hAnsiTheme="minorHAnsi" w:cs="Tahoma"/>
          <w:color w:val="000000"/>
          <w:sz w:val="24"/>
          <w:szCs w:val="24"/>
        </w:rPr>
        <w:t xml:space="preserve"> procedural controls</w:t>
      </w:r>
      <w:r w:rsidR="00563C6A" w:rsidRPr="0036127D">
        <w:rPr>
          <w:rFonts w:asciiTheme="minorHAnsi" w:hAnsiTheme="minorHAnsi" w:cs="Tahoma"/>
          <w:color w:val="000000"/>
          <w:sz w:val="24"/>
          <w:szCs w:val="24"/>
        </w:rPr>
        <w:t>”;</w:t>
      </w:r>
      <w:r w:rsidR="00335268" w:rsidRPr="0036127D">
        <w:rPr>
          <w:rFonts w:asciiTheme="minorHAnsi" w:hAnsiTheme="minorHAnsi" w:cs="Tahoma"/>
          <w:color w:val="000000"/>
          <w:sz w:val="24"/>
          <w:szCs w:val="24"/>
        </w:rPr>
        <w:t xml:space="preserve"> however</w:t>
      </w:r>
      <w:r w:rsidR="00563C6A" w:rsidRPr="0036127D">
        <w:rPr>
          <w:rFonts w:asciiTheme="minorHAnsi" w:hAnsiTheme="minorHAnsi" w:cs="Tahoma"/>
          <w:color w:val="000000"/>
          <w:sz w:val="24"/>
          <w:szCs w:val="24"/>
        </w:rPr>
        <w:t>,</w:t>
      </w:r>
      <w:r w:rsidR="00335268" w:rsidRPr="0036127D">
        <w:rPr>
          <w:rFonts w:asciiTheme="minorHAnsi" w:hAnsiTheme="minorHAnsi" w:cs="Tahoma"/>
          <w:color w:val="000000"/>
          <w:sz w:val="24"/>
          <w:szCs w:val="24"/>
        </w:rPr>
        <w:t xml:space="preserve"> changing the standard itself is outside the scope of the IDT</w:t>
      </w:r>
      <w:r w:rsidR="00C74D1E" w:rsidRPr="0036127D">
        <w:rPr>
          <w:rFonts w:asciiTheme="minorHAnsi" w:hAnsiTheme="minorHAnsi" w:cs="Tahoma"/>
          <w:color w:val="000000"/>
          <w:sz w:val="24"/>
          <w:szCs w:val="24"/>
        </w:rPr>
        <w:t>.</w:t>
      </w:r>
      <w:r w:rsidR="00335268" w:rsidRPr="0036127D">
        <w:rPr>
          <w:rFonts w:asciiTheme="minorHAnsi" w:hAnsiTheme="minorHAnsi" w:cs="Tahoma"/>
          <w:color w:val="000000"/>
          <w:sz w:val="24"/>
          <w:szCs w:val="24"/>
        </w:rPr>
        <w:t xml:space="preserve"> </w:t>
      </w:r>
      <w:r w:rsidR="00C74D1E" w:rsidRPr="0036127D">
        <w:rPr>
          <w:rFonts w:asciiTheme="minorHAnsi" w:hAnsiTheme="minorHAnsi" w:cs="Tahoma"/>
          <w:color w:val="000000"/>
          <w:sz w:val="24"/>
          <w:szCs w:val="24"/>
        </w:rPr>
        <w:t xml:space="preserve"> The IDT</w:t>
      </w:r>
      <w:r w:rsidR="00335268" w:rsidRPr="0036127D">
        <w:rPr>
          <w:rFonts w:asciiTheme="minorHAnsi" w:hAnsiTheme="minorHAnsi" w:cs="Tahoma"/>
          <w:color w:val="000000"/>
          <w:sz w:val="24"/>
          <w:szCs w:val="24"/>
        </w:rPr>
        <w:t xml:space="preserve"> recommends that this language edit be included in further revisions of the standards.</w:t>
      </w:r>
    </w:p>
    <w:p w:rsidR="00470697" w:rsidRPr="0036127D" w:rsidRDefault="00470697" w:rsidP="00A04296">
      <w:pPr>
        <w:ind w:left="-450"/>
        <w:contextualSpacing/>
        <w:rPr>
          <w:rFonts w:asciiTheme="minorHAnsi" w:hAnsiTheme="minorHAnsi" w:cs="Tahoma"/>
          <w:color w:val="000000"/>
          <w:sz w:val="24"/>
          <w:szCs w:val="24"/>
        </w:rPr>
      </w:pPr>
    </w:p>
    <w:p w:rsidR="00F5244A" w:rsidRPr="0036127D" w:rsidRDefault="00F560C3" w:rsidP="00A04296">
      <w:pPr>
        <w:ind w:left="-450"/>
        <w:contextualSpacing/>
        <w:rPr>
          <w:rFonts w:asciiTheme="minorHAnsi" w:hAnsiTheme="minorHAnsi" w:cs="Tahoma"/>
          <w:color w:val="000000"/>
          <w:sz w:val="24"/>
          <w:szCs w:val="24"/>
        </w:rPr>
      </w:pPr>
      <w:r w:rsidRPr="0036127D">
        <w:rPr>
          <w:rFonts w:asciiTheme="minorHAnsi" w:hAnsiTheme="minorHAnsi" w:cs="Tahoma"/>
          <w:color w:val="000000"/>
          <w:sz w:val="24"/>
          <w:szCs w:val="24"/>
        </w:rPr>
        <w:t>In examining the second question of the RFI</w:t>
      </w:r>
      <w:r w:rsidR="00563C6A" w:rsidRPr="0036127D">
        <w:rPr>
          <w:rFonts w:asciiTheme="minorHAnsi" w:hAnsiTheme="minorHAnsi" w:cs="Tahoma"/>
          <w:color w:val="000000"/>
          <w:sz w:val="24"/>
          <w:szCs w:val="24"/>
        </w:rPr>
        <w:t>,</w:t>
      </w:r>
      <w:r w:rsidRPr="0036127D">
        <w:rPr>
          <w:rFonts w:asciiTheme="minorHAnsi" w:hAnsiTheme="minorHAnsi" w:cs="Tahoma"/>
          <w:color w:val="000000"/>
          <w:sz w:val="24"/>
          <w:szCs w:val="24"/>
        </w:rPr>
        <w:t xml:space="preserve"> the IDT examined the ability to automatically enforce controls placed on CIP-007</w:t>
      </w:r>
      <w:r w:rsidR="00563C6A" w:rsidRPr="0036127D">
        <w:rPr>
          <w:rFonts w:asciiTheme="minorHAnsi" w:hAnsiTheme="minorHAnsi" w:cs="Tahoma"/>
          <w:color w:val="000000"/>
          <w:sz w:val="24"/>
          <w:szCs w:val="24"/>
        </w:rPr>
        <w:t>-3,</w:t>
      </w:r>
      <w:r w:rsidRPr="0036127D">
        <w:rPr>
          <w:rFonts w:asciiTheme="minorHAnsi" w:hAnsiTheme="minorHAnsi" w:cs="Tahoma"/>
          <w:color w:val="000000"/>
          <w:sz w:val="24"/>
          <w:szCs w:val="24"/>
        </w:rPr>
        <w:t xml:space="preserve"> R5.3.  Again</w:t>
      </w:r>
      <w:r w:rsidR="00563C6A" w:rsidRPr="0036127D">
        <w:rPr>
          <w:rFonts w:asciiTheme="minorHAnsi" w:hAnsiTheme="minorHAnsi" w:cs="Tahoma"/>
          <w:color w:val="000000"/>
          <w:sz w:val="24"/>
          <w:szCs w:val="24"/>
        </w:rPr>
        <w:t>,</w:t>
      </w:r>
      <w:r w:rsidRPr="0036127D">
        <w:rPr>
          <w:rFonts w:asciiTheme="minorHAnsi" w:hAnsiTheme="minorHAnsi" w:cs="Tahoma"/>
          <w:color w:val="000000"/>
          <w:sz w:val="24"/>
          <w:szCs w:val="24"/>
        </w:rPr>
        <w:t xml:space="preserve"> the IDT utilized the same process </w:t>
      </w:r>
      <w:r w:rsidR="00AD5CC2" w:rsidRPr="0036127D">
        <w:rPr>
          <w:rFonts w:asciiTheme="minorHAnsi" w:hAnsiTheme="minorHAnsi" w:cs="Tahoma"/>
          <w:color w:val="000000"/>
          <w:sz w:val="24"/>
          <w:szCs w:val="24"/>
        </w:rPr>
        <w:t>as</w:t>
      </w:r>
      <w:r w:rsidRPr="0036127D">
        <w:rPr>
          <w:rFonts w:asciiTheme="minorHAnsi" w:hAnsiTheme="minorHAnsi" w:cs="Tahoma"/>
          <w:color w:val="000000"/>
          <w:sz w:val="24"/>
          <w:szCs w:val="24"/>
        </w:rPr>
        <w:t xml:space="preserve"> in question 1</w:t>
      </w:r>
      <w:r w:rsidR="00AD5CC2" w:rsidRPr="0036127D">
        <w:rPr>
          <w:rFonts w:asciiTheme="minorHAnsi" w:hAnsiTheme="minorHAnsi" w:cs="Tahoma"/>
          <w:color w:val="000000"/>
          <w:sz w:val="24"/>
          <w:szCs w:val="24"/>
        </w:rPr>
        <w:t>,</w:t>
      </w:r>
      <w:r w:rsidRPr="0036127D">
        <w:rPr>
          <w:rFonts w:asciiTheme="minorHAnsi" w:hAnsiTheme="minorHAnsi" w:cs="Tahoma"/>
          <w:color w:val="000000"/>
          <w:sz w:val="24"/>
          <w:szCs w:val="24"/>
        </w:rPr>
        <w:t xml:space="preserve"> and </w:t>
      </w:r>
      <w:r w:rsidR="00AD5CC2" w:rsidRPr="0036127D">
        <w:rPr>
          <w:rFonts w:asciiTheme="minorHAnsi" w:hAnsiTheme="minorHAnsi" w:cs="Tahoma"/>
          <w:color w:val="000000"/>
          <w:sz w:val="24"/>
          <w:szCs w:val="24"/>
        </w:rPr>
        <w:t xml:space="preserve">it </w:t>
      </w:r>
      <w:r w:rsidRPr="0036127D">
        <w:rPr>
          <w:rFonts w:asciiTheme="minorHAnsi" w:hAnsiTheme="minorHAnsi" w:cs="Tahoma"/>
          <w:color w:val="000000"/>
          <w:sz w:val="24"/>
          <w:szCs w:val="24"/>
        </w:rPr>
        <w:t>came to the same conclusion.  In those requirements where an entity is utilizing a technical control, there could be an automatic enforcement capability of the technical control.  In those conditions where a procedural control has been implemented, there would likely be no expectation of automatic enforcement.  The word automatic is absent from the</w:t>
      </w:r>
      <w:r w:rsidR="00E02B30" w:rsidRPr="0036127D">
        <w:rPr>
          <w:rFonts w:asciiTheme="minorHAnsi" w:hAnsiTheme="minorHAnsi" w:cs="Tahoma"/>
          <w:color w:val="000000"/>
          <w:sz w:val="24"/>
          <w:szCs w:val="24"/>
        </w:rPr>
        <w:t xml:space="preserve"> language within CIP-007</w:t>
      </w:r>
      <w:r w:rsidR="00AD5CC2" w:rsidRPr="0036127D">
        <w:rPr>
          <w:rFonts w:asciiTheme="minorHAnsi" w:hAnsiTheme="minorHAnsi" w:cs="Tahoma"/>
          <w:color w:val="000000"/>
          <w:sz w:val="24"/>
          <w:szCs w:val="24"/>
        </w:rPr>
        <w:t>-3, Requirement</w:t>
      </w:r>
      <w:r w:rsidR="00E02B30" w:rsidRPr="0036127D">
        <w:rPr>
          <w:rFonts w:asciiTheme="minorHAnsi" w:hAnsiTheme="minorHAnsi" w:cs="Tahoma"/>
          <w:color w:val="000000"/>
          <w:sz w:val="24"/>
          <w:szCs w:val="24"/>
        </w:rPr>
        <w:t xml:space="preserve"> R5</w:t>
      </w:r>
      <w:r w:rsidR="00AD5CC2" w:rsidRPr="0036127D">
        <w:rPr>
          <w:rFonts w:asciiTheme="minorHAnsi" w:hAnsiTheme="minorHAnsi" w:cs="Tahoma"/>
          <w:color w:val="000000"/>
          <w:sz w:val="24"/>
          <w:szCs w:val="24"/>
        </w:rPr>
        <w:t>,</w:t>
      </w:r>
      <w:r w:rsidR="00E02B30" w:rsidRPr="0036127D">
        <w:rPr>
          <w:rFonts w:asciiTheme="minorHAnsi" w:hAnsiTheme="minorHAnsi" w:cs="Tahoma"/>
          <w:color w:val="000000"/>
          <w:sz w:val="24"/>
          <w:szCs w:val="24"/>
        </w:rPr>
        <w:t xml:space="preserve"> and </w:t>
      </w:r>
      <w:r w:rsidR="00AD5CC2" w:rsidRPr="0036127D">
        <w:rPr>
          <w:rFonts w:asciiTheme="minorHAnsi" w:hAnsiTheme="minorHAnsi" w:cs="Tahoma"/>
          <w:color w:val="000000"/>
          <w:sz w:val="24"/>
          <w:szCs w:val="24"/>
        </w:rPr>
        <w:t xml:space="preserve">it </w:t>
      </w:r>
      <w:r w:rsidR="00E02B30" w:rsidRPr="0036127D">
        <w:rPr>
          <w:rFonts w:asciiTheme="minorHAnsi" w:hAnsiTheme="minorHAnsi" w:cs="Tahoma"/>
          <w:color w:val="000000"/>
          <w:sz w:val="24"/>
          <w:szCs w:val="24"/>
        </w:rPr>
        <w:t>is therefore not required to achieve strict compliance with the</w:t>
      </w:r>
      <w:r w:rsidR="00AD5CC2" w:rsidRPr="0036127D">
        <w:rPr>
          <w:rFonts w:asciiTheme="minorHAnsi" w:hAnsiTheme="minorHAnsi" w:cs="Tahoma"/>
          <w:color w:val="000000"/>
          <w:sz w:val="24"/>
          <w:szCs w:val="24"/>
        </w:rPr>
        <w:t xml:space="preserve"> individual requirements or sub-</w:t>
      </w:r>
      <w:r w:rsidR="00E02B30" w:rsidRPr="0036127D">
        <w:rPr>
          <w:rFonts w:asciiTheme="minorHAnsi" w:hAnsiTheme="minorHAnsi" w:cs="Tahoma"/>
          <w:color w:val="000000"/>
          <w:sz w:val="24"/>
          <w:szCs w:val="24"/>
        </w:rPr>
        <w:t xml:space="preserve">requirements. </w:t>
      </w:r>
      <w:bookmarkStart w:id="1" w:name="_GoBack"/>
      <w:bookmarkEnd w:id="1"/>
      <w:r w:rsidR="00F5244A" w:rsidRPr="0036127D">
        <w:rPr>
          <w:rFonts w:asciiTheme="minorHAnsi" w:hAnsiTheme="minorHAnsi" w:cs="Tahoma"/>
          <w:color w:val="000000"/>
          <w:sz w:val="24"/>
          <w:szCs w:val="24"/>
        </w:rPr>
        <w:t xml:space="preserve"> </w:t>
      </w:r>
    </w:p>
    <w:p w:rsidR="009677BA" w:rsidRPr="0036127D" w:rsidRDefault="009677BA" w:rsidP="00363C2F">
      <w:pPr>
        <w:rPr>
          <w:rFonts w:asciiTheme="minorHAnsi" w:hAnsiTheme="minorHAnsi" w:cs="Tahoma"/>
          <w:color w:val="000000"/>
          <w:sz w:val="24"/>
          <w:szCs w:val="24"/>
        </w:rPr>
      </w:pPr>
    </w:p>
    <w:p w:rsidR="00A04296" w:rsidRDefault="00A04296">
      <w:pPr>
        <w:rPr>
          <w:rFonts w:asciiTheme="minorHAnsi" w:hAnsiTheme="minorHAnsi" w:cs="Tahoma"/>
          <w:color w:val="000000"/>
          <w:sz w:val="24"/>
          <w:szCs w:val="24"/>
        </w:rPr>
      </w:pPr>
      <w:r>
        <w:rPr>
          <w:rFonts w:asciiTheme="minorHAnsi" w:hAnsiTheme="minorHAnsi" w:cs="Tahoma"/>
          <w:color w:val="000000"/>
          <w:sz w:val="24"/>
          <w:szCs w:val="24"/>
        </w:rPr>
        <w:br w:type="page"/>
      </w:r>
    </w:p>
    <w:p w:rsidR="00B94229" w:rsidRDefault="00B94229" w:rsidP="00A04296">
      <w:pPr>
        <w:ind w:left="-450"/>
        <w:rPr>
          <w:rFonts w:ascii="Tahoma" w:hAnsi="Tahoma" w:cs="Tahoma"/>
          <w:color w:val="000000"/>
          <w:sz w:val="20"/>
        </w:rPr>
      </w:pPr>
      <w:r w:rsidRPr="0036127D">
        <w:rPr>
          <w:rFonts w:asciiTheme="minorHAnsi" w:hAnsiTheme="minorHAnsi" w:cs="Tahoma"/>
          <w:color w:val="000000"/>
          <w:sz w:val="24"/>
          <w:szCs w:val="24"/>
        </w:rPr>
        <w:lastRenderedPageBreak/>
        <w:t xml:space="preserve">The IDT used the following table in </w:t>
      </w:r>
      <w:r w:rsidR="00AD5CC2" w:rsidRPr="0036127D">
        <w:rPr>
          <w:rFonts w:asciiTheme="minorHAnsi" w:hAnsiTheme="minorHAnsi" w:cs="Tahoma"/>
          <w:color w:val="000000"/>
          <w:sz w:val="24"/>
          <w:szCs w:val="24"/>
        </w:rPr>
        <w:t>developing this</w:t>
      </w:r>
      <w:r w:rsidRPr="0036127D">
        <w:rPr>
          <w:rFonts w:asciiTheme="minorHAnsi" w:hAnsiTheme="minorHAnsi" w:cs="Tahoma"/>
          <w:color w:val="000000"/>
          <w:sz w:val="24"/>
          <w:szCs w:val="24"/>
        </w:rPr>
        <w:t xml:space="preserve"> interpretation</w:t>
      </w:r>
      <w:r w:rsidR="00AD5CC2" w:rsidRPr="0036127D">
        <w:rPr>
          <w:rFonts w:asciiTheme="minorHAnsi" w:hAnsiTheme="minorHAnsi" w:cs="Tahoma"/>
          <w:color w:val="000000"/>
          <w:sz w:val="24"/>
          <w:szCs w:val="24"/>
        </w:rPr>
        <w:t>.</w:t>
      </w:r>
      <w:r w:rsidR="00AD5CC2">
        <w:rPr>
          <w:rFonts w:asciiTheme="minorHAnsi" w:hAnsiTheme="minorHAnsi" w:cs="Tahoma"/>
          <w:color w:val="000000"/>
          <w:szCs w:val="22"/>
        </w:rPr>
        <w:t xml:space="preserve">  </w:t>
      </w:r>
      <w:r w:rsidR="0036127D">
        <w:rPr>
          <w:rFonts w:asciiTheme="minorHAnsi" w:hAnsiTheme="minorHAnsi" w:cs="Tahoma"/>
          <w:color w:val="000000"/>
          <w:szCs w:val="22"/>
        </w:rPr>
        <w:br/>
      </w:r>
    </w:p>
    <w:tbl>
      <w:tblPr>
        <w:tblW w:w="5000" w:type="pct"/>
        <w:tblInd w:w="-342" w:type="dxa"/>
        <w:tblLook w:val="04A0"/>
      </w:tblPr>
      <w:tblGrid>
        <w:gridCol w:w="2093"/>
        <w:gridCol w:w="1300"/>
        <w:gridCol w:w="1477"/>
        <w:gridCol w:w="1151"/>
        <w:gridCol w:w="3555"/>
      </w:tblGrid>
      <w:tr w:rsidR="00B94229" w:rsidRPr="00B94229" w:rsidTr="00A04296">
        <w:trPr>
          <w:trHeight w:val="300"/>
          <w:tblHeader/>
        </w:trPr>
        <w:tc>
          <w:tcPr>
            <w:tcW w:w="1093" w:type="pct"/>
            <w:vMerge w:val="restart"/>
            <w:tcBorders>
              <w:top w:val="single" w:sz="4" w:space="0" w:color="auto"/>
              <w:left w:val="single" w:sz="4" w:space="0" w:color="auto"/>
              <w:bottom w:val="single" w:sz="4" w:space="0" w:color="auto"/>
              <w:right w:val="single" w:sz="4" w:space="0" w:color="auto"/>
            </w:tcBorders>
            <w:shd w:val="clear" w:color="000000" w:fill="365F91" w:themeFill="accent1" w:themeFillShade="BF"/>
            <w:noWrap/>
            <w:vAlign w:val="center"/>
            <w:hideMark/>
          </w:tcPr>
          <w:p w:rsidR="00B94229" w:rsidRPr="00DB79B8" w:rsidRDefault="00B94229" w:rsidP="00A04296">
            <w:pPr>
              <w:jc w:val="center"/>
              <w:rPr>
                <w:rFonts w:ascii="Calibri" w:hAnsi="Calibri"/>
                <w:b/>
                <w:color w:val="FFFFFF" w:themeColor="background1"/>
                <w:sz w:val="24"/>
                <w:szCs w:val="24"/>
              </w:rPr>
            </w:pPr>
            <w:r w:rsidRPr="00DB79B8">
              <w:rPr>
                <w:rFonts w:ascii="Calibri" w:hAnsi="Calibri"/>
                <w:b/>
                <w:color w:val="FFFFFF" w:themeColor="background1"/>
                <w:sz w:val="24"/>
                <w:szCs w:val="24"/>
              </w:rPr>
              <w:t>CIP-007-3</w:t>
            </w:r>
          </w:p>
          <w:p w:rsidR="00B94229" w:rsidRPr="00DB79B8" w:rsidRDefault="00B94229" w:rsidP="00B94229">
            <w:pPr>
              <w:jc w:val="center"/>
              <w:rPr>
                <w:rFonts w:ascii="Calibri" w:hAnsi="Calibri"/>
                <w:b/>
                <w:color w:val="FFFFFF" w:themeColor="background1"/>
                <w:sz w:val="24"/>
                <w:szCs w:val="24"/>
              </w:rPr>
            </w:pPr>
            <w:r w:rsidRPr="00DB79B8">
              <w:rPr>
                <w:rFonts w:ascii="Calibri" w:hAnsi="Calibri"/>
                <w:b/>
                <w:color w:val="FFFFFF" w:themeColor="background1"/>
                <w:sz w:val="24"/>
                <w:szCs w:val="24"/>
              </w:rPr>
              <w:t>Requirement 5</w:t>
            </w:r>
          </w:p>
        </w:tc>
        <w:tc>
          <w:tcPr>
            <w:tcW w:w="2051" w:type="pct"/>
            <w:gridSpan w:val="3"/>
            <w:tcBorders>
              <w:top w:val="single" w:sz="4" w:space="0" w:color="auto"/>
              <w:left w:val="nil"/>
              <w:bottom w:val="single" w:sz="4" w:space="0" w:color="auto"/>
              <w:right w:val="single" w:sz="4" w:space="0" w:color="auto"/>
            </w:tcBorders>
            <w:shd w:val="clear" w:color="000000" w:fill="365F91" w:themeFill="accent1" w:themeFillShade="BF"/>
            <w:vAlign w:val="center"/>
            <w:hideMark/>
          </w:tcPr>
          <w:p w:rsidR="00B94229" w:rsidRPr="00DB79B8" w:rsidRDefault="00B94229" w:rsidP="00B94229">
            <w:pPr>
              <w:jc w:val="center"/>
              <w:rPr>
                <w:rFonts w:ascii="Calibri" w:hAnsi="Calibri"/>
                <w:b/>
                <w:color w:val="FFFFFF" w:themeColor="background1"/>
                <w:sz w:val="24"/>
                <w:szCs w:val="24"/>
              </w:rPr>
            </w:pPr>
            <w:r w:rsidRPr="00DB79B8">
              <w:rPr>
                <w:rFonts w:ascii="Calibri" w:hAnsi="Calibri"/>
                <w:b/>
                <w:color w:val="FFFFFF" w:themeColor="background1"/>
                <w:sz w:val="24"/>
                <w:szCs w:val="24"/>
              </w:rPr>
              <w:t>Applicable Control</w:t>
            </w:r>
          </w:p>
        </w:tc>
        <w:tc>
          <w:tcPr>
            <w:tcW w:w="1856" w:type="pct"/>
            <w:vMerge w:val="restart"/>
            <w:tcBorders>
              <w:top w:val="single" w:sz="4" w:space="0" w:color="auto"/>
              <w:left w:val="single" w:sz="4" w:space="0" w:color="auto"/>
              <w:bottom w:val="single" w:sz="4" w:space="0" w:color="auto"/>
              <w:right w:val="single" w:sz="4" w:space="0" w:color="auto"/>
            </w:tcBorders>
            <w:shd w:val="clear" w:color="000000" w:fill="365F91" w:themeFill="accent1" w:themeFillShade="BF"/>
            <w:noWrap/>
            <w:vAlign w:val="center"/>
            <w:hideMark/>
          </w:tcPr>
          <w:p w:rsidR="00B94229" w:rsidRPr="00DB79B8" w:rsidRDefault="00B94229" w:rsidP="00B94229">
            <w:pPr>
              <w:jc w:val="center"/>
              <w:rPr>
                <w:rFonts w:ascii="Calibri" w:hAnsi="Calibri"/>
                <w:b/>
                <w:color w:val="FFFFFF" w:themeColor="background1"/>
                <w:sz w:val="24"/>
                <w:szCs w:val="24"/>
              </w:rPr>
            </w:pPr>
            <w:r w:rsidRPr="00DB79B8">
              <w:rPr>
                <w:rFonts w:ascii="Calibri" w:hAnsi="Calibri"/>
                <w:b/>
                <w:color w:val="FFFFFF" w:themeColor="background1"/>
                <w:sz w:val="24"/>
                <w:szCs w:val="24"/>
              </w:rPr>
              <w:t>CIP IDT Evaluation</w:t>
            </w:r>
          </w:p>
        </w:tc>
      </w:tr>
      <w:tr w:rsidR="00B94229" w:rsidRPr="00B94229" w:rsidTr="00A04296">
        <w:trPr>
          <w:trHeight w:val="300"/>
          <w:tblHeader/>
        </w:trPr>
        <w:tc>
          <w:tcPr>
            <w:tcW w:w="1093" w:type="pct"/>
            <w:vMerge/>
            <w:tcBorders>
              <w:top w:val="single" w:sz="4" w:space="0" w:color="auto"/>
              <w:left w:val="single" w:sz="4" w:space="0" w:color="auto"/>
              <w:bottom w:val="single" w:sz="4" w:space="0" w:color="auto"/>
              <w:right w:val="single" w:sz="4" w:space="0" w:color="auto"/>
            </w:tcBorders>
            <w:vAlign w:val="center"/>
            <w:hideMark/>
          </w:tcPr>
          <w:p w:rsidR="00B94229" w:rsidRPr="00DB79B8" w:rsidRDefault="00B94229" w:rsidP="00B94229">
            <w:pPr>
              <w:rPr>
                <w:rFonts w:ascii="Calibri" w:hAnsi="Calibri"/>
                <w:color w:val="000000"/>
                <w:sz w:val="24"/>
                <w:szCs w:val="24"/>
              </w:rPr>
            </w:pPr>
          </w:p>
        </w:tc>
        <w:tc>
          <w:tcPr>
            <w:tcW w:w="679" w:type="pct"/>
            <w:tcBorders>
              <w:top w:val="single" w:sz="4" w:space="0" w:color="auto"/>
              <w:left w:val="nil"/>
              <w:bottom w:val="single" w:sz="4" w:space="0" w:color="auto"/>
              <w:right w:val="single" w:sz="4" w:space="0" w:color="auto"/>
            </w:tcBorders>
            <w:shd w:val="clear" w:color="000000" w:fill="365F91" w:themeFill="accent1" w:themeFillShade="BF"/>
            <w:noWrap/>
            <w:hideMark/>
          </w:tcPr>
          <w:p w:rsidR="00B94229" w:rsidRPr="00DB79B8" w:rsidRDefault="00B94229" w:rsidP="00B94229">
            <w:pPr>
              <w:jc w:val="center"/>
              <w:rPr>
                <w:rFonts w:ascii="Calibri" w:hAnsi="Calibri"/>
                <w:b/>
                <w:color w:val="FFFFFF" w:themeColor="background1"/>
                <w:sz w:val="24"/>
                <w:szCs w:val="24"/>
              </w:rPr>
            </w:pPr>
            <w:r w:rsidRPr="00DB79B8">
              <w:rPr>
                <w:rFonts w:ascii="Calibri" w:hAnsi="Calibri"/>
                <w:b/>
                <w:color w:val="FFFFFF" w:themeColor="background1"/>
                <w:sz w:val="24"/>
                <w:szCs w:val="24"/>
              </w:rPr>
              <w:t>Procedural</w:t>
            </w:r>
          </w:p>
        </w:tc>
        <w:tc>
          <w:tcPr>
            <w:tcW w:w="771" w:type="pct"/>
            <w:tcBorders>
              <w:top w:val="single" w:sz="4" w:space="0" w:color="auto"/>
              <w:left w:val="nil"/>
              <w:bottom w:val="single" w:sz="4" w:space="0" w:color="auto"/>
              <w:right w:val="single" w:sz="4" w:space="0" w:color="auto"/>
            </w:tcBorders>
            <w:shd w:val="clear" w:color="000000" w:fill="365F91" w:themeFill="accent1" w:themeFillShade="BF"/>
            <w:noWrap/>
            <w:hideMark/>
          </w:tcPr>
          <w:p w:rsidR="00B94229" w:rsidRPr="00DB79B8" w:rsidRDefault="00B94229" w:rsidP="00B94229">
            <w:pPr>
              <w:jc w:val="center"/>
              <w:rPr>
                <w:rFonts w:ascii="Calibri" w:hAnsi="Calibri"/>
                <w:b/>
                <w:color w:val="FFFFFF" w:themeColor="background1"/>
                <w:sz w:val="24"/>
                <w:szCs w:val="24"/>
              </w:rPr>
            </w:pPr>
            <w:proofErr w:type="spellStart"/>
            <w:r w:rsidRPr="00DB79B8">
              <w:rPr>
                <w:rFonts w:ascii="Calibri" w:hAnsi="Calibri"/>
                <w:b/>
                <w:color w:val="FFFFFF" w:themeColor="background1"/>
                <w:sz w:val="24"/>
                <w:szCs w:val="24"/>
              </w:rPr>
              <w:t>And/Or</w:t>
            </w:r>
            <w:proofErr w:type="spellEnd"/>
          </w:p>
        </w:tc>
        <w:tc>
          <w:tcPr>
            <w:tcW w:w="601" w:type="pct"/>
            <w:tcBorders>
              <w:top w:val="single" w:sz="4" w:space="0" w:color="auto"/>
              <w:left w:val="nil"/>
              <w:bottom w:val="single" w:sz="4" w:space="0" w:color="auto"/>
              <w:right w:val="single" w:sz="4" w:space="0" w:color="auto"/>
            </w:tcBorders>
            <w:shd w:val="clear" w:color="000000" w:fill="365F91" w:themeFill="accent1" w:themeFillShade="BF"/>
            <w:noWrap/>
            <w:hideMark/>
          </w:tcPr>
          <w:p w:rsidR="00B94229" w:rsidRPr="00DB79B8" w:rsidRDefault="00B94229" w:rsidP="00B94229">
            <w:pPr>
              <w:jc w:val="center"/>
              <w:rPr>
                <w:rFonts w:ascii="Calibri" w:hAnsi="Calibri"/>
                <w:b/>
                <w:color w:val="FFFFFF" w:themeColor="background1"/>
                <w:sz w:val="24"/>
                <w:szCs w:val="24"/>
              </w:rPr>
            </w:pPr>
            <w:r w:rsidRPr="00DB79B8">
              <w:rPr>
                <w:rFonts w:ascii="Calibri" w:hAnsi="Calibri"/>
                <w:b/>
                <w:color w:val="FFFFFF" w:themeColor="background1"/>
                <w:sz w:val="24"/>
                <w:szCs w:val="24"/>
              </w:rPr>
              <w:t>Technical</w:t>
            </w:r>
          </w:p>
        </w:tc>
        <w:tc>
          <w:tcPr>
            <w:tcW w:w="1856" w:type="pct"/>
            <w:vMerge/>
            <w:tcBorders>
              <w:top w:val="single" w:sz="4" w:space="0" w:color="auto"/>
              <w:left w:val="single" w:sz="4" w:space="0" w:color="auto"/>
              <w:bottom w:val="single" w:sz="4" w:space="0" w:color="auto"/>
              <w:right w:val="single" w:sz="4" w:space="0" w:color="auto"/>
            </w:tcBorders>
            <w:vAlign w:val="center"/>
            <w:hideMark/>
          </w:tcPr>
          <w:p w:rsidR="00B94229" w:rsidRPr="00DB79B8" w:rsidRDefault="00B94229" w:rsidP="00B94229">
            <w:pPr>
              <w:rPr>
                <w:rFonts w:ascii="Calibri" w:hAnsi="Calibri"/>
                <w:color w:val="000000"/>
                <w:sz w:val="24"/>
                <w:szCs w:val="24"/>
              </w:rPr>
            </w:pPr>
          </w:p>
        </w:tc>
      </w:tr>
      <w:tr w:rsidR="00B94229" w:rsidRPr="00B94229" w:rsidTr="00A04296">
        <w:trPr>
          <w:trHeight w:val="1800"/>
        </w:trPr>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color w:val="000000"/>
                <w:sz w:val="24"/>
                <w:szCs w:val="24"/>
              </w:rPr>
            </w:pPr>
            <w:r w:rsidRPr="00DB79B8">
              <w:rPr>
                <w:rFonts w:ascii="Calibri" w:hAnsi="Calibri"/>
                <w:color w:val="000000"/>
                <w:sz w:val="24"/>
                <w:szCs w:val="24"/>
              </w:rPr>
              <w:t>R5. Account Management — The Responsible Entity shall establish, implement, and document technical and procedural controls that enforce access authentication of, and accountability for, all user activity, and that minimize the risk of unauthorized system access.</w:t>
            </w:r>
          </w:p>
        </w:tc>
        <w:tc>
          <w:tcPr>
            <w:tcW w:w="679"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And</w:t>
            </w:r>
          </w:p>
        </w:tc>
        <w:tc>
          <w:tcPr>
            <w:tcW w:w="601"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jc w:val="center"/>
              <w:rPr>
                <w:rFonts w:ascii="Calibri" w:hAnsi="Calibri"/>
                <w:sz w:val="24"/>
                <w:szCs w:val="24"/>
              </w:rPr>
            </w:pPr>
            <w:r w:rsidRPr="00DB79B8">
              <w:rPr>
                <w:rFonts w:ascii="Calibri" w:hAnsi="Calibri"/>
                <w:sz w:val="24"/>
                <w:szCs w:val="24"/>
              </w:rPr>
              <w:t>x</w:t>
            </w:r>
          </w:p>
        </w:tc>
        <w:tc>
          <w:tcPr>
            <w:tcW w:w="1856"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 xml:space="preserve">Technical and procedural controls shall be established, implemented, and documented to comply with </w:t>
            </w:r>
            <w:r w:rsidR="00AD5CC2" w:rsidRPr="00DB79B8">
              <w:rPr>
                <w:rFonts w:ascii="Calibri" w:hAnsi="Calibri"/>
                <w:sz w:val="24"/>
                <w:szCs w:val="24"/>
              </w:rPr>
              <w:t xml:space="preserve">Requirement </w:t>
            </w:r>
            <w:r w:rsidRPr="00DB79B8">
              <w:rPr>
                <w:rFonts w:ascii="Calibri" w:hAnsi="Calibri"/>
                <w:sz w:val="24"/>
                <w:szCs w:val="24"/>
              </w:rPr>
              <w:t>R5 and the included sub-requirements.  Any combination of technical controls or procedural controls may be applied</w:t>
            </w:r>
            <w:r w:rsidR="00AD5CC2" w:rsidRPr="00DB79B8">
              <w:rPr>
                <w:rFonts w:ascii="Calibri" w:hAnsi="Calibri"/>
                <w:sz w:val="24"/>
                <w:szCs w:val="24"/>
              </w:rPr>
              <w:t xml:space="preserve"> collectively,</w:t>
            </w:r>
            <w:r w:rsidRPr="00DB79B8">
              <w:rPr>
                <w:rFonts w:ascii="Calibri" w:hAnsi="Calibri"/>
                <w:sz w:val="24"/>
                <w:szCs w:val="24"/>
              </w:rPr>
              <w:t xml:space="preserve"> provided there is at least one of each </w:t>
            </w:r>
            <w:r w:rsidR="00AD5CC2" w:rsidRPr="00DB79B8">
              <w:rPr>
                <w:rFonts w:ascii="Calibri" w:hAnsi="Calibri"/>
                <w:sz w:val="24"/>
                <w:szCs w:val="24"/>
              </w:rPr>
              <w:t xml:space="preserve">that </w:t>
            </w:r>
            <w:r w:rsidRPr="00DB79B8">
              <w:rPr>
                <w:rFonts w:ascii="Calibri" w:hAnsi="Calibri"/>
                <w:sz w:val="24"/>
                <w:szCs w:val="24"/>
              </w:rPr>
              <w:t>would meet the requirement wording of using both technical and procedural controls.</w:t>
            </w:r>
          </w:p>
        </w:tc>
      </w:tr>
      <w:tr w:rsidR="00B94229" w:rsidRPr="00B94229" w:rsidTr="00A04296">
        <w:trPr>
          <w:trHeight w:val="1081"/>
        </w:trPr>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color w:val="000000"/>
                <w:sz w:val="24"/>
                <w:szCs w:val="24"/>
              </w:rPr>
            </w:pPr>
            <w:r w:rsidRPr="00DB79B8">
              <w:rPr>
                <w:rFonts w:ascii="Calibri" w:hAnsi="Calibri"/>
                <w:color w:val="000000"/>
                <w:sz w:val="24"/>
                <w:szCs w:val="24"/>
              </w:rPr>
              <w:t>R5.1. The Responsible Entity shall ensure that individual and shared system accounts and authorized access permissions are consistent with the concept of “need to know” with respect to work functions performed.</w:t>
            </w:r>
          </w:p>
        </w:tc>
        <w:tc>
          <w:tcPr>
            <w:tcW w:w="679"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b/>
                <w:bCs/>
                <w:sz w:val="24"/>
                <w:szCs w:val="24"/>
              </w:rPr>
            </w:pPr>
            <w:r w:rsidRPr="00DB79B8">
              <w:rPr>
                <w:rFonts w:ascii="Calibri" w:hAnsi="Calibri"/>
                <w:b/>
                <w:bCs/>
                <w:sz w:val="24"/>
                <w:szCs w:val="24"/>
              </w:rPr>
              <w:t>Procedural Con</w:t>
            </w:r>
            <w:r w:rsidR="004E5163" w:rsidRPr="00DB79B8">
              <w:rPr>
                <w:rFonts w:ascii="Calibri" w:hAnsi="Calibri"/>
                <w:b/>
                <w:bCs/>
                <w:sz w:val="24"/>
                <w:szCs w:val="24"/>
              </w:rPr>
              <w:t xml:space="preserve">trols Only/ or a combination of </w:t>
            </w:r>
            <w:r w:rsidRPr="00DB79B8">
              <w:rPr>
                <w:rFonts w:ascii="Calibri" w:hAnsi="Calibri"/>
                <w:b/>
                <w:bCs/>
                <w:sz w:val="24"/>
                <w:szCs w:val="24"/>
              </w:rPr>
              <w:t>Procedural and Technical Controls</w:t>
            </w:r>
          </w:p>
        </w:tc>
        <w:tc>
          <w:tcPr>
            <w:tcW w:w="601"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x</w:t>
            </w:r>
          </w:p>
        </w:tc>
        <w:tc>
          <w:tcPr>
            <w:tcW w:w="1856"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C74D1E">
            <w:pPr>
              <w:rPr>
                <w:rFonts w:ascii="Calibri" w:hAnsi="Calibri"/>
                <w:sz w:val="24"/>
                <w:szCs w:val="24"/>
              </w:rPr>
            </w:pPr>
            <w:r w:rsidRPr="00DB79B8">
              <w:rPr>
                <w:rFonts w:ascii="Calibri" w:hAnsi="Calibri"/>
                <w:sz w:val="24"/>
                <w:szCs w:val="24"/>
              </w:rPr>
              <w:t>Th</w:t>
            </w:r>
            <w:r w:rsidR="004E5163" w:rsidRPr="00DB79B8">
              <w:rPr>
                <w:rFonts w:ascii="Calibri" w:hAnsi="Calibri"/>
                <w:sz w:val="24"/>
                <w:szCs w:val="24"/>
              </w:rPr>
              <w:t>e concept of "need to know" can</w:t>
            </w:r>
            <w:r w:rsidRPr="00DB79B8">
              <w:rPr>
                <w:rFonts w:ascii="Calibri" w:hAnsi="Calibri"/>
                <w:sz w:val="24"/>
                <w:szCs w:val="24"/>
              </w:rPr>
              <w:t xml:space="preserve">not be determined by an automated system.  This must be determined by a Responsible </w:t>
            </w:r>
            <w:r w:rsidR="00C74D1E" w:rsidRPr="00DB79B8">
              <w:rPr>
                <w:rFonts w:ascii="Calibri" w:hAnsi="Calibri"/>
                <w:sz w:val="24"/>
                <w:szCs w:val="24"/>
              </w:rPr>
              <w:t xml:space="preserve">Entity’s </w:t>
            </w:r>
            <w:r w:rsidRPr="00DB79B8">
              <w:rPr>
                <w:rFonts w:ascii="Calibri" w:hAnsi="Calibri"/>
                <w:sz w:val="24"/>
                <w:szCs w:val="24"/>
              </w:rPr>
              <w:t>internal operational requirements.  The appropriate access permissions must be documented in their procedures and reviewed against the configured access permissions.  Ensuring user accounts are implemented with the appropriate access permissions could be performed by either a technical control (e.g. Identity and Access Management system) or a procedural control (e.g. manual review of the configured accounts).</w:t>
            </w:r>
          </w:p>
        </w:tc>
      </w:tr>
      <w:tr w:rsidR="00B94229" w:rsidRPr="00B94229" w:rsidTr="00A04296">
        <w:trPr>
          <w:trHeight w:val="1200"/>
        </w:trPr>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color w:val="000000"/>
                <w:sz w:val="24"/>
                <w:szCs w:val="24"/>
              </w:rPr>
            </w:pPr>
            <w:r w:rsidRPr="00DB79B8">
              <w:rPr>
                <w:rFonts w:ascii="Calibri" w:hAnsi="Calibri"/>
                <w:color w:val="000000"/>
                <w:sz w:val="24"/>
                <w:szCs w:val="24"/>
              </w:rPr>
              <w:t>R5.1.1. The Responsible Entity shall ensure that user accounts are implemented as approved by designated personnel. Refer to Standard CIP-003-3 Requirement R5.</w:t>
            </w:r>
          </w:p>
        </w:tc>
        <w:tc>
          <w:tcPr>
            <w:tcW w:w="679"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x</w:t>
            </w:r>
          </w:p>
        </w:tc>
        <w:tc>
          <w:tcPr>
            <w:tcW w:w="1856"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Ensuring user accounts are implemented as approved could be performed by either a technical control (e.g. Identity and Access Management system) or a procedural control (e.g. manual review of the configured accounts).</w:t>
            </w:r>
          </w:p>
        </w:tc>
      </w:tr>
      <w:tr w:rsidR="00B94229" w:rsidRPr="00B94229" w:rsidTr="00A04296">
        <w:trPr>
          <w:trHeight w:val="541"/>
        </w:trPr>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color w:val="000000"/>
                <w:sz w:val="24"/>
                <w:szCs w:val="24"/>
              </w:rPr>
            </w:pPr>
            <w:r w:rsidRPr="00DB79B8">
              <w:rPr>
                <w:rFonts w:ascii="Calibri" w:hAnsi="Calibri"/>
                <w:color w:val="000000"/>
                <w:sz w:val="24"/>
                <w:szCs w:val="24"/>
              </w:rPr>
              <w:t>R5.1.2. The Responsible Entity shall establish methods, processes, and procedures that generate logs of sufficient detail to create historical audit trails of individual user account access activity for a minimum of ninety days.</w:t>
            </w:r>
          </w:p>
        </w:tc>
        <w:tc>
          <w:tcPr>
            <w:tcW w:w="679"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jc w:val="center"/>
              <w:rPr>
                <w:rFonts w:ascii="Calibri" w:hAnsi="Calibri"/>
                <w:sz w:val="24"/>
                <w:szCs w:val="24"/>
              </w:rPr>
            </w:pPr>
            <w:r w:rsidRPr="00DB79B8">
              <w:rPr>
                <w:rFonts w:ascii="Calibri" w:hAnsi="Calibri"/>
                <w:sz w:val="24"/>
                <w:szCs w:val="24"/>
              </w:rPr>
              <w:t>x</w:t>
            </w:r>
          </w:p>
        </w:tc>
        <w:tc>
          <w:tcPr>
            <w:tcW w:w="1856"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4E5163">
            <w:pPr>
              <w:rPr>
                <w:rFonts w:ascii="Calibri" w:hAnsi="Calibri"/>
                <w:sz w:val="24"/>
                <w:szCs w:val="24"/>
              </w:rPr>
            </w:pPr>
            <w:r w:rsidRPr="00DB79B8">
              <w:rPr>
                <w:rFonts w:ascii="Calibri" w:hAnsi="Calibri"/>
                <w:sz w:val="24"/>
                <w:szCs w:val="24"/>
              </w:rPr>
              <w:t xml:space="preserve">A Cyber Asset must create logs with user account access activity.  Without this technical ability it would be a violation of the requirement.  In this instance a TFE is not permitted.  For a technical control, a log file configured to retain logs for a minimum of 90 days and overwrite older records would be an example of a technical control.  For a procedural control, </w:t>
            </w:r>
            <w:proofErr w:type="spellStart"/>
            <w:r w:rsidRPr="00DB79B8">
              <w:rPr>
                <w:rFonts w:ascii="Calibri" w:hAnsi="Calibri"/>
                <w:sz w:val="24"/>
                <w:szCs w:val="24"/>
              </w:rPr>
              <w:t>alog</w:t>
            </w:r>
            <w:proofErr w:type="spellEnd"/>
            <w:r w:rsidRPr="00DB79B8">
              <w:rPr>
                <w:rFonts w:ascii="Calibri" w:hAnsi="Calibri"/>
                <w:sz w:val="24"/>
                <w:szCs w:val="24"/>
              </w:rPr>
              <w:t xml:space="preserve"> file </w:t>
            </w:r>
            <w:r w:rsidR="0086658F" w:rsidRPr="00DB79B8">
              <w:rPr>
                <w:rFonts w:ascii="Calibri" w:hAnsi="Calibri"/>
                <w:sz w:val="24"/>
                <w:szCs w:val="24"/>
              </w:rPr>
              <w:t xml:space="preserve">that </w:t>
            </w:r>
            <w:r w:rsidRPr="00DB79B8">
              <w:rPr>
                <w:rFonts w:ascii="Calibri" w:hAnsi="Calibri"/>
                <w:sz w:val="24"/>
                <w:szCs w:val="24"/>
              </w:rPr>
              <w:t xml:space="preserve">stores 30 days worth of logs; the technical limit of the system, could be configured.  Procedurally, the 30 day log files could be saved off of the Cyber Asset every 20 days.  Saving </w:t>
            </w:r>
            <w:r w:rsidR="0086658F" w:rsidRPr="00DB79B8">
              <w:rPr>
                <w:rFonts w:ascii="Calibri" w:hAnsi="Calibri"/>
                <w:sz w:val="24"/>
                <w:szCs w:val="24"/>
              </w:rPr>
              <w:t xml:space="preserve">five </w:t>
            </w:r>
            <w:r w:rsidRPr="00DB79B8">
              <w:rPr>
                <w:rFonts w:ascii="Calibri" w:hAnsi="Calibri"/>
                <w:sz w:val="24"/>
                <w:szCs w:val="24"/>
              </w:rPr>
              <w:t>archives of the 20 day increments would meet the 90 day requirement.  A technical control is not enforcing the 90 day in the second example.</w:t>
            </w:r>
            <w:r w:rsidR="004E5163" w:rsidRPr="00DB79B8">
              <w:rPr>
                <w:rFonts w:ascii="Calibri" w:hAnsi="Calibri"/>
                <w:sz w:val="24"/>
                <w:szCs w:val="24"/>
              </w:rPr>
              <w:t xml:space="preserve"> </w:t>
            </w:r>
            <w:r w:rsidR="004E5163" w:rsidRPr="00DB79B8">
              <w:rPr>
                <w:rFonts w:ascii="Calibri" w:hAnsi="Calibri" w:cs="Helvetica"/>
                <w:color w:val="000000"/>
                <w:sz w:val="24"/>
                <w:szCs w:val="24"/>
              </w:rPr>
              <w:t>Alternatively, a procedural control could be implemented where a user logs into a Cyber Asset and manually logs their activity (e.g. in a protective relay under the single user account).</w:t>
            </w:r>
          </w:p>
        </w:tc>
      </w:tr>
      <w:tr w:rsidR="00B94229" w:rsidRPr="00B94229" w:rsidTr="00A04296">
        <w:trPr>
          <w:trHeight w:val="1800"/>
        </w:trPr>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94229" w:rsidRPr="00DB79B8" w:rsidRDefault="00A720BB" w:rsidP="00B94229">
            <w:pPr>
              <w:rPr>
                <w:rFonts w:ascii="Calibri" w:hAnsi="Calibri"/>
                <w:color w:val="000000"/>
                <w:sz w:val="24"/>
                <w:szCs w:val="24"/>
              </w:rPr>
            </w:pPr>
            <w:r w:rsidRPr="00DB79B8">
              <w:rPr>
                <w:rFonts w:ascii="Calibri" w:hAnsi="Calibri"/>
                <w:color w:val="000000"/>
                <w:sz w:val="24"/>
                <w:szCs w:val="24"/>
              </w:rPr>
              <w:t xml:space="preserve">R5.1.3. </w:t>
            </w:r>
            <w:r w:rsidR="00B94229" w:rsidRPr="00DB79B8">
              <w:rPr>
                <w:rFonts w:ascii="Calibri" w:hAnsi="Calibri"/>
                <w:color w:val="000000"/>
                <w:sz w:val="24"/>
                <w:szCs w:val="24"/>
              </w:rPr>
              <w:t>The Responsible Entity shall review, at least annually, user accounts to verify access privileges are in accordance with Standard CIP-003-3 Requirement R5 and Standard CIP-004-3 Requirement R4.</w:t>
            </w:r>
          </w:p>
        </w:tc>
        <w:tc>
          <w:tcPr>
            <w:tcW w:w="679"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x</w:t>
            </w:r>
          </w:p>
        </w:tc>
        <w:tc>
          <w:tcPr>
            <w:tcW w:w="1856"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 xml:space="preserve">The CIP IDT evaluated the applicable requirements CIP-003 R5 </w:t>
            </w:r>
            <w:r w:rsidRPr="00DB79B8">
              <w:rPr>
                <w:rFonts w:ascii="Calibri" w:hAnsi="Calibri"/>
                <w:b/>
                <w:bCs/>
                <w:sz w:val="24"/>
                <w:szCs w:val="24"/>
              </w:rPr>
              <w:t>(R5.2)</w:t>
            </w:r>
            <w:r w:rsidRPr="00DB79B8">
              <w:rPr>
                <w:rFonts w:ascii="Calibri" w:hAnsi="Calibri"/>
                <w:sz w:val="24"/>
                <w:szCs w:val="24"/>
              </w:rPr>
              <w:t xml:space="preserve"> and CIP-004 R4</w:t>
            </w:r>
            <w:r w:rsidRPr="00DB79B8">
              <w:rPr>
                <w:rFonts w:ascii="Calibri" w:hAnsi="Calibri"/>
                <w:b/>
                <w:bCs/>
                <w:sz w:val="24"/>
                <w:szCs w:val="24"/>
              </w:rPr>
              <w:t xml:space="preserve"> (R4.1 and 4.2)</w:t>
            </w:r>
            <w:r w:rsidRPr="00DB79B8">
              <w:rPr>
                <w:rFonts w:ascii="Calibri" w:hAnsi="Calibri"/>
                <w:sz w:val="24"/>
                <w:szCs w:val="24"/>
              </w:rPr>
              <w:t>.  Annually reviewing user accounts to verify access privileges could be performed by either a technical control (e.g</w:t>
            </w:r>
            <w:proofErr w:type="gramStart"/>
            <w:r w:rsidRPr="00DB79B8">
              <w:rPr>
                <w:rFonts w:ascii="Calibri" w:hAnsi="Calibri"/>
                <w:sz w:val="24"/>
                <w:szCs w:val="24"/>
              </w:rPr>
              <w:t>..</w:t>
            </w:r>
            <w:proofErr w:type="gramEnd"/>
            <w:r w:rsidRPr="00DB79B8">
              <w:rPr>
                <w:rFonts w:ascii="Calibri" w:hAnsi="Calibri"/>
                <w:sz w:val="24"/>
                <w:szCs w:val="24"/>
              </w:rPr>
              <w:t xml:space="preserve"> Identity and Access Management system) or a procedural control (e.g</w:t>
            </w:r>
            <w:proofErr w:type="gramStart"/>
            <w:r w:rsidRPr="00DB79B8">
              <w:rPr>
                <w:rFonts w:ascii="Calibri" w:hAnsi="Calibri"/>
                <w:sz w:val="24"/>
                <w:szCs w:val="24"/>
              </w:rPr>
              <w:t>..</w:t>
            </w:r>
            <w:proofErr w:type="gramEnd"/>
            <w:r w:rsidRPr="00DB79B8">
              <w:rPr>
                <w:rFonts w:ascii="Calibri" w:hAnsi="Calibri"/>
                <w:sz w:val="24"/>
                <w:szCs w:val="24"/>
              </w:rPr>
              <w:t xml:space="preserve"> manual review of the configured accounts).</w:t>
            </w:r>
          </w:p>
        </w:tc>
      </w:tr>
      <w:tr w:rsidR="00B94229" w:rsidRPr="00B94229" w:rsidTr="00A04296">
        <w:trPr>
          <w:trHeight w:val="1800"/>
        </w:trPr>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94229" w:rsidRPr="00DB79B8" w:rsidRDefault="00A720BB" w:rsidP="00B94229">
            <w:pPr>
              <w:rPr>
                <w:rFonts w:ascii="Calibri" w:hAnsi="Calibri"/>
                <w:color w:val="000000"/>
                <w:sz w:val="24"/>
                <w:szCs w:val="24"/>
              </w:rPr>
            </w:pPr>
            <w:r w:rsidRPr="00DB79B8">
              <w:rPr>
                <w:rFonts w:ascii="Calibri" w:hAnsi="Calibri"/>
                <w:color w:val="000000"/>
                <w:sz w:val="24"/>
                <w:szCs w:val="24"/>
              </w:rPr>
              <w:t xml:space="preserve">R5.2. </w:t>
            </w:r>
            <w:r w:rsidR="00B94229" w:rsidRPr="00DB79B8">
              <w:rPr>
                <w:rFonts w:ascii="Calibri" w:hAnsi="Calibri"/>
                <w:color w:val="000000"/>
                <w:sz w:val="24"/>
                <w:szCs w:val="24"/>
              </w:rPr>
              <w:t>The Responsible Entity shall implement a policy to minimize and manage the scope and acceptable use of administrator, shared, and other generic account privileges including factory default accounts.</w:t>
            </w:r>
          </w:p>
        </w:tc>
        <w:tc>
          <w:tcPr>
            <w:tcW w:w="679"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auto"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x</w:t>
            </w:r>
          </w:p>
        </w:tc>
        <w:tc>
          <w:tcPr>
            <w:tcW w:w="1856"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 xml:space="preserve">The Responsible Entity will define a policy for the acceptable use of the applicable account types.  The policy could be implemented either via a technical control through an Identity and Access Management system or by a procedural control via the system </w:t>
            </w:r>
            <w:proofErr w:type="spellStart"/>
            <w:r w:rsidRPr="00DB79B8">
              <w:rPr>
                <w:rFonts w:ascii="Calibri" w:hAnsi="Calibri"/>
                <w:sz w:val="24"/>
                <w:szCs w:val="24"/>
              </w:rPr>
              <w:t>admins</w:t>
            </w:r>
            <w:proofErr w:type="spellEnd"/>
            <w:r w:rsidRPr="00DB79B8">
              <w:rPr>
                <w:rFonts w:ascii="Calibri" w:hAnsi="Calibri"/>
                <w:sz w:val="24"/>
                <w:szCs w:val="24"/>
              </w:rPr>
              <w:t xml:space="preserve"> only configuring the applicable accounts per the policy.</w:t>
            </w:r>
          </w:p>
        </w:tc>
      </w:tr>
      <w:tr w:rsidR="00B94229" w:rsidRPr="00B94229" w:rsidTr="00A04296">
        <w:trPr>
          <w:trHeight w:val="2700"/>
        </w:trPr>
        <w:tc>
          <w:tcPr>
            <w:tcW w:w="1093" w:type="pct"/>
            <w:tcBorders>
              <w:top w:val="nil"/>
              <w:left w:val="single" w:sz="4" w:space="0" w:color="auto"/>
              <w:bottom w:val="single" w:sz="4" w:space="0" w:color="auto"/>
              <w:right w:val="single" w:sz="4" w:space="0" w:color="auto"/>
            </w:tcBorders>
            <w:shd w:val="clear" w:color="auto" w:fill="auto"/>
            <w:hideMark/>
          </w:tcPr>
          <w:p w:rsidR="00B94229" w:rsidRPr="00DB79B8" w:rsidRDefault="00A720BB" w:rsidP="00B94229">
            <w:pPr>
              <w:rPr>
                <w:rFonts w:ascii="Calibri" w:hAnsi="Calibri"/>
                <w:color w:val="000000"/>
                <w:sz w:val="24"/>
                <w:szCs w:val="24"/>
              </w:rPr>
            </w:pPr>
            <w:r w:rsidRPr="00DB79B8">
              <w:rPr>
                <w:rFonts w:ascii="Calibri" w:hAnsi="Calibri"/>
                <w:color w:val="000000"/>
                <w:sz w:val="24"/>
                <w:szCs w:val="24"/>
              </w:rPr>
              <w:t xml:space="preserve">R5.2.1. </w:t>
            </w:r>
            <w:r w:rsidR="00B94229" w:rsidRPr="00DB79B8">
              <w:rPr>
                <w:rFonts w:ascii="Calibri" w:hAnsi="Calibri"/>
                <w:color w:val="000000"/>
                <w:sz w:val="24"/>
                <w:szCs w:val="24"/>
              </w:rPr>
              <w:t>The policy shall include the removal, disabling, or renaming of such accounts where possible. For such accounts that must remain enabled, passwords shall be changed prior to putting any system into service.</w:t>
            </w:r>
          </w:p>
        </w:tc>
        <w:tc>
          <w:tcPr>
            <w:tcW w:w="679" w:type="pct"/>
            <w:tcBorders>
              <w:top w:val="nil"/>
              <w:left w:val="nil"/>
              <w:bottom w:val="single" w:sz="4" w:space="0" w:color="auto"/>
              <w:right w:val="single" w:sz="4" w:space="0" w:color="auto"/>
            </w:tcBorders>
            <w:shd w:val="clear" w:color="auto" w:fill="auto"/>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nil"/>
              <w:left w:val="nil"/>
              <w:bottom w:val="single" w:sz="4" w:space="0" w:color="auto"/>
              <w:right w:val="single" w:sz="4" w:space="0" w:color="auto"/>
            </w:tcBorders>
            <w:shd w:val="clear" w:color="auto" w:fill="auto"/>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nil"/>
              <w:left w:val="nil"/>
              <w:bottom w:val="single" w:sz="4" w:space="0" w:color="auto"/>
              <w:right w:val="single" w:sz="4" w:space="0" w:color="auto"/>
            </w:tcBorders>
            <w:shd w:val="clear" w:color="auto" w:fill="auto"/>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x</w:t>
            </w:r>
          </w:p>
        </w:tc>
        <w:tc>
          <w:tcPr>
            <w:tcW w:w="1856"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 xml:space="preserve">The policy from 5.2 must contain the required provisions.  The changing of passwords for administrator, shared, or generic accounts would require human interaction to identify the accounts and initiate the password change.  Certainly, this would be accomplished through technical means; via a keyboard and mouse, but that is not the same as a "technical control."  </w:t>
            </w:r>
            <w:r w:rsidRPr="00DB79B8">
              <w:rPr>
                <w:rFonts w:ascii="Calibri" w:hAnsi="Calibri"/>
                <w:b/>
                <w:bCs/>
                <w:sz w:val="24"/>
                <w:szCs w:val="24"/>
              </w:rPr>
              <w:t>There is a remote possibility that an Identity and Access Management system could be configured to perform this function but it is improbable.</w:t>
            </w:r>
          </w:p>
        </w:tc>
      </w:tr>
      <w:tr w:rsidR="00B94229" w:rsidRPr="00B94229" w:rsidTr="00A04296">
        <w:trPr>
          <w:trHeight w:val="2100"/>
        </w:trPr>
        <w:tc>
          <w:tcPr>
            <w:tcW w:w="1093" w:type="pct"/>
            <w:tcBorders>
              <w:top w:val="nil"/>
              <w:left w:val="single" w:sz="4" w:space="0" w:color="auto"/>
              <w:bottom w:val="single" w:sz="4" w:space="0" w:color="auto"/>
              <w:right w:val="single" w:sz="4" w:space="0" w:color="auto"/>
            </w:tcBorders>
            <w:shd w:val="clear" w:color="auto" w:fill="auto"/>
            <w:hideMark/>
          </w:tcPr>
          <w:p w:rsidR="00B94229" w:rsidRPr="00DB79B8" w:rsidRDefault="00A720BB" w:rsidP="00B94229">
            <w:pPr>
              <w:rPr>
                <w:rFonts w:ascii="Calibri" w:hAnsi="Calibri"/>
                <w:color w:val="000000"/>
                <w:sz w:val="24"/>
                <w:szCs w:val="24"/>
              </w:rPr>
            </w:pPr>
            <w:r w:rsidRPr="00DB79B8">
              <w:rPr>
                <w:rFonts w:ascii="Calibri" w:hAnsi="Calibri"/>
                <w:color w:val="000000"/>
                <w:sz w:val="24"/>
                <w:szCs w:val="24"/>
              </w:rPr>
              <w:t xml:space="preserve">R5.2.2. </w:t>
            </w:r>
            <w:r w:rsidR="00B94229" w:rsidRPr="00DB79B8">
              <w:rPr>
                <w:rFonts w:ascii="Calibri" w:hAnsi="Calibri"/>
                <w:color w:val="000000"/>
                <w:sz w:val="24"/>
                <w:szCs w:val="24"/>
              </w:rPr>
              <w:t>The Responsible Entity shall identify those individuals with access to shared accounts.</w:t>
            </w:r>
          </w:p>
        </w:tc>
        <w:tc>
          <w:tcPr>
            <w:tcW w:w="679" w:type="pct"/>
            <w:tcBorders>
              <w:top w:val="nil"/>
              <w:left w:val="nil"/>
              <w:bottom w:val="single" w:sz="4" w:space="0" w:color="auto"/>
              <w:right w:val="single" w:sz="4" w:space="0" w:color="auto"/>
            </w:tcBorders>
            <w:shd w:val="clear" w:color="auto" w:fill="auto"/>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nil"/>
              <w:left w:val="nil"/>
              <w:bottom w:val="single" w:sz="4" w:space="0" w:color="auto"/>
              <w:right w:val="single" w:sz="4" w:space="0" w:color="auto"/>
            </w:tcBorders>
            <w:shd w:val="clear" w:color="auto" w:fill="auto"/>
            <w:noWrap/>
            <w:hideMark/>
          </w:tcPr>
          <w:p w:rsidR="00B94229" w:rsidRPr="00DB79B8" w:rsidRDefault="00B94229" w:rsidP="00B94229">
            <w:pPr>
              <w:jc w:val="center"/>
              <w:rPr>
                <w:rFonts w:ascii="Calibri" w:hAnsi="Calibri"/>
                <w:sz w:val="24"/>
                <w:szCs w:val="24"/>
              </w:rPr>
            </w:pPr>
            <w:r w:rsidRPr="00DB79B8">
              <w:rPr>
                <w:rFonts w:ascii="Calibri" w:hAnsi="Calibri"/>
                <w:sz w:val="24"/>
                <w:szCs w:val="24"/>
              </w:rPr>
              <w:t> </w:t>
            </w:r>
          </w:p>
        </w:tc>
        <w:tc>
          <w:tcPr>
            <w:tcW w:w="601" w:type="pct"/>
            <w:tcBorders>
              <w:top w:val="nil"/>
              <w:left w:val="nil"/>
              <w:bottom w:val="single" w:sz="4" w:space="0" w:color="auto"/>
              <w:right w:val="single" w:sz="4" w:space="0" w:color="auto"/>
            </w:tcBorders>
            <w:shd w:val="clear" w:color="auto" w:fill="auto"/>
            <w:hideMark/>
          </w:tcPr>
          <w:p w:rsidR="00B94229" w:rsidRPr="00DB79B8" w:rsidRDefault="00B94229" w:rsidP="00B94229">
            <w:pPr>
              <w:jc w:val="center"/>
              <w:rPr>
                <w:rFonts w:ascii="Calibri" w:hAnsi="Calibri"/>
                <w:sz w:val="24"/>
                <w:szCs w:val="24"/>
              </w:rPr>
            </w:pPr>
            <w:r w:rsidRPr="00DB79B8">
              <w:rPr>
                <w:rFonts w:ascii="Calibri" w:hAnsi="Calibri"/>
                <w:sz w:val="24"/>
                <w:szCs w:val="24"/>
              </w:rPr>
              <w:t> </w:t>
            </w:r>
          </w:p>
        </w:tc>
        <w:tc>
          <w:tcPr>
            <w:tcW w:w="1856" w:type="pct"/>
            <w:tcBorders>
              <w:top w:val="single" w:sz="4" w:space="0" w:color="auto"/>
              <w:left w:val="nil"/>
              <w:bottom w:val="single" w:sz="4" w:space="0" w:color="auto"/>
              <w:right w:val="single" w:sz="4" w:space="0" w:color="auto"/>
            </w:tcBorders>
            <w:shd w:val="clear" w:color="auto"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One can use technical means to confirm the procedural component, but that is not the same as a "technical control."  Identifying users with access to a shared account can be done by performing a "net group" dump of the users associated with a group.  A paper list of the users that have been given access to the shared account for a protective relay could also meet the requirement.</w:t>
            </w:r>
          </w:p>
        </w:tc>
      </w:tr>
      <w:tr w:rsidR="00B94229" w:rsidRPr="00B94229" w:rsidTr="00A04296">
        <w:trPr>
          <w:trHeight w:val="4800"/>
        </w:trPr>
        <w:tc>
          <w:tcPr>
            <w:tcW w:w="1093" w:type="pct"/>
            <w:tcBorders>
              <w:top w:val="nil"/>
              <w:left w:val="single" w:sz="4" w:space="0" w:color="auto"/>
              <w:bottom w:val="single" w:sz="4" w:space="0" w:color="auto"/>
              <w:right w:val="single" w:sz="4" w:space="0" w:color="auto"/>
            </w:tcBorders>
            <w:shd w:val="clear" w:color="auto" w:fill="auto"/>
            <w:hideMark/>
          </w:tcPr>
          <w:p w:rsidR="00B94229" w:rsidRPr="00DB79B8" w:rsidRDefault="00B94229" w:rsidP="00B94229">
            <w:pPr>
              <w:rPr>
                <w:rFonts w:ascii="Calibri" w:hAnsi="Calibri"/>
                <w:color w:val="000000"/>
                <w:sz w:val="24"/>
                <w:szCs w:val="24"/>
              </w:rPr>
            </w:pPr>
            <w:r w:rsidRPr="00DB79B8">
              <w:rPr>
                <w:rFonts w:ascii="Calibri" w:hAnsi="Calibri"/>
                <w:color w:val="000000"/>
                <w:sz w:val="24"/>
                <w:szCs w:val="24"/>
              </w:rPr>
              <w:t>R5.2.3.  Where such accounts must be shared, the Responsible Entity shall have a policy for managing the use of such accounts that limits access to only those with authorization, an audit trail of the account use (automated or manual), and steps for securing the account in the event of personnel changes (for example, change in assignment or termination).</w:t>
            </w:r>
          </w:p>
        </w:tc>
        <w:tc>
          <w:tcPr>
            <w:tcW w:w="679" w:type="pct"/>
            <w:tcBorders>
              <w:top w:val="nil"/>
              <w:left w:val="nil"/>
              <w:bottom w:val="single" w:sz="4" w:space="0" w:color="auto"/>
              <w:right w:val="single" w:sz="4" w:space="0" w:color="auto"/>
            </w:tcBorders>
            <w:shd w:val="clear" w:color="auto" w:fill="auto"/>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nil"/>
              <w:left w:val="nil"/>
              <w:bottom w:val="single" w:sz="4" w:space="0" w:color="auto"/>
              <w:right w:val="single" w:sz="4" w:space="0" w:color="auto"/>
            </w:tcBorders>
            <w:shd w:val="clear" w:color="auto" w:fill="auto"/>
            <w:hideMark/>
          </w:tcPr>
          <w:p w:rsidR="00B94229" w:rsidRPr="00DB79B8" w:rsidRDefault="00B94229" w:rsidP="00B94229">
            <w:pPr>
              <w:rPr>
                <w:rFonts w:ascii="Calibri" w:hAnsi="Calibri"/>
                <w:b/>
                <w:bCs/>
                <w:sz w:val="24"/>
                <w:szCs w:val="24"/>
              </w:rPr>
            </w:pPr>
            <w:r w:rsidRPr="00DB79B8">
              <w:rPr>
                <w:rFonts w:ascii="Calibri" w:hAnsi="Calibri"/>
                <w:b/>
                <w:bCs/>
                <w:sz w:val="24"/>
                <w:szCs w:val="24"/>
              </w:rPr>
              <w:t>Procedural Controls Only/ or a combination of Procedural and Technical Controls</w:t>
            </w:r>
          </w:p>
        </w:tc>
        <w:tc>
          <w:tcPr>
            <w:tcW w:w="601" w:type="pct"/>
            <w:tcBorders>
              <w:top w:val="nil"/>
              <w:left w:val="nil"/>
              <w:bottom w:val="single" w:sz="4" w:space="0" w:color="auto"/>
              <w:right w:val="single" w:sz="4" w:space="0" w:color="auto"/>
            </w:tcBorders>
            <w:shd w:val="clear" w:color="auto" w:fill="auto"/>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x</w:t>
            </w:r>
          </w:p>
        </w:tc>
        <w:tc>
          <w:tcPr>
            <w:tcW w:w="1856" w:type="pct"/>
            <w:tcBorders>
              <w:top w:val="nil"/>
              <w:left w:val="nil"/>
              <w:bottom w:val="single" w:sz="4" w:space="0" w:color="auto"/>
              <w:right w:val="single" w:sz="4" w:space="0" w:color="auto"/>
            </w:tcBorders>
            <w:shd w:val="clear" w:color="auto" w:fill="auto"/>
            <w:hideMark/>
          </w:tcPr>
          <w:p w:rsidR="00B94229" w:rsidRPr="00DB79B8" w:rsidRDefault="00B94229" w:rsidP="00AD5CC2">
            <w:pPr>
              <w:rPr>
                <w:rFonts w:ascii="Calibri" w:hAnsi="Calibri"/>
                <w:sz w:val="24"/>
                <w:szCs w:val="24"/>
              </w:rPr>
            </w:pPr>
            <w:r w:rsidRPr="00DB79B8">
              <w:rPr>
                <w:rFonts w:ascii="Calibri" w:hAnsi="Calibri"/>
                <w:sz w:val="24"/>
                <w:szCs w:val="24"/>
              </w:rPr>
              <w:t>A policy is required.  Managing the use of shared accounts so that they can only be used by authorized personnel cannot be done by a technical control.  A shared account can be used by anyone who has the user name and password, including those who are not authorized to do so.  The CIP IDT does not know of an automated system to prevent this.  Only a procedural</w:t>
            </w:r>
            <w:r w:rsidR="00AD5CC2" w:rsidRPr="00DB79B8">
              <w:rPr>
                <w:rFonts w:ascii="Calibri" w:hAnsi="Calibri"/>
                <w:sz w:val="24"/>
                <w:szCs w:val="24"/>
              </w:rPr>
              <w:t xml:space="preserve"> control</w:t>
            </w:r>
            <w:r w:rsidRPr="00DB79B8">
              <w:rPr>
                <w:rFonts w:ascii="Calibri" w:hAnsi="Calibri"/>
                <w:sz w:val="24"/>
                <w:szCs w:val="24"/>
              </w:rPr>
              <w:t xml:space="preserve"> could be use</w:t>
            </w:r>
            <w:r w:rsidR="00AD5CC2" w:rsidRPr="00DB79B8">
              <w:rPr>
                <w:rFonts w:ascii="Calibri" w:hAnsi="Calibri"/>
                <w:sz w:val="24"/>
                <w:szCs w:val="24"/>
              </w:rPr>
              <w:t>d</w:t>
            </w:r>
            <w:r w:rsidRPr="00DB79B8">
              <w:rPr>
                <w:rFonts w:ascii="Calibri" w:hAnsi="Calibri"/>
                <w:sz w:val="24"/>
                <w:szCs w:val="24"/>
              </w:rPr>
              <w:t xml:space="preserve"> for the use restriction.  The audit trail of account use allows for the use</w:t>
            </w:r>
            <w:r w:rsidR="00AD5CC2" w:rsidRPr="00DB79B8">
              <w:rPr>
                <w:rFonts w:ascii="Calibri" w:hAnsi="Calibri"/>
                <w:sz w:val="24"/>
                <w:szCs w:val="24"/>
              </w:rPr>
              <w:t xml:space="preserve"> of "automated or manual" means;</w:t>
            </w:r>
            <w:r w:rsidRPr="00DB79B8">
              <w:rPr>
                <w:rFonts w:ascii="Calibri" w:hAnsi="Calibri"/>
                <w:sz w:val="24"/>
                <w:szCs w:val="24"/>
              </w:rPr>
              <w:t xml:space="preserve"> therefore</w:t>
            </w:r>
            <w:r w:rsidR="00AD5CC2" w:rsidRPr="00DB79B8">
              <w:rPr>
                <w:rFonts w:ascii="Calibri" w:hAnsi="Calibri"/>
                <w:sz w:val="24"/>
                <w:szCs w:val="24"/>
              </w:rPr>
              <w:t>,</w:t>
            </w:r>
            <w:r w:rsidRPr="00DB79B8">
              <w:rPr>
                <w:rFonts w:ascii="Calibri" w:hAnsi="Calibri"/>
                <w:sz w:val="24"/>
                <w:szCs w:val="24"/>
              </w:rPr>
              <w:t xml:space="preserve"> either a technical or procedural control could meet that portion</w:t>
            </w:r>
            <w:r w:rsidR="00AD5CC2" w:rsidRPr="00DB79B8">
              <w:rPr>
                <w:rFonts w:ascii="Calibri" w:hAnsi="Calibri"/>
                <w:sz w:val="24"/>
                <w:szCs w:val="24"/>
              </w:rPr>
              <w:t>,</w:t>
            </w:r>
            <w:r w:rsidRPr="00DB79B8">
              <w:rPr>
                <w:rFonts w:ascii="Calibri" w:hAnsi="Calibri"/>
                <w:sz w:val="24"/>
                <w:szCs w:val="24"/>
              </w:rPr>
              <w:t xml:space="preserve"> as the requirement allows for either.  The steps for securing accounts in the event of personnel changes could be performed via a technical control by an Identity and Access Management system or via a procedural control by a system admin changing the password on the Cyber Asset for the shared account.</w:t>
            </w:r>
          </w:p>
        </w:tc>
      </w:tr>
      <w:tr w:rsidR="00B94229" w:rsidRPr="00B94229" w:rsidTr="00A04296">
        <w:trPr>
          <w:trHeight w:val="1468"/>
        </w:trPr>
        <w:tc>
          <w:tcPr>
            <w:tcW w:w="1093" w:type="pct"/>
            <w:tcBorders>
              <w:top w:val="single" w:sz="4" w:space="0" w:color="auto"/>
              <w:left w:val="single" w:sz="4" w:space="0" w:color="auto"/>
              <w:bottom w:val="single" w:sz="4" w:space="0" w:color="auto"/>
              <w:right w:val="single" w:sz="4" w:space="0" w:color="auto"/>
            </w:tcBorders>
            <w:shd w:val="clear" w:color="000000" w:fill="FFFFFF" w:themeFill="background1"/>
            <w:hideMark/>
          </w:tcPr>
          <w:p w:rsidR="00B94229" w:rsidRPr="00DB79B8" w:rsidRDefault="00B94229" w:rsidP="00B94229">
            <w:pPr>
              <w:rPr>
                <w:rFonts w:ascii="Calibri" w:hAnsi="Calibri"/>
                <w:color w:val="000000"/>
                <w:sz w:val="24"/>
                <w:szCs w:val="24"/>
              </w:rPr>
            </w:pPr>
            <w:r w:rsidRPr="00DB79B8">
              <w:rPr>
                <w:rFonts w:ascii="Calibri" w:hAnsi="Calibri"/>
                <w:color w:val="000000"/>
                <w:sz w:val="24"/>
                <w:szCs w:val="24"/>
              </w:rPr>
              <w:t>R5.3.  At a minimum, the Responsible Entity shall require and use passwords, subject to the following, as technically feasible:</w:t>
            </w:r>
          </w:p>
        </w:tc>
        <w:tc>
          <w:tcPr>
            <w:tcW w:w="679" w:type="pct"/>
            <w:tcBorders>
              <w:top w:val="single" w:sz="4" w:space="0" w:color="auto"/>
              <w:left w:val="nil"/>
              <w:bottom w:val="single" w:sz="4" w:space="0" w:color="auto"/>
              <w:right w:val="single" w:sz="4" w:space="0" w:color="auto"/>
            </w:tcBorders>
            <w:shd w:val="clear" w:color="000000"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000000"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single" w:sz="4" w:space="0" w:color="auto"/>
              <w:left w:val="nil"/>
              <w:bottom w:val="single" w:sz="4" w:space="0" w:color="auto"/>
              <w:right w:val="single" w:sz="4" w:space="0" w:color="auto"/>
            </w:tcBorders>
            <w:shd w:val="clear" w:color="000000" w:fill="FFFFFF" w:themeFill="background1"/>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x</w:t>
            </w:r>
          </w:p>
        </w:tc>
        <w:tc>
          <w:tcPr>
            <w:tcW w:w="1856" w:type="pct"/>
            <w:tcBorders>
              <w:top w:val="single" w:sz="4" w:space="0" w:color="auto"/>
              <w:left w:val="nil"/>
              <w:bottom w:val="single" w:sz="4" w:space="0" w:color="auto"/>
              <w:right w:val="single" w:sz="4" w:space="0" w:color="auto"/>
            </w:tcBorders>
            <w:shd w:val="clear" w:color="000000"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A procedure could be used to require the use of passwords.  A technical control would be to configure the Cyber Asset to always require the use of a password.</w:t>
            </w:r>
          </w:p>
        </w:tc>
      </w:tr>
      <w:tr w:rsidR="00B94229" w:rsidRPr="00B94229" w:rsidTr="00A04296">
        <w:trPr>
          <w:trHeight w:val="1200"/>
        </w:trPr>
        <w:tc>
          <w:tcPr>
            <w:tcW w:w="1093" w:type="pct"/>
            <w:tcBorders>
              <w:top w:val="single" w:sz="4" w:space="0" w:color="auto"/>
              <w:left w:val="single" w:sz="4" w:space="0" w:color="auto"/>
              <w:bottom w:val="single" w:sz="4" w:space="0" w:color="auto"/>
              <w:right w:val="single" w:sz="4" w:space="0" w:color="auto"/>
            </w:tcBorders>
            <w:shd w:val="clear" w:color="000000" w:fill="FFFFFF" w:themeFill="background1"/>
            <w:hideMark/>
          </w:tcPr>
          <w:p w:rsidR="00B94229" w:rsidRPr="00DB79B8" w:rsidRDefault="00A720BB" w:rsidP="00B94229">
            <w:pPr>
              <w:rPr>
                <w:rFonts w:ascii="Calibri" w:hAnsi="Calibri"/>
                <w:color w:val="000000"/>
                <w:sz w:val="24"/>
                <w:szCs w:val="24"/>
              </w:rPr>
            </w:pPr>
            <w:r w:rsidRPr="00DB79B8">
              <w:rPr>
                <w:rFonts w:ascii="Calibri" w:hAnsi="Calibri"/>
                <w:color w:val="000000"/>
                <w:sz w:val="24"/>
                <w:szCs w:val="24"/>
              </w:rPr>
              <w:t xml:space="preserve">R5.3.1. </w:t>
            </w:r>
            <w:r w:rsidR="00B94229" w:rsidRPr="00DB79B8">
              <w:rPr>
                <w:rFonts w:ascii="Calibri" w:hAnsi="Calibri"/>
                <w:color w:val="000000"/>
                <w:sz w:val="24"/>
                <w:szCs w:val="24"/>
              </w:rPr>
              <w:t>Each password shall be a minimum of six characters.</w:t>
            </w:r>
          </w:p>
        </w:tc>
        <w:tc>
          <w:tcPr>
            <w:tcW w:w="679" w:type="pct"/>
            <w:tcBorders>
              <w:top w:val="single" w:sz="4" w:space="0" w:color="auto"/>
              <w:left w:val="nil"/>
              <w:bottom w:val="single" w:sz="4" w:space="0" w:color="auto"/>
              <w:right w:val="single" w:sz="4" w:space="0" w:color="auto"/>
            </w:tcBorders>
            <w:shd w:val="clear" w:color="000000"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000000"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single" w:sz="4" w:space="0" w:color="auto"/>
              <w:left w:val="nil"/>
              <w:bottom w:val="single" w:sz="4" w:space="0" w:color="auto"/>
              <w:right w:val="single" w:sz="4" w:space="0" w:color="auto"/>
            </w:tcBorders>
            <w:shd w:val="clear" w:color="000000" w:fill="FFFFFF" w:themeFill="background1"/>
            <w:hideMark/>
          </w:tcPr>
          <w:p w:rsidR="00B94229" w:rsidRPr="00DB79B8" w:rsidRDefault="00B94229" w:rsidP="00B94229">
            <w:pPr>
              <w:jc w:val="center"/>
              <w:rPr>
                <w:rFonts w:ascii="Calibri" w:hAnsi="Calibri"/>
                <w:sz w:val="24"/>
                <w:szCs w:val="24"/>
              </w:rPr>
            </w:pPr>
            <w:r w:rsidRPr="00DB79B8">
              <w:rPr>
                <w:rFonts w:ascii="Calibri" w:hAnsi="Calibri"/>
                <w:sz w:val="24"/>
                <w:szCs w:val="24"/>
              </w:rPr>
              <w:t>x</w:t>
            </w:r>
          </w:p>
        </w:tc>
        <w:tc>
          <w:tcPr>
            <w:tcW w:w="1856" w:type="pct"/>
            <w:tcBorders>
              <w:top w:val="single" w:sz="4" w:space="0" w:color="auto"/>
              <w:left w:val="nil"/>
              <w:bottom w:val="single" w:sz="4" w:space="0" w:color="auto"/>
              <w:right w:val="single" w:sz="4" w:space="0" w:color="auto"/>
            </w:tcBorders>
            <w:shd w:val="clear" w:color="000000"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A procedure could be used to require passwords be a minimum of six characters.  A technical control would be to configure the Cyber Asset to always require passwords be a minimum of six characters.</w:t>
            </w:r>
          </w:p>
        </w:tc>
      </w:tr>
      <w:tr w:rsidR="00B94229" w:rsidRPr="00B94229" w:rsidTr="00A04296">
        <w:trPr>
          <w:trHeight w:val="1500"/>
        </w:trPr>
        <w:tc>
          <w:tcPr>
            <w:tcW w:w="1093" w:type="pct"/>
            <w:tcBorders>
              <w:top w:val="single" w:sz="4" w:space="0" w:color="auto"/>
              <w:left w:val="single" w:sz="4" w:space="0" w:color="auto"/>
              <w:bottom w:val="single" w:sz="4" w:space="0" w:color="auto"/>
              <w:right w:val="single" w:sz="4" w:space="0" w:color="auto"/>
            </w:tcBorders>
            <w:shd w:val="clear" w:color="000000" w:fill="FFFFFF" w:themeFill="background1"/>
            <w:hideMark/>
          </w:tcPr>
          <w:p w:rsidR="00B94229" w:rsidRPr="00DB79B8" w:rsidRDefault="00A720BB" w:rsidP="00B94229">
            <w:pPr>
              <w:rPr>
                <w:rFonts w:ascii="Calibri" w:hAnsi="Calibri"/>
                <w:color w:val="000000"/>
                <w:sz w:val="24"/>
                <w:szCs w:val="24"/>
              </w:rPr>
            </w:pPr>
            <w:r w:rsidRPr="00DB79B8">
              <w:rPr>
                <w:rFonts w:ascii="Calibri" w:hAnsi="Calibri"/>
                <w:color w:val="000000"/>
                <w:sz w:val="24"/>
                <w:szCs w:val="24"/>
              </w:rPr>
              <w:t>R5.3.2.</w:t>
            </w:r>
            <w:r w:rsidR="00B94229" w:rsidRPr="00DB79B8">
              <w:rPr>
                <w:rFonts w:ascii="Calibri" w:hAnsi="Calibri"/>
                <w:color w:val="000000"/>
                <w:sz w:val="24"/>
                <w:szCs w:val="24"/>
              </w:rPr>
              <w:t xml:space="preserve"> Each password shall consist of a combination of alpha, numeric, and “special” characters.</w:t>
            </w:r>
          </w:p>
        </w:tc>
        <w:tc>
          <w:tcPr>
            <w:tcW w:w="679" w:type="pct"/>
            <w:tcBorders>
              <w:top w:val="single" w:sz="4" w:space="0" w:color="auto"/>
              <w:left w:val="nil"/>
              <w:bottom w:val="single" w:sz="4" w:space="0" w:color="auto"/>
              <w:right w:val="single" w:sz="4" w:space="0" w:color="auto"/>
            </w:tcBorders>
            <w:shd w:val="clear" w:color="000000"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000000"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single" w:sz="4" w:space="0" w:color="auto"/>
              <w:left w:val="nil"/>
              <w:bottom w:val="single" w:sz="4" w:space="0" w:color="auto"/>
              <w:right w:val="single" w:sz="4" w:space="0" w:color="auto"/>
            </w:tcBorders>
            <w:shd w:val="clear" w:color="000000" w:fill="FFFFFF" w:themeFill="background1"/>
            <w:hideMark/>
          </w:tcPr>
          <w:p w:rsidR="00B94229" w:rsidRPr="00DB79B8" w:rsidRDefault="00B94229" w:rsidP="00B94229">
            <w:pPr>
              <w:jc w:val="center"/>
              <w:rPr>
                <w:rFonts w:ascii="Calibri" w:hAnsi="Calibri"/>
                <w:sz w:val="24"/>
                <w:szCs w:val="24"/>
              </w:rPr>
            </w:pPr>
            <w:r w:rsidRPr="00DB79B8">
              <w:rPr>
                <w:rFonts w:ascii="Calibri" w:hAnsi="Calibri"/>
                <w:sz w:val="24"/>
                <w:szCs w:val="24"/>
              </w:rPr>
              <w:t>x</w:t>
            </w:r>
          </w:p>
        </w:tc>
        <w:tc>
          <w:tcPr>
            <w:tcW w:w="1856" w:type="pct"/>
            <w:tcBorders>
              <w:top w:val="single" w:sz="4" w:space="0" w:color="auto"/>
              <w:left w:val="nil"/>
              <w:bottom w:val="single" w:sz="4" w:space="0" w:color="auto"/>
              <w:right w:val="single" w:sz="4" w:space="0" w:color="auto"/>
            </w:tcBorders>
            <w:shd w:val="clear" w:color="000000"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A procedure could be used to require passwords consist of a combination of alpha, numeric, and “special” characters.  A technical control would be to configure the Cyber Asset to always require passwords consist of a combination of alpha, numeric, and “special” characters.</w:t>
            </w:r>
          </w:p>
        </w:tc>
      </w:tr>
      <w:tr w:rsidR="00B94229" w:rsidRPr="00B94229" w:rsidTr="00A04296">
        <w:trPr>
          <w:trHeight w:val="1200"/>
        </w:trPr>
        <w:tc>
          <w:tcPr>
            <w:tcW w:w="1093" w:type="pct"/>
            <w:tcBorders>
              <w:top w:val="single" w:sz="4" w:space="0" w:color="auto"/>
              <w:left w:val="single" w:sz="4" w:space="0" w:color="auto"/>
              <w:bottom w:val="single" w:sz="4" w:space="0" w:color="auto"/>
              <w:right w:val="single" w:sz="4" w:space="0" w:color="auto"/>
            </w:tcBorders>
            <w:shd w:val="clear" w:color="000000" w:fill="FFFFFF" w:themeFill="background1"/>
            <w:hideMark/>
          </w:tcPr>
          <w:p w:rsidR="00B94229" w:rsidRPr="00DB79B8" w:rsidRDefault="00A720BB" w:rsidP="00B94229">
            <w:pPr>
              <w:rPr>
                <w:rFonts w:ascii="Calibri" w:hAnsi="Calibri"/>
                <w:color w:val="000000"/>
                <w:sz w:val="24"/>
                <w:szCs w:val="24"/>
              </w:rPr>
            </w:pPr>
            <w:r w:rsidRPr="00DB79B8">
              <w:rPr>
                <w:rFonts w:ascii="Calibri" w:hAnsi="Calibri"/>
                <w:color w:val="000000"/>
                <w:sz w:val="24"/>
                <w:szCs w:val="24"/>
              </w:rPr>
              <w:t>R5.3.3.</w:t>
            </w:r>
            <w:r w:rsidR="00B94229" w:rsidRPr="00DB79B8">
              <w:rPr>
                <w:rFonts w:ascii="Calibri" w:hAnsi="Calibri"/>
                <w:color w:val="000000"/>
                <w:sz w:val="24"/>
                <w:szCs w:val="24"/>
              </w:rPr>
              <w:t xml:space="preserve"> Each password shall be changed at least annually, or more frequently based on risk.</w:t>
            </w:r>
          </w:p>
        </w:tc>
        <w:tc>
          <w:tcPr>
            <w:tcW w:w="679" w:type="pct"/>
            <w:tcBorders>
              <w:top w:val="single" w:sz="4" w:space="0" w:color="auto"/>
              <w:left w:val="nil"/>
              <w:bottom w:val="single" w:sz="4" w:space="0" w:color="auto"/>
              <w:right w:val="single" w:sz="4" w:space="0" w:color="auto"/>
            </w:tcBorders>
            <w:shd w:val="clear" w:color="000000" w:fill="FFFFFF" w:themeFill="background1"/>
            <w:noWrap/>
            <w:hideMark/>
          </w:tcPr>
          <w:p w:rsidR="00B94229" w:rsidRPr="00DB79B8" w:rsidRDefault="00B94229" w:rsidP="00B94229">
            <w:pPr>
              <w:jc w:val="center"/>
              <w:rPr>
                <w:rFonts w:ascii="Calibri" w:hAnsi="Calibri"/>
                <w:color w:val="000000"/>
                <w:sz w:val="24"/>
                <w:szCs w:val="24"/>
              </w:rPr>
            </w:pPr>
            <w:r w:rsidRPr="00DB79B8">
              <w:rPr>
                <w:rFonts w:ascii="Calibri" w:hAnsi="Calibri"/>
                <w:color w:val="000000"/>
                <w:sz w:val="24"/>
                <w:szCs w:val="24"/>
              </w:rPr>
              <w:t>x</w:t>
            </w:r>
          </w:p>
        </w:tc>
        <w:tc>
          <w:tcPr>
            <w:tcW w:w="771" w:type="pct"/>
            <w:tcBorders>
              <w:top w:val="single" w:sz="4" w:space="0" w:color="auto"/>
              <w:left w:val="nil"/>
              <w:bottom w:val="single" w:sz="4" w:space="0" w:color="auto"/>
              <w:right w:val="single" w:sz="4" w:space="0" w:color="auto"/>
            </w:tcBorders>
            <w:shd w:val="clear" w:color="000000" w:fill="FFFFFF" w:themeFill="background1"/>
            <w:noWrap/>
            <w:hideMark/>
          </w:tcPr>
          <w:p w:rsidR="00B94229" w:rsidRPr="00DB79B8" w:rsidRDefault="00B94229" w:rsidP="00B94229">
            <w:pPr>
              <w:jc w:val="center"/>
              <w:rPr>
                <w:rFonts w:ascii="Calibri" w:hAnsi="Calibri"/>
                <w:b/>
                <w:bCs/>
                <w:sz w:val="24"/>
                <w:szCs w:val="24"/>
              </w:rPr>
            </w:pPr>
            <w:r w:rsidRPr="00DB79B8">
              <w:rPr>
                <w:rFonts w:ascii="Calibri" w:hAnsi="Calibri"/>
                <w:b/>
                <w:bCs/>
                <w:sz w:val="24"/>
                <w:szCs w:val="24"/>
              </w:rPr>
              <w:t>Or</w:t>
            </w:r>
          </w:p>
        </w:tc>
        <w:tc>
          <w:tcPr>
            <w:tcW w:w="601" w:type="pct"/>
            <w:tcBorders>
              <w:top w:val="single" w:sz="4" w:space="0" w:color="auto"/>
              <w:left w:val="nil"/>
              <w:bottom w:val="single" w:sz="4" w:space="0" w:color="auto"/>
              <w:right w:val="single" w:sz="4" w:space="0" w:color="auto"/>
            </w:tcBorders>
            <w:shd w:val="clear" w:color="000000" w:fill="FFFFFF" w:themeFill="background1"/>
            <w:hideMark/>
          </w:tcPr>
          <w:p w:rsidR="00B94229" w:rsidRPr="00DB79B8" w:rsidRDefault="00B94229" w:rsidP="00B94229">
            <w:pPr>
              <w:jc w:val="center"/>
              <w:rPr>
                <w:rFonts w:ascii="Calibri" w:hAnsi="Calibri"/>
                <w:sz w:val="24"/>
                <w:szCs w:val="24"/>
              </w:rPr>
            </w:pPr>
            <w:r w:rsidRPr="00DB79B8">
              <w:rPr>
                <w:rFonts w:ascii="Calibri" w:hAnsi="Calibri"/>
                <w:sz w:val="24"/>
                <w:szCs w:val="24"/>
              </w:rPr>
              <w:t>x</w:t>
            </w:r>
          </w:p>
        </w:tc>
        <w:tc>
          <w:tcPr>
            <w:tcW w:w="1856" w:type="pct"/>
            <w:tcBorders>
              <w:top w:val="single" w:sz="4" w:space="0" w:color="auto"/>
              <w:left w:val="nil"/>
              <w:bottom w:val="single" w:sz="4" w:space="0" w:color="auto"/>
              <w:right w:val="single" w:sz="4" w:space="0" w:color="auto"/>
            </w:tcBorders>
            <w:shd w:val="clear" w:color="000000" w:fill="FFFFFF" w:themeFill="background1"/>
            <w:hideMark/>
          </w:tcPr>
          <w:p w:rsidR="00B94229" w:rsidRPr="00DB79B8" w:rsidRDefault="00B94229" w:rsidP="00B94229">
            <w:pPr>
              <w:rPr>
                <w:rFonts w:ascii="Calibri" w:hAnsi="Calibri"/>
                <w:sz w:val="24"/>
                <w:szCs w:val="24"/>
              </w:rPr>
            </w:pPr>
            <w:r w:rsidRPr="00DB79B8">
              <w:rPr>
                <w:rFonts w:ascii="Calibri" w:hAnsi="Calibri"/>
                <w:sz w:val="24"/>
                <w:szCs w:val="24"/>
              </w:rPr>
              <w:t>A procedure could be used to require passwords be changed at least annually.  A technical control would be to configure the Cyber Asset to always require passwords be changed at least annually.</w:t>
            </w:r>
          </w:p>
        </w:tc>
      </w:tr>
    </w:tbl>
    <w:p w:rsidR="00B94229" w:rsidRDefault="00B94229" w:rsidP="00363C2F">
      <w:pPr>
        <w:rPr>
          <w:rFonts w:ascii="Tahoma" w:hAnsi="Tahoma" w:cs="Tahoma"/>
          <w:color w:val="000000"/>
          <w:sz w:val="20"/>
        </w:rPr>
      </w:pPr>
    </w:p>
    <w:p w:rsidR="00DB79B8" w:rsidRDefault="00DB79B8" w:rsidP="00AE3110">
      <w:pPr>
        <w:rPr>
          <w:rFonts w:asciiTheme="minorHAnsi" w:hAnsiTheme="minorHAnsi"/>
          <w:b/>
          <w:sz w:val="24"/>
          <w:szCs w:val="24"/>
        </w:rPr>
      </w:pPr>
    </w:p>
    <w:p w:rsidR="00DB79B8" w:rsidRPr="00DB79B8" w:rsidRDefault="00DB79B8" w:rsidP="00A04296">
      <w:pPr>
        <w:ind w:left="-450"/>
        <w:rPr>
          <w:rFonts w:asciiTheme="minorHAnsi" w:hAnsiTheme="minorHAnsi"/>
          <w:b/>
          <w:sz w:val="24"/>
          <w:szCs w:val="24"/>
        </w:rPr>
      </w:pPr>
      <w:r w:rsidRPr="00DB79B8">
        <w:rPr>
          <w:rFonts w:asciiTheme="minorHAnsi" w:hAnsiTheme="minorHAnsi"/>
          <w:b/>
          <w:sz w:val="24"/>
          <w:szCs w:val="24"/>
        </w:rPr>
        <w:t>Questions:</w:t>
      </w:r>
    </w:p>
    <w:p w:rsidR="00AE3110" w:rsidRPr="00DB79B8" w:rsidRDefault="00DB79B8" w:rsidP="00A04296">
      <w:pPr>
        <w:ind w:left="-450"/>
        <w:rPr>
          <w:rStyle w:val="BoxText"/>
          <w:rFonts w:asciiTheme="minorHAnsi" w:hAnsiTheme="minorHAnsi"/>
          <w:sz w:val="24"/>
          <w:szCs w:val="24"/>
        </w:rPr>
      </w:pPr>
      <w:r>
        <w:rPr>
          <w:rFonts w:asciiTheme="minorHAnsi" w:hAnsiTheme="minorHAnsi"/>
          <w:b/>
          <w:sz w:val="24"/>
          <w:szCs w:val="24"/>
        </w:rPr>
        <w:br/>
      </w:r>
      <w:r w:rsidR="00AE3110" w:rsidRPr="00DB79B8">
        <w:rPr>
          <w:rFonts w:asciiTheme="minorHAnsi" w:hAnsiTheme="minorHAnsi"/>
          <w:b/>
          <w:sz w:val="24"/>
          <w:szCs w:val="24"/>
        </w:rPr>
        <w:t xml:space="preserve">You do not have to answer all questions.  Enter All Comments in Simple Text Format.  </w:t>
      </w:r>
    </w:p>
    <w:p w:rsidR="00536CD1" w:rsidRPr="00DB79B8" w:rsidRDefault="00AE3110" w:rsidP="00A04296">
      <w:pPr>
        <w:pStyle w:val="FootnoteText"/>
        <w:spacing w:before="240" w:after="120"/>
        <w:ind w:left="-450"/>
        <w:rPr>
          <w:rFonts w:asciiTheme="minorHAnsi" w:hAnsiTheme="minorHAnsi"/>
          <w:i/>
          <w:sz w:val="24"/>
          <w:szCs w:val="24"/>
        </w:rPr>
      </w:pPr>
      <w:r w:rsidRPr="00DB79B8">
        <w:rPr>
          <w:rStyle w:val="BoxText"/>
          <w:rFonts w:asciiTheme="minorHAnsi" w:hAnsiTheme="minorHAnsi"/>
          <w:i/>
          <w:sz w:val="24"/>
          <w:szCs w:val="24"/>
        </w:rPr>
        <w:t>Insert a “check” mark in the appropriate boxes by double-clicking the gray areas.</w:t>
      </w:r>
    </w:p>
    <w:p w:rsidR="0038592D" w:rsidRPr="00DB79B8" w:rsidRDefault="0038592D" w:rsidP="00A04296">
      <w:pPr>
        <w:pStyle w:val="ListBullet2"/>
        <w:ind w:left="-450"/>
        <w:rPr>
          <w:rStyle w:val="BoxText"/>
          <w:rFonts w:asciiTheme="minorHAnsi" w:hAnsiTheme="minorHAnsi"/>
          <w:sz w:val="24"/>
          <w:szCs w:val="24"/>
        </w:rPr>
      </w:pPr>
      <w:r w:rsidRPr="00DB79B8">
        <w:rPr>
          <w:sz w:val="24"/>
          <w:szCs w:val="24"/>
        </w:rPr>
        <w:t xml:space="preserve">Please review the request for an interpretation, the associated standard, and the draft interpretation and then answer the following questions. </w:t>
      </w:r>
    </w:p>
    <w:p w:rsidR="00DB79B8" w:rsidRDefault="00DB79B8" w:rsidP="00A04296">
      <w:pPr>
        <w:pStyle w:val="ListBullet2"/>
        <w:spacing w:after="0"/>
        <w:ind w:left="-450"/>
      </w:pPr>
    </w:p>
    <w:p w:rsidR="0038592D" w:rsidRDefault="0038592D" w:rsidP="00A04296">
      <w:pPr>
        <w:pStyle w:val="ListBullet2"/>
        <w:numPr>
          <w:ilvl w:val="0"/>
          <w:numId w:val="29"/>
        </w:numPr>
        <w:ind w:left="-90"/>
        <w:rPr>
          <w:b/>
          <w:sz w:val="24"/>
          <w:szCs w:val="24"/>
        </w:rPr>
      </w:pPr>
      <w:r w:rsidRPr="00DB79B8">
        <w:rPr>
          <w:b/>
          <w:sz w:val="24"/>
          <w:szCs w:val="24"/>
        </w:rPr>
        <w:t>Do you agree with this interpretation</w:t>
      </w:r>
      <w:r w:rsidR="00F5244A" w:rsidRPr="00DB79B8">
        <w:rPr>
          <w:b/>
          <w:sz w:val="24"/>
          <w:szCs w:val="24"/>
        </w:rPr>
        <w:t xml:space="preserve">’s response to Question 1 (Whether each sub-requirement of </w:t>
      </w:r>
      <w:r w:rsidR="002A72FE" w:rsidRPr="00DB79B8">
        <w:rPr>
          <w:b/>
          <w:sz w:val="24"/>
          <w:szCs w:val="24"/>
        </w:rPr>
        <w:t xml:space="preserve">Requirement </w:t>
      </w:r>
      <w:r w:rsidR="00F5244A" w:rsidRPr="00DB79B8">
        <w:rPr>
          <w:b/>
          <w:sz w:val="24"/>
          <w:szCs w:val="24"/>
        </w:rPr>
        <w:t>R5 requires both “technical and procedural controls.”)?</w:t>
      </w:r>
      <w:r w:rsidRPr="00DB79B8">
        <w:rPr>
          <w:b/>
          <w:sz w:val="24"/>
          <w:szCs w:val="24"/>
        </w:rPr>
        <w:t xml:space="preserve"> If not, </w:t>
      </w:r>
      <w:r w:rsidR="0044197D" w:rsidRPr="00DB79B8">
        <w:rPr>
          <w:b/>
          <w:sz w:val="24"/>
          <w:szCs w:val="24"/>
        </w:rPr>
        <w:t>what, specifically, do you disagree with?</w:t>
      </w:r>
      <w:r w:rsidR="00AB1EE2" w:rsidRPr="00DB79B8">
        <w:rPr>
          <w:b/>
          <w:sz w:val="24"/>
          <w:szCs w:val="24"/>
        </w:rPr>
        <w:t xml:space="preserve"> </w:t>
      </w:r>
      <w:r w:rsidR="00A56ED1" w:rsidRPr="00DB79B8">
        <w:rPr>
          <w:b/>
          <w:sz w:val="24"/>
          <w:szCs w:val="24"/>
        </w:rPr>
        <w:t>Please provide specific suggestions or proposals for any alternative language.</w:t>
      </w:r>
      <w:r w:rsidRPr="00DB79B8">
        <w:rPr>
          <w:b/>
          <w:sz w:val="24"/>
          <w:szCs w:val="24"/>
        </w:rPr>
        <w:t xml:space="preserve"> </w:t>
      </w:r>
    </w:p>
    <w:p w:rsidR="00DB79B8" w:rsidRPr="00DB79B8" w:rsidRDefault="00F648E8" w:rsidP="00A04296">
      <w:pPr>
        <w:pStyle w:val="ListBullet2"/>
        <w:ind w:left="-90"/>
        <w:rPr>
          <w:rStyle w:val="BoxText"/>
          <w:rFonts w:asciiTheme="minorHAnsi" w:hAnsiTheme="minorHAnsi"/>
          <w:sz w:val="24"/>
          <w:szCs w:val="24"/>
        </w:rPr>
      </w:pPr>
      <w:r w:rsidRPr="00DB79B8">
        <w:rPr>
          <w:rStyle w:val="BoxText"/>
          <w:rFonts w:asciiTheme="minorHAnsi" w:hAnsiTheme="minorHAnsi"/>
          <w:sz w:val="24"/>
          <w:szCs w:val="24"/>
        </w:rPr>
        <w:fldChar w:fldCharType="begin">
          <w:ffData>
            <w:name w:val="Check4"/>
            <w:enabled/>
            <w:calcOnExit w:val="0"/>
            <w:checkBox>
              <w:sizeAuto/>
              <w:default w:val="0"/>
            </w:checkBox>
          </w:ffData>
        </w:fldChar>
      </w:r>
      <w:r w:rsidR="00DB79B8" w:rsidRPr="00DB79B8">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B79B8">
        <w:rPr>
          <w:rStyle w:val="BoxText"/>
          <w:rFonts w:asciiTheme="minorHAnsi" w:hAnsiTheme="minorHAnsi"/>
          <w:sz w:val="24"/>
          <w:szCs w:val="24"/>
        </w:rPr>
        <w:fldChar w:fldCharType="end"/>
      </w:r>
      <w:r w:rsidR="00DB79B8" w:rsidRPr="00DB79B8">
        <w:rPr>
          <w:rStyle w:val="BoxText"/>
          <w:rFonts w:asciiTheme="minorHAnsi" w:hAnsiTheme="minorHAnsi"/>
          <w:sz w:val="24"/>
          <w:szCs w:val="24"/>
        </w:rPr>
        <w:t xml:space="preserve"> Yes</w:t>
      </w:r>
    </w:p>
    <w:p w:rsidR="00DB79B8" w:rsidRPr="00DB79B8" w:rsidRDefault="00F648E8" w:rsidP="00A04296">
      <w:pPr>
        <w:pStyle w:val="ListBullet2"/>
        <w:ind w:left="-90"/>
      </w:pPr>
      <w:r w:rsidRPr="00DB79B8">
        <w:rPr>
          <w:rStyle w:val="BoxText"/>
          <w:rFonts w:asciiTheme="minorHAnsi" w:hAnsiTheme="minorHAnsi"/>
          <w:sz w:val="24"/>
          <w:szCs w:val="24"/>
        </w:rPr>
        <w:fldChar w:fldCharType="begin">
          <w:ffData>
            <w:name w:val="Check4"/>
            <w:enabled/>
            <w:calcOnExit w:val="0"/>
            <w:checkBox>
              <w:sizeAuto/>
              <w:default w:val="0"/>
            </w:checkBox>
          </w:ffData>
        </w:fldChar>
      </w:r>
      <w:r w:rsidR="00DB79B8" w:rsidRPr="00DB79B8">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B79B8">
        <w:rPr>
          <w:rStyle w:val="BoxText"/>
          <w:rFonts w:asciiTheme="minorHAnsi" w:hAnsiTheme="minorHAnsi"/>
          <w:sz w:val="24"/>
          <w:szCs w:val="24"/>
        </w:rPr>
        <w:fldChar w:fldCharType="end"/>
      </w:r>
      <w:r w:rsidR="00DB79B8" w:rsidRPr="00DB79B8">
        <w:rPr>
          <w:rStyle w:val="BoxText"/>
          <w:rFonts w:asciiTheme="minorHAnsi" w:hAnsiTheme="minorHAnsi"/>
          <w:sz w:val="24"/>
          <w:szCs w:val="24"/>
        </w:rPr>
        <w:t xml:space="preserve"> No</w:t>
      </w:r>
    </w:p>
    <w:p w:rsidR="00DB79B8" w:rsidRDefault="00DB79B8" w:rsidP="00A04296">
      <w:pPr>
        <w:pStyle w:val="ListBullet2"/>
        <w:spacing w:after="0"/>
        <w:ind w:left="-90"/>
        <w:rPr>
          <w:rStyle w:val="BoxText"/>
          <w:rFonts w:asciiTheme="minorHAnsi" w:hAnsiTheme="minorHAnsi"/>
          <w:sz w:val="24"/>
          <w:szCs w:val="24"/>
        </w:rPr>
      </w:pPr>
      <w:r w:rsidRPr="00DB79B8">
        <w:rPr>
          <w:rStyle w:val="BoxText"/>
          <w:rFonts w:asciiTheme="minorHAnsi" w:hAnsiTheme="minorHAnsi"/>
          <w:sz w:val="24"/>
          <w:szCs w:val="24"/>
        </w:rPr>
        <w:t xml:space="preserve">Comments: </w:t>
      </w:r>
      <w:r w:rsidR="00F648E8" w:rsidRPr="00DB79B8">
        <w:rPr>
          <w:rStyle w:val="BoxText"/>
          <w:rFonts w:asciiTheme="minorHAnsi" w:hAnsiTheme="minorHAnsi"/>
          <w:sz w:val="24"/>
          <w:szCs w:val="24"/>
        </w:rPr>
        <w:fldChar w:fldCharType="begin">
          <w:ffData>
            <w:name w:val="Text12"/>
            <w:enabled/>
            <w:calcOnExit w:val="0"/>
            <w:textInput/>
          </w:ffData>
        </w:fldChar>
      </w:r>
      <w:bookmarkStart w:id="2" w:name="Text12"/>
      <w:r w:rsidRPr="00DB79B8">
        <w:rPr>
          <w:rStyle w:val="BoxText"/>
          <w:rFonts w:asciiTheme="minorHAnsi" w:hAnsiTheme="minorHAnsi"/>
          <w:sz w:val="24"/>
          <w:szCs w:val="24"/>
        </w:rPr>
        <w:instrText xml:space="preserve"> FORMTEXT </w:instrText>
      </w:r>
      <w:r w:rsidR="00F648E8" w:rsidRPr="00DB79B8">
        <w:rPr>
          <w:rStyle w:val="BoxText"/>
          <w:rFonts w:asciiTheme="minorHAnsi" w:hAnsiTheme="minorHAnsi"/>
          <w:sz w:val="24"/>
          <w:szCs w:val="24"/>
        </w:rPr>
      </w:r>
      <w:r w:rsidR="00F648E8" w:rsidRPr="00DB79B8">
        <w:rPr>
          <w:rStyle w:val="BoxText"/>
          <w:rFonts w:asciiTheme="minorHAnsi" w:hAnsiTheme="minorHAnsi"/>
          <w:sz w:val="24"/>
          <w:szCs w:val="24"/>
        </w:rPr>
        <w:fldChar w:fldCharType="separate"/>
      </w:r>
      <w:r w:rsidRPr="00DB79B8">
        <w:rPr>
          <w:rStyle w:val="BoxText"/>
          <w:rFonts w:ascii="Verdana" w:hAnsi="Verdana"/>
          <w:noProof/>
          <w:sz w:val="24"/>
          <w:szCs w:val="24"/>
        </w:rPr>
        <w:t> </w:t>
      </w:r>
      <w:r w:rsidRPr="00DB79B8">
        <w:rPr>
          <w:rStyle w:val="BoxText"/>
          <w:rFonts w:ascii="Verdana" w:hAnsi="Verdana"/>
          <w:noProof/>
          <w:sz w:val="24"/>
          <w:szCs w:val="24"/>
        </w:rPr>
        <w:t> </w:t>
      </w:r>
      <w:r w:rsidRPr="00DB79B8">
        <w:rPr>
          <w:rStyle w:val="BoxText"/>
          <w:rFonts w:ascii="Verdana" w:hAnsi="Verdana"/>
          <w:noProof/>
          <w:sz w:val="24"/>
          <w:szCs w:val="24"/>
        </w:rPr>
        <w:t> </w:t>
      </w:r>
      <w:r w:rsidRPr="00DB79B8">
        <w:rPr>
          <w:rStyle w:val="BoxText"/>
          <w:rFonts w:ascii="Verdana" w:hAnsi="Verdana"/>
          <w:noProof/>
          <w:sz w:val="24"/>
          <w:szCs w:val="24"/>
        </w:rPr>
        <w:t> </w:t>
      </w:r>
      <w:r w:rsidRPr="00DB79B8">
        <w:rPr>
          <w:rStyle w:val="BoxText"/>
          <w:rFonts w:ascii="Verdana" w:hAnsi="Verdana"/>
          <w:noProof/>
          <w:sz w:val="24"/>
          <w:szCs w:val="24"/>
        </w:rPr>
        <w:t> </w:t>
      </w:r>
      <w:r w:rsidR="00F648E8" w:rsidRPr="00DB79B8">
        <w:rPr>
          <w:rStyle w:val="BoxText"/>
          <w:rFonts w:asciiTheme="minorHAnsi" w:hAnsiTheme="minorHAnsi"/>
          <w:sz w:val="24"/>
          <w:szCs w:val="24"/>
        </w:rPr>
        <w:fldChar w:fldCharType="end"/>
      </w:r>
      <w:bookmarkEnd w:id="2"/>
    </w:p>
    <w:p w:rsidR="00DB79B8" w:rsidRDefault="00DB79B8" w:rsidP="00A04296">
      <w:pPr>
        <w:pStyle w:val="ListBullet2"/>
        <w:spacing w:after="0"/>
        <w:ind w:left="-450"/>
        <w:rPr>
          <w:b/>
          <w:sz w:val="24"/>
          <w:szCs w:val="24"/>
        </w:rPr>
      </w:pPr>
    </w:p>
    <w:p w:rsidR="00DB79B8" w:rsidRPr="00511C7D" w:rsidRDefault="00DB79B8" w:rsidP="00A04296">
      <w:pPr>
        <w:pStyle w:val="ListBullet2"/>
        <w:numPr>
          <w:ilvl w:val="0"/>
          <w:numId w:val="29"/>
        </w:numPr>
        <w:ind w:left="-90"/>
        <w:rPr>
          <w:b/>
          <w:sz w:val="24"/>
          <w:szCs w:val="24"/>
        </w:rPr>
      </w:pPr>
      <w:r w:rsidRPr="00511C7D">
        <w:rPr>
          <w:b/>
          <w:sz w:val="24"/>
          <w:szCs w:val="24"/>
        </w:rPr>
        <w:t xml:space="preserve">Do you agree with this interpretation’s response to Question 2 (Whether technical controls in Requirement R5.3 mean that each individual Cyber Asset within the Electronic Security Perimeter (ESP) has to automatically enforce each </w:t>
      </w:r>
      <w:proofErr w:type="gramStart"/>
      <w:r w:rsidRPr="00511C7D">
        <w:rPr>
          <w:b/>
          <w:sz w:val="24"/>
          <w:szCs w:val="24"/>
        </w:rPr>
        <w:t>of the three R5.3 sub-parts</w:t>
      </w:r>
      <w:proofErr w:type="gramEnd"/>
      <w:r w:rsidRPr="00511C7D">
        <w:rPr>
          <w:b/>
          <w:sz w:val="24"/>
          <w:szCs w:val="24"/>
        </w:rPr>
        <w:t xml:space="preserve">.)? If not, what, specifically, do you disagree with? Please provide specific suggestions or proposals for any alternative language. </w:t>
      </w:r>
    </w:p>
    <w:p w:rsidR="00F5244A" w:rsidRPr="00DB79B8" w:rsidRDefault="00F648E8" w:rsidP="00A04296">
      <w:pPr>
        <w:pStyle w:val="ListBullet2"/>
        <w:ind w:left="-90"/>
        <w:rPr>
          <w:rStyle w:val="BoxText"/>
          <w:rFonts w:asciiTheme="minorHAnsi" w:hAnsiTheme="minorHAnsi"/>
          <w:sz w:val="24"/>
          <w:szCs w:val="24"/>
        </w:rPr>
      </w:pPr>
      <w:r w:rsidRPr="00DB79B8">
        <w:rPr>
          <w:rStyle w:val="BoxText"/>
          <w:rFonts w:asciiTheme="minorHAnsi" w:hAnsiTheme="minorHAnsi"/>
          <w:sz w:val="24"/>
          <w:szCs w:val="24"/>
        </w:rPr>
        <w:fldChar w:fldCharType="begin">
          <w:ffData>
            <w:name w:val="Check4"/>
            <w:enabled/>
            <w:calcOnExit w:val="0"/>
            <w:checkBox>
              <w:sizeAuto/>
              <w:default w:val="0"/>
            </w:checkBox>
          </w:ffData>
        </w:fldChar>
      </w:r>
      <w:r w:rsidR="00F5244A" w:rsidRPr="00DB79B8">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B79B8">
        <w:rPr>
          <w:rStyle w:val="BoxText"/>
          <w:rFonts w:asciiTheme="minorHAnsi" w:hAnsiTheme="minorHAnsi"/>
          <w:sz w:val="24"/>
          <w:szCs w:val="24"/>
        </w:rPr>
        <w:fldChar w:fldCharType="end"/>
      </w:r>
      <w:r w:rsidR="00F5244A" w:rsidRPr="00DB79B8">
        <w:rPr>
          <w:rStyle w:val="BoxText"/>
          <w:rFonts w:asciiTheme="minorHAnsi" w:hAnsiTheme="minorHAnsi"/>
          <w:sz w:val="24"/>
          <w:szCs w:val="24"/>
        </w:rPr>
        <w:t xml:space="preserve"> Yes</w:t>
      </w:r>
    </w:p>
    <w:p w:rsidR="00F5244A" w:rsidRPr="00DB79B8" w:rsidRDefault="00F648E8" w:rsidP="00A04296">
      <w:pPr>
        <w:pStyle w:val="ListBullet2"/>
        <w:tabs>
          <w:tab w:val="left" w:pos="90"/>
        </w:tabs>
        <w:ind w:left="-90"/>
      </w:pPr>
      <w:r w:rsidRPr="00DB79B8">
        <w:rPr>
          <w:rStyle w:val="BoxText"/>
          <w:rFonts w:asciiTheme="minorHAnsi" w:hAnsiTheme="minorHAnsi"/>
          <w:sz w:val="24"/>
          <w:szCs w:val="24"/>
        </w:rPr>
        <w:fldChar w:fldCharType="begin">
          <w:ffData>
            <w:name w:val="Check4"/>
            <w:enabled/>
            <w:calcOnExit w:val="0"/>
            <w:checkBox>
              <w:sizeAuto/>
              <w:default w:val="0"/>
            </w:checkBox>
          </w:ffData>
        </w:fldChar>
      </w:r>
      <w:r w:rsidR="00F5244A" w:rsidRPr="00DB79B8">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B79B8">
        <w:rPr>
          <w:rStyle w:val="BoxText"/>
          <w:rFonts w:asciiTheme="minorHAnsi" w:hAnsiTheme="minorHAnsi"/>
          <w:sz w:val="24"/>
          <w:szCs w:val="24"/>
        </w:rPr>
        <w:fldChar w:fldCharType="end"/>
      </w:r>
      <w:r w:rsidR="00F5244A" w:rsidRPr="00DB79B8">
        <w:rPr>
          <w:rStyle w:val="BoxText"/>
          <w:rFonts w:asciiTheme="minorHAnsi" w:hAnsiTheme="minorHAnsi"/>
          <w:sz w:val="24"/>
          <w:szCs w:val="24"/>
        </w:rPr>
        <w:t xml:space="preserve"> No</w:t>
      </w:r>
    </w:p>
    <w:p w:rsidR="00A56C97" w:rsidRPr="00DB79B8" w:rsidRDefault="00F5244A" w:rsidP="00A04296">
      <w:pPr>
        <w:ind w:left="-90"/>
        <w:rPr>
          <w:rStyle w:val="BoxText"/>
          <w:rFonts w:asciiTheme="minorHAnsi" w:hAnsiTheme="minorHAnsi"/>
          <w:sz w:val="24"/>
          <w:szCs w:val="24"/>
        </w:rPr>
      </w:pPr>
      <w:r w:rsidRPr="00DB79B8">
        <w:rPr>
          <w:rStyle w:val="BoxText"/>
          <w:rFonts w:asciiTheme="minorHAnsi" w:hAnsiTheme="minorHAnsi"/>
          <w:sz w:val="24"/>
          <w:szCs w:val="24"/>
        </w:rPr>
        <w:t xml:space="preserve">Comments: </w:t>
      </w:r>
      <w:r w:rsidR="00F648E8" w:rsidRPr="00DB79B8">
        <w:rPr>
          <w:rStyle w:val="BoxText"/>
          <w:rFonts w:asciiTheme="minorHAnsi" w:hAnsiTheme="minorHAnsi"/>
          <w:sz w:val="24"/>
          <w:szCs w:val="24"/>
        </w:rPr>
        <w:fldChar w:fldCharType="begin">
          <w:ffData>
            <w:name w:val="Text12"/>
            <w:enabled/>
            <w:calcOnExit w:val="0"/>
            <w:textInput/>
          </w:ffData>
        </w:fldChar>
      </w:r>
      <w:r w:rsidRPr="00DB79B8">
        <w:rPr>
          <w:rStyle w:val="BoxText"/>
          <w:rFonts w:asciiTheme="minorHAnsi" w:hAnsiTheme="minorHAnsi"/>
          <w:sz w:val="24"/>
          <w:szCs w:val="24"/>
        </w:rPr>
        <w:instrText xml:space="preserve"> FORMTEXT </w:instrText>
      </w:r>
      <w:r w:rsidR="00F648E8" w:rsidRPr="00DB79B8">
        <w:rPr>
          <w:rStyle w:val="BoxText"/>
          <w:rFonts w:asciiTheme="minorHAnsi" w:hAnsiTheme="minorHAnsi"/>
          <w:sz w:val="24"/>
          <w:szCs w:val="24"/>
        </w:rPr>
      </w:r>
      <w:r w:rsidR="00F648E8" w:rsidRPr="00DB79B8">
        <w:rPr>
          <w:rStyle w:val="BoxText"/>
          <w:rFonts w:asciiTheme="minorHAnsi" w:hAnsiTheme="minorHAnsi"/>
          <w:sz w:val="24"/>
          <w:szCs w:val="24"/>
        </w:rPr>
        <w:fldChar w:fldCharType="separate"/>
      </w:r>
      <w:r w:rsidRPr="00DB79B8">
        <w:rPr>
          <w:rStyle w:val="BoxText"/>
          <w:rFonts w:ascii="Verdana" w:hAnsi="Verdana"/>
          <w:noProof/>
          <w:sz w:val="24"/>
          <w:szCs w:val="24"/>
        </w:rPr>
        <w:t> </w:t>
      </w:r>
      <w:r w:rsidRPr="00DB79B8">
        <w:rPr>
          <w:rStyle w:val="BoxText"/>
          <w:rFonts w:ascii="Verdana" w:hAnsi="Verdana"/>
          <w:noProof/>
          <w:sz w:val="24"/>
          <w:szCs w:val="24"/>
        </w:rPr>
        <w:t> </w:t>
      </w:r>
      <w:r w:rsidRPr="00DB79B8">
        <w:rPr>
          <w:rStyle w:val="BoxText"/>
          <w:rFonts w:ascii="Verdana" w:hAnsi="Verdana"/>
          <w:noProof/>
          <w:sz w:val="24"/>
          <w:szCs w:val="24"/>
        </w:rPr>
        <w:t> </w:t>
      </w:r>
      <w:r w:rsidRPr="00DB79B8">
        <w:rPr>
          <w:rStyle w:val="BoxText"/>
          <w:rFonts w:ascii="Verdana" w:hAnsi="Verdana"/>
          <w:noProof/>
          <w:sz w:val="24"/>
          <w:szCs w:val="24"/>
        </w:rPr>
        <w:t> </w:t>
      </w:r>
      <w:r w:rsidRPr="00DB79B8">
        <w:rPr>
          <w:rStyle w:val="BoxText"/>
          <w:rFonts w:ascii="Verdana" w:hAnsi="Verdana"/>
          <w:noProof/>
          <w:sz w:val="24"/>
          <w:szCs w:val="24"/>
        </w:rPr>
        <w:t> </w:t>
      </w:r>
      <w:r w:rsidR="00F648E8" w:rsidRPr="00DB79B8">
        <w:rPr>
          <w:rStyle w:val="BoxText"/>
          <w:rFonts w:asciiTheme="minorHAnsi" w:hAnsiTheme="minorHAnsi"/>
          <w:sz w:val="24"/>
          <w:szCs w:val="24"/>
        </w:rPr>
        <w:fldChar w:fldCharType="end"/>
      </w:r>
    </w:p>
    <w:sectPr w:rsidR="00A56C97" w:rsidRPr="00DB79B8" w:rsidSect="00F67CEA">
      <w:headerReference w:type="default" r:id="rId12"/>
      <w:footerReference w:type="default" r:id="rId13"/>
      <w:headerReference w:type="first" r:id="rId14"/>
      <w:footerReference w:type="first" r:id="rId15"/>
      <w:type w:val="continuous"/>
      <w:pgSz w:w="12240" w:h="15840" w:code="1"/>
      <w:pgMar w:top="1627" w:right="1440" w:bottom="1440" w:left="1440" w:header="720" w:footer="21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EE" w:rsidRDefault="002259EE">
      <w:r>
        <w:separator/>
      </w:r>
    </w:p>
  </w:endnote>
  <w:endnote w:type="continuationSeparator" w:id="0">
    <w:p w:rsidR="002259EE" w:rsidRDefault="00225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EE" w:rsidRPr="00592F54" w:rsidRDefault="002259EE" w:rsidP="00F67CEA">
    <w:pPr>
      <w:tabs>
        <w:tab w:val="right" w:pos="9360"/>
      </w:tabs>
      <w:rPr>
        <w:rFonts w:ascii="Tahoma" w:hAnsi="Tahoma" w:cs="Tahoma"/>
        <w:b/>
        <w:color w:val="5D85A9"/>
        <w:sz w:val="18"/>
        <w:szCs w:val="18"/>
      </w:rPr>
    </w:pPr>
    <w:r w:rsidRPr="0036127D">
      <w:rPr>
        <w:rFonts w:asciiTheme="minorHAnsi" w:hAnsiTheme="minorHAnsi"/>
        <w:b/>
        <w:noProof/>
        <w:color w:val="1B4C80"/>
        <w:sz w:val="18"/>
        <w:szCs w:val="18"/>
      </w:rPr>
      <w:drawing>
        <wp:anchor distT="0" distB="0" distL="114300" distR="114300" simplePos="0" relativeHeight="251665408"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r w:rsidRPr="0036127D">
      <w:rPr>
        <w:rFonts w:asciiTheme="minorHAnsi" w:hAnsiTheme="minorHAnsi" w:cs="Tahoma"/>
        <w:b/>
        <w:color w:val="1B4C80"/>
        <w:sz w:val="18"/>
        <w:szCs w:val="18"/>
      </w:rPr>
      <w:t>Unofficial Comment Form</w:t>
    </w:r>
    <w:r>
      <w:rPr>
        <w:rFonts w:asciiTheme="minorHAnsi" w:hAnsiTheme="minorHAnsi"/>
        <w:b/>
        <w:color w:val="1B4C80"/>
        <w:sz w:val="18"/>
        <w:szCs w:val="18"/>
      </w:rPr>
      <w:t xml:space="preserve"> </w:t>
    </w:r>
    <w:r w:rsidRPr="0036127D">
      <w:rPr>
        <w:rFonts w:asciiTheme="minorHAnsi" w:hAnsiTheme="minorHAnsi" w:cs="Tahoma"/>
        <w:b/>
        <w:color w:val="1B4C80"/>
        <w:sz w:val="18"/>
        <w:szCs w:val="18"/>
      </w:rPr>
      <w:t>Project 2012-INT-04</w:t>
    </w:r>
    <w:r>
      <w:rPr>
        <w:rFonts w:ascii="Tahoma" w:hAnsi="Tahoma" w:cs="Tahoma"/>
        <w:b/>
        <w:color w:val="5D85A9"/>
        <w:sz w:val="18"/>
        <w:szCs w:val="18"/>
      </w:rPr>
      <w:tab/>
    </w:r>
    <w:r w:rsidR="00F648E8" w:rsidRPr="0036127D">
      <w:rPr>
        <w:rFonts w:asciiTheme="minorHAnsi" w:hAnsiTheme="minorHAnsi" w:cs="Tahoma"/>
        <w:b/>
        <w:color w:val="1B4C80"/>
        <w:sz w:val="18"/>
        <w:szCs w:val="18"/>
      </w:rPr>
      <w:fldChar w:fldCharType="begin"/>
    </w:r>
    <w:r w:rsidRPr="0036127D">
      <w:rPr>
        <w:rFonts w:asciiTheme="minorHAnsi" w:hAnsiTheme="minorHAnsi" w:cs="Tahoma"/>
        <w:b/>
        <w:color w:val="1B4C80"/>
        <w:sz w:val="18"/>
        <w:szCs w:val="18"/>
      </w:rPr>
      <w:instrText xml:space="preserve"> PAGE   \* MERGEFORMAT </w:instrText>
    </w:r>
    <w:r w:rsidR="00F648E8" w:rsidRPr="0036127D">
      <w:rPr>
        <w:rFonts w:asciiTheme="minorHAnsi" w:hAnsiTheme="minorHAnsi" w:cs="Tahoma"/>
        <w:b/>
        <w:color w:val="1B4C80"/>
        <w:sz w:val="18"/>
        <w:szCs w:val="18"/>
      </w:rPr>
      <w:fldChar w:fldCharType="separate"/>
    </w:r>
    <w:r w:rsidR="00A168E9">
      <w:rPr>
        <w:rFonts w:asciiTheme="minorHAnsi" w:hAnsiTheme="minorHAnsi" w:cs="Tahoma"/>
        <w:b/>
        <w:noProof/>
        <w:color w:val="1B4C80"/>
        <w:sz w:val="18"/>
        <w:szCs w:val="18"/>
      </w:rPr>
      <w:t>8</w:t>
    </w:r>
    <w:r w:rsidR="00F648E8" w:rsidRPr="0036127D">
      <w:rPr>
        <w:rFonts w:asciiTheme="minorHAnsi" w:hAnsiTheme="minorHAnsi" w:cs="Tahoma"/>
        <w:b/>
        <w:color w:val="1B4C80"/>
        <w:sz w:val="18"/>
        <w:szCs w:val="18"/>
      </w:rPr>
      <w:fldChar w:fldCharType="end"/>
    </w:r>
  </w:p>
  <w:p w:rsidR="002259EE" w:rsidRPr="006C4E54" w:rsidRDefault="002259EE" w:rsidP="006C4E54">
    <w:pPr>
      <w:pStyle w:val="Footer"/>
      <w:jc w:val="center"/>
    </w:pPr>
    <w:r w:rsidRPr="00F67CEA">
      <w:rPr>
        <w:rFonts w:ascii="Verdana" w:hAnsi="Verdana" w:cs="Arial"/>
        <w:noProof/>
        <w:sz w:val="20"/>
      </w:rPr>
      <w:drawing>
        <wp:anchor distT="0" distB="0" distL="114300" distR="114300" simplePos="0" relativeHeight="251663360" behindDoc="1" locked="0" layoutInCell="1" allowOverlap="1">
          <wp:simplePos x="0" y="0"/>
          <wp:positionH relativeFrom="page">
            <wp:posOffset>3147</wp:posOffset>
          </wp:positionH>
          <wp:positionV relativeFrom="page">
            <wp:posOffset>9708543</wp:posOffset>
          </wp:positionV>
          <wp:extent cx="7812985" cy="389614"/>
          <wp:effectExtent l="19050" t="0" r="0" b="0"/>
          <wp:wrapNone/>
          <wp:docPr id="10"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EE" w:rsidRPr="00D928EC" w:rsidRDefault="002259EE" w:rsidP="00D928EC">
    <w:pPr>
      <w:pStyle w:val="Footer"/>
      <w:jc w:val="center"/>
    </w:pPr>
    <w:r w:rsidRPr="00F67CEA">
      <w:rPr>
        <w:rFonts w:ascii="Verdana" w:hAnsi="Verdana" w:cs="Arial"/>
        <w:noProof/>
        <w:sz w:val="20"/>
      </w:rPr>
      <w:drawing>
        <wp:anchor distT="0" distB="0" distL="114300" distR="114300" simplePos="0" relativeHeight="251659264" behindDoc="1" locked="0" layoutInCell="1" allowOverlap="1">
          <wp:simplePos x="0" y="0"/>
          <wp:positionH relativeFrom="page">
            <wp:posOffset>3147</wp:posOffset>
          </wp:positionH>
          <wp:positionV relativeFrom="page">
            <wp:posOffset>9462052</wp:posOffset>
          </wp:positionV>
          <wp:extent cx="7773229" cy="596348"/>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72400" cy="6032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EE" w:rsidRDefault="002259EE">
      <w:r>
        <w:separator/>
      </w:r>
    </w:p>
  </w:footnote>
  <w:footnote w:type="continuationSeparator" w:id="0">
    <w:p w:rsidR="002259EE" w:rsidRDefault="00225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EE" w:rsidRPr="00164523" w:rsidRDefault="002259EE" w:rsidP="00164523">
    <w:pPr>
      <w:pStyle w:val="Header"/>
    </w:pPr>
    <w:r w:rsidRPr="00F67CEA">
      <w:rPr>
        <w:rFonts w:ascii="Verdana" w:hAnsi="Verdana" w:cs="Arial"/>
        <w:bCs/>
        <w:noProof/>
        <w:sz w:val="20"/>
      </w:rPr>
      <w:drawing>
        <wp:anchor distT="0" distB="0" distL="114300" distR="114300" simplePos="0" relativeHeight="251661312" behindDoc="1" locked="0" layoutInCell="1" allowOverlap="1">
          <wp:simplePos x="0" y="0"/>
          <wp:positionH relativeFrom="page">
            <wp:posOffset>3147</wp:posOffset>
          </wp:positionH>
          <wp:positionV relativeFrom="page">
            <wp:posOffset>55659</wp:posOffset>
          </wp:positionV>
          <wp:extent cx="7773229" cy="1001864"/>
          <wp:effectExtent l="19050" t="0" r="0" b="0"/>
          <wp:wrapNone/>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773670" cy="9963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EE" w:rsidRDefault="002259EE" w:rsidP="00D928EC">
    <w:pPr>
      <w:pStyle w:val="Header"/>
    </w:pPr>
    <w:r>
      <w:rPr>
        <w:rFonts w:ascii="Verdana" w:hAnsi="Verdana"/>
        <w:b/>
        <w:bCs/>
        <w:szCs w:val="22"/>
      </w:rPr>
      <w:t xml:space="preserve">Unofficial </w:t>
    </w:r>
    <w:r w:rsidRPr="00DA287C">
      <w:rPr>
        <w:rFonts w:ascii="Verdana" w:hAnsi="Verdana"/>
        <w:b/>
        <w:bCs/>
        <w:szCs w:val="22"/>
      </w:rPr>
      <w:t>Comment Form for</w:t>
    </w:r>
    <w:r>
      <w:rPr>
        <w:rFonts w:ascii="Verdana" w:hAnsi="Verdana"/>
        <w:b/>
        <w:bCs/>
        <w:szCs w:val="22"/>
      </w:rPr>
      <w:t xml:space="preserve"> </w:t>
    </w:r>
    <w:r w:rsidRPr="00422A86">
      <w:rPr>
        <w:rFonts w:ascii="Verdana" w:hAnsi="Verdana"/>
        <w:b/>
        <w:bCs/>
        <w:szCs w:val="22"/>
      </w:rPr>
      <w:t>Interpretation of CIP-00</w:t>
    </w:r>
    <w:r>
      <w:rPr>
        <w:rFonts w:ascii="Verdana" w:hAnsi="Verdana"/>
        <w:b/>
        <w:bCs/>
        <w:szCs w:val="22"/>
      </w:rPr>
      <w:t>7</w:t>
    </w:r>
    <w:r w:rsidRPr="00422A86">
      <w:rPr>
        <w:rFonts w:ascii="Verdana" w:hAnsi="Verdana"/>
        <w:b/>
        <w:bCs/>
        <w:szCs w:val="22"/>
      </w:rPr>
      <w:t>-3, Requirement R</w:t>
    </w:r>
    <w:r>
      <w:rPr>
        <w:rFonts w:ascii="Verdana" w:hAnsi="Verdana"/>
        <w:b/>
        <w:bCs/>
        <w:szCs w:val="22"/>
      </w:rPr>
      <w:t>5</w:t>
    </w:r>
    <w:r w:rsidRPr="00422A86">
      <w:rPr>
        <w:rFonts w:ascii="Verdana" w:hAnsi="Verdana"/>
        <w:b/>
        <w:bCs/>
        <w:szCs w:val="22"/>
      </w:rPr>
      <w:t xml:space="preserve">, for </w:t>
    </w:r>
    <w:r>
      <w:rPr>
        <w:rFonts w:ascii="Verdana" w:hAnsi="Verdana"/>
        <w:b/>
        <w:bCs/>
        <w:szCs w:val="22"/>
      </w:rPr>
      <w:t>ITC</w:t>
    </w:r>
    <w:r w:rsidRPr="00422A86">
      <w:rPr>
        <w:rFonts w:ascii="Verdana" w:hAnsi="Verdana"/>
        <w:b/>
        <w:bCs/>
        <w:szCs w:val="22"/>
      </w:rPr>
      <w:t xml:space="preserve"> (Project 2012-INT-0</w:t>
    </w:r>
    <w:r>
      <w:rPr>
        <w:rFonts w:ascii="Verdana" w:hAnsi="Verdana"/>
        <w:b/>
        <w:bCs/>
        <w:szCs w:val="22"/>
      </w:rPr>
      <w:t>4</w:t>
    </w:r>
    <w:r w:rsidRPr="00422A86">
      <w:rPr>
        <w:rFonts w:ascii="Verdana" w:hAnsi="Verdana"/>
        <w:b/>
        <w:bCs/>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7EB72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2">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3">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4">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10">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1">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3">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4">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C003A3B"/>
    <w:multiLevelType w:val="hybridMultilevel"/>
    <w:tmpl w:val="69DCB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8">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20">
    <w:nsid w:val="44B06273"/>
    <w:multiLevelType w:val="hybridMultilevel"/>
    <w:tmpl w:val="40242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DE4175"/>
    <w:multiLevelType w:val="hybridMultilevel"/>
    <w:tmpl w:val="FD24E134"/>
    <w:lvl w:ilvl="0" w:tplc="471EAE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646D01FB"/>
    <w:multiLevelType w:val="singleLevel"/>
    <w:tmpl w:val="4D8C5906"/>
    <w:lvl w:ilvl="0">
      <w:numFmt w:val="bullet"/>
      <w:lvlText w:val="-"/>
      <w:lvlJc w:val="left"/>
      <w:pPr>
        <w:tabs>
          <w:tab w:val="num" w:pos="1080"/>
        </w:tabs>
        <w:ind w:left="1080" w:hanging="360"/>
      </w:pPr>
      <w:rPr>
        <w:rFonts w:hint="default"/>
      </w:rPr>
    </w:lvl>
  </w:abstractNum>
  <w:abstractNum w:abstractNumId="25">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6">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783F4B0A"/>
    <w:multiLevelType w:val="singleLevel"/>
    <w:tmpl w:val="0409000F"/>
    <w:lvl w:ilvl="0">
      <w:start w:val="1"/>
      <w:numFmt w:val="decimal"/>
      <w:lvlText w:val="%1."/>
      <w:lvlJc w:val="left"/>
      <w:pPr>
        <w:tabs>
          <w:tab w:val="num" w:pos="360"/>
        </w:tabs>
        <w:ind w:left="360" w:hanging="360"/>
      </w:pPr>
    </w:lvl>
  </w:abstractNum>
  <w:abstractNum w:abstractNumId="28">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24"/>
  </w:num>
  <w:num w:numId="5">
    <w:abstractNumId w:val="5"/>
  </w:num>
  <w:num w:numId="6">
    <w:abstractNumId w:val="25"/>
  </w:num>
  <w:num w:numId="7">
    <w:abstractNumId w:val="13"/>
  </w:num>
  <w:num w:numId="8">
    <w:abstractNumId w:val="19"/>
  </w:num>
  <w:num w:numId="9">
    <w:abstractNumId w:val="17"/>
  </w:num>
  <w:num w:numId="10">
    <w:abstractNumId w:val="12"/>
  </w:num>
  <w:num w:numId="11">
    <w:abstractNumId w:val="28"/>
  </w:num>
  <w:num w:numId="12">
    <w:abstractNumId w:val="9"/>
  </w:num>
  <w:num w:numId="13">
    <w:abstractNumId w:val="16"/>
  </w:num>
  <w:num w:numId="14">
    <w:abstractNumId w:val="23"/>
  </w:num>
  <w:num w:numId="15">
    <w:abstractNumId w:val="27"/>
  </w:num>
  <w:num w:numId="16">
    <w:abstractNumId w:val="4"/>
  </w:num>
  <w:num w:numId="17">
    <w:abstractNumId w:val="8"/>
  </w:num>
  <w:num w:numId="18">
    <w:abstractNumId w:val="18"/>
  </w:num>
  <w:num w:numId="19">
    <w:abstractNumId w:val="21"/>
  </w:num>
  <w:num w:numId="20">
    <w:abstractNumId w:val="6"/>
  </w:num>
  <w:num w:numId="21">
    <w:abstractNumId w:val="11"/>
  </w:num>
  <w:num w:numId="22">
    <w:abstractNumId w:val="26"/>
  </w:num>
  <w:num w:numId="23">
    <w:abstractNumId w:val="1"/>
  </w:num>
  <w:num w:numId="24">
    <w:abstractNumId w:val="7"/>
  </w:num>
  <w:num w:numId="25">
    <w:abstractNumId w:val="14"/>
  </w:num>
  <w:num w:numId="26">
    <w:abstractNumId w:val="20"/>
  </w:num>
  <w:num w:numId="27">
    <w:abstractNumId w:val="0"/>
  </w:num>
  <w:num w:numId="28">
    <w:abstractNumId w:val="2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D64205"/>
    <w:rsid w:val="00002C8C"/>
    <w:rsid w:val="00003CD7"/>
    <w:rsid w:val="0003012C"/>
    <w:rsid w:val="0007412B"/>
    <w:rsid w:val="00087309"/>
    <w:rsid w:val="000A7BEE"/>
    <w:rsid w:val="000C26C9"/>
    <w:rsid w:val="000C28E2"/>
    <w:rsid w:val="000C6647"/>
    <w:rsid w:val="000D11ED"/>
    <w:rsid w:val="00103ABF"/>
    <w:rsid w:val="00112A5C"/>
    <w:rsid w:val="00112F34"/>
    <w:rsid w:val="001238A5"/>
    <w:rsid w:val="00132486"/>
    <w:rsid w:val="00143E80"/>
    <w:rsid w:val="001505E9"/>
    <w:rsid w:val="00152A37"/>
    <w:rsid w:val="00164523"/>
    <w:rsid w:val="00166C11"/>
    <w:rsid w:val="00171831"/>
    <w:rsid w:val="00176A53"/>
    <w:rsid w:val="00177EF4"/>
    <w:rsid w:val="00182CEE"/>
    <w:rsid w:val="00184E69"/>
    <w:rsid w:val="001908DC"/>
    <w:rsid w:val="00195CC1"/>
    <w:rsid w:val="001A4404"/>
    <w:rsid w:val="001B6689"/>
    <w:rsid w:val="001C28D3"/>
    <w:rsid w:val="001C690F"/>
    <w:rsid w:val="001D286D"/>
    <w:rsid w:val="001E2DE1"/>
    <w:rsid w:val="001E544D"/>
    <w:rsid w:val="001E780A"/>
    <w:rsid w:val="002259EE"/>
    <w:rsid w:val="0022770B"/>
    <w:rsid w:val="00241D14"/>
    <w:rsid w:val="00245DA8"/>
    <w:rsid w:val="0025256F"/>
    <w:rsid w:val="002820AF"/>
    <w:rsid w:val="0029019C"/>
    <w:rsid w:val="00292089"/>
    <w:rsid w:val="00292F51"/>
    <w:rsid w:val="002A72FE"/>
    <w:rsid w:val="002B7D50"/>
    <w:rsid w:val="002C1D66"/>
    <w:rsid w:val="002F4A1F"/>
    <w:rsid w:val="00323644"/>
    <w:rsid w:val="003312D6"/>
    <w:rsid w:val="00332E09"/>
    <w:rsid w:val="00335268"/>
    <w:rsid w:val="00346490"/>
    <w:rsid w:val="003504FD"/>
    <w:rsid w:val="00354C81"/>
    <w:rsid w:val="0036127D"/>
    <w:rsid w:val="003619D8"/>
    <w:rsid w:val="00363594"/>
    <w:rsid w:val="00363C2F"/>
    <w:rsid w:val="00370963"/>
    <w:rsid w:val="00373686"/>
    <w:rsid w:val="0038592D"/>
    <w:rsid w:val="00393D1A"/>
    <w:rsid w:val="003E441F"/>
    <w:rsid w:val="003F0610"/>
    <w:rsid w:val="003F6A58"/>
    <w:rsid w:val="004059F3"/>
    <w:rsid w:val="00410CA4"/>
    <w:rsid w:val="00412F85"/>
    <w:rsid w:val="00414CE6"/>
    <w:rsid w:val="00415629"/>
    <w:rsid w:val="00422955"/>
    <w:rsid w:val="00422A86"/>
    <w:rsid w:val="0044197D"/>
    <w:rsid w:val="0045236F"/>
    <w:rsid w:val="00453FC7"/>
    <w:rsid w:val="00455220"/>
    <w:rsid w:val="00456E26"/>
    <w:rsid w:val="0046110B"/>
    <w:rsid w:val="00463CC7"/>
    <w:rsid w:val="00470697"/>
    <w:rsid w:val="004759E2"/>
    <w:rsid w:val="004816DF"/>
    <w:rsid w:val="00486D52"/>
    <w:rsid w:val="00487410"/>
    <w:rsid w:val="0049441A"/>
    <w:rsid w:val="004A43EA"/>
    <w:rsid w:val="004B25B0"/>
    <w:rsid w:val="004B4F55"/>
    <w:rsid w:val="004D524A"/>
    <w:rsid w:val="004E5163"/>
    <w:rsid w:val="004E7E9D"/>
    <w:rsid w:val="0051028B"/>
    <w:rsid w:val="00511C7D"/>
    <w:rsid w:val="0051476E"/>
    <w:rsid w:val="00514C64"/>
    <w:rsid w:val="00517A96"/>
    <w:rsid w:val="00524D43"/>
    <w:rsid w:val="00530978"/>
    <w:rsid w:val="00532839"/>
    <w:rsid w:val="00532C6E"/>
    <w:rsid w:val="0053425E"/>
    <w:rsid w:val="00536CD1"/>
    <w:rsid w:val="00536FAD"/>
    <w:rsid w:val="00555530"/>
    <w:rsid w:val="00561BCE"/>
    <w:rsid w:val="00563C6A"/>
    <w:rsid w:val="005904F1"/>
    <w:rsid w:val="00597653"/>
    <w:rsid w:val="005A58A6"/>
    <w:rsid w:val="005B7B29"/>
    <w:rsid w:val="005C1FDA"/>
    <w:rsid w:val="005D14C2"/>
    <w:rsid w:val="005D1633"/>
    <w:rsid w:val="005E071C"/>
    <w:rsid w:val="005E3AB7"/>
    <w:rsid w:val="005E76C0"/>
    <w:rsid w:val="00604EBA"/>
    <w:rsid w:val="006065C6"/>
    <w:rsid w:val="00611DCD"/>
    <w:rsid w:val="006230A3"/>
    <w:rsid w:val="00634858"/>
    <w:rsid w:val="006544AE"/>
    <w:rsid w:val="006719FC"/>
    <w:rsid w:val="0067216F"/>
    <w:rsid w:val="0068248D"/>
    <w:rsid w:val="00682A4F"/>
    <w:rsid w:val="00683592"/>
    <w:rsid w:val="00685673"/>
    <w:rsid w:val="006A351B"/>
    <w:rsid w:val="006A5211"/>
    <w:rsid w:val="006B1C30"/>
    <w:rsid w:val="006B23E6"/>
    <w:rsid w:val="006C3A0C"/>
    <w:rsid w:val="006C4E54"/>
    <w:rsid w:val="006D170C"/>
    <w:rsid w:val="006D455B"/>
    <w:rsid w:val="006E143D"/>
    <w:rsid w:val="00707296"/>
    <w:rsid w:val="007221F9"/>
    <w:rsid w:val="00725938"/>
    <w:rsid w:val="00731067"/>
    <w:rsid w:val="0073443E"/>
    <w:rsid w:val="00752E93"/>
    <w:rsid w:val="0077721D"/>
    <w:rsid w:val="00780DBF"/>
    <w:rsid w:val="007A7DAD"/>
    <w:rsid w:val="007B2A93"/>
    <w:rsid w:val="007D1DE7"/>
    <w:rsid w:val="007D4E6A"/>
    <w:rsid w:val="007D743F"/>
    <w:rsid w:val="007E0A71"/>
    <w:rsid w:val="007E34E3"/>
    <w:rsid w:val="007E440C"/>
    <w:rsid w:val="007F1308"/>
    <w:rsid w:val="007F1601"/>
    <w:rsid w:val="007F740B"/>
    <w:rsid w:val="00810565"/>
    <w:rsid w:val="00814DC9"/>
    <w:rsid w:val="008223AC"/>
    <w:rsid w:val="00836031"/>
    <w:rsid w:val="008461EB"/>
    <w:rsid w:val="008503C4"/>
    <w:rsid w:val="008520CE"/>
    <w:rsid w:val="0085764E"/>
    <w:rsid w:val="00857D53"/>
    <w:rsid w:val="00860BD0"/>
    <w:rsid w:val="008649E8"/>
    <w:rsid w:val="0086658F"/>
    <w:rsid w:val="00870166"/>
    <w:rsid w:val="00891B91"/>
    <w:rsid w:val="00894F58"/>
    <w:rsid w:val="008962F7"/>
    <w:rsid w:val="008A2A1D"/>
    <w:rsid w:val="008A45D2"/>
    <w:rsid w:val="008C5353"/>
    <w:rsid w:val="008C55F8"/>
    <w:rsid w:val="008D1BC0"/>
    <w:rsid w:val="008E2B3F"/>
    <w:rsid w:val="008F0BB5"/>
    <w:rsid w:val="00907F0F"/>
    <w:rsid w:val="00925A0C"/>
    <w:rsid w:val="00927357"/>
    <w:rsid w:val="0093085F"/>
    <w:rsid w:val="00943D01"/>
    <w:rsid w:val="00955AAF"/>
    <w:rsid w:val="009576B2"/>
    <w:rsid w:val="009607B0"/>
    <w:rsid w:val="0096298D"/>
    <w:rsid w:val="009677BA"/>
    <w:rsid w:val="00972502"/>
    <w:rsid w:val="00974433"/>
    <w:rsid w:val="00985E99"/>
    <w:rsid w:val="00991569"/>
    <w:rsid w:val="00992169"/>
    <w:rsid w:val="009A29E7"/>
    <w:rsid w:val="009B38B7"/>
    <w:rsid w:val="009B4751"/>
    <w:rsid w:val="009B7A43"/>
    <w:rsid w:val="009C2A03"/>
    <w:rsid w:val="009E3738"/>
    <w:rsid w:val="00A01065"/>
    <w:rsid w:val="00A017A1"/>
    <w:rsid w:val="00A04296"/>
    <w:rsid w:val="00A05232"/>
    <w:rsid w:val="00A15631"/>
    <w:rsid w:val="00A168E9"/>
    <w:rsid w:val="00A17FDF"/>
    <w:rsid w:val="00A320CA"/>
    <w:rsid w:val="00A56C97"/>
    <w:rsid w:val="00A56ED1"/>
    <w:rsid w:val="00A62B1E"/>
    <w:rsid w:val="00A720BB"/>
    <w:rsid w:val="00A81B8D"/>
    <w:rsid w:val="00AB1EE2"/>
    <w:rsid w:val="00AC073F"/>
    <w:rsid w:val="00AD5CC2"/>
    <w:rsid w:val="00AE16B6"/>
    <w:rsid w:val="00AE3110"/>
    <w:rsid w:val="00AE5A63"/>
    <w:rsid w:val="00AE601F"/>
    <w:rsid w:val="00AF67B4"/>
    <w:rsid w:val="00B04639"/>
    <w:rsid w:val="00B11236"/>
    <w:rsid w:val="00B21980"/>
    <w:rsid w:val="00B47E9D"/>
    <w:rsid w:val="00B6122B"/>
    <w:rsid w:val="00B6256F"/>
    <w:rsid w:val="00B6497F"/>
    <w:rsid w:val="00B662D5"/>
    <w:rsid w:val="00B724C8"/>
    <w:rsid w:val="00B743CA"/>
    <w:rsid w:val="00B93E07"/>
    <w:rsid w:val="00B94229"/>
    <w:rsid w:val="00BC047C"/>
    <w:rsid w:val="00BC5826"/>
    <w:rsid w:val="00BC7F40"/>
    <w:rsid w:val="00BD17E1"/>
    <w:rsid w:val="00BD31BE"/>
    <w:rsid w:val="00BE5F43"/>
    <w:rsid w:val="00BE6DCD"/>
    <w:rsid w:val="00BE7C61"/>
    <w:rsid w:val="00BF284C"/>
    <w:rsid w:val="00BF7841"/>
    <w:rsid w:val="00C05C0E"/>
    <w:rsid w:val="00C05F98"/>
    <w:rsid w:val="00C1377B"/>
    <w:rsid w:val="00C2551D"/>
    <w:rsid w:val="00C333A5"/>
    <w:rsid w:val="00C3724E"/>
    <w:rsid w:val="00C426F8"/>
    <w:rsid w:val="00C647BF"/>
    <w:rsid w:val="00C71AA1"/>
    <w:rsid w:val="00C74D1E"/>
    <w:rsid w:val="00CA122A"/>
    <w:rsid w:val="00CB391B"/>
    <w:rsid w:val="00CD60B6"/>
    <w:rsid w:val="00CE526C"/>
    <w:rsid w:val="00CF14A5"/>
    <w:rsid w:val="00D00043"/>
    <w:rsid w:val="00D10573"/>
    <w:rsid w:val="00D1269C"/>
    <w:rsid w:val="00D13528"/>
    <w:rsid w:val="00D4139E"/>
    <w:rsid w:val="00D52F96"/>
    <w:rsid w:val="00D64205"/>
    <w:rsid w:val="00D6666C"/>
    <w:rsid w:val="00D84CE8"/>
    <w:rsid w:val="00D85C81"/>
    <w:rsid w:val="00D928EC"/>
    <w:rsid w:val="00DA287C"/>
    <w:rsid w:val="00DB79B8"/>
    <w:rsid w:val="00DC6F60"/>
    <w:rsid w:val="00DD0F5C"/>
    <w:rsid w:val="00DE16A4"/>
    <w:rsid w:val="00DE46C5"/>
    <w:rsid w:val="00DF194F"/>
    <w:rsid w:val="00DF1AF0"/>
    <w:rsid w:val="00DF1E60"/>
    <w:rsid w:val="00DF2C47"/>
    <w:rsid w:val="00DF6581"/>
    <w:rsid w:val="00E02B30"/>
    <w:rsid w:val="00E02C52"/>
    <w:rsid w:val="00E11879"/>
    <w:rsid w:val="00E1530D"/>
    <w:rsid w:val="00E376D0"/>
    <w:rsid w:val="00E50962"/>
    <w:rsid w:val="00E51830"/>
    <w:rsid w:val="00E53AED"/>
    <w:rsid w:val="00E60A90"/>
    <w:rsid w:val="00E805CF"/>
    <w:rsid w:val="00E9015A"/>
    <w:rsid w:val="00E95F66"/>
    <w:rsid w:val="00EA5D7C"/>
    <w:rsid w:val="00EB1224"/>
    <w:rsid w:val="00EB362C"/>
    <w:rsid w:val="00EC60CE"/>
    <w:rsid w:val="00EE5ADF"/>
    <w:rsid w:val="00EF68A3"/>
    <w:rsid w:val="00F019BC"/>
    <w:rsid w:val="00F11FB3"/>
    <w:rsid w:val="00F153AD"/>
    <w:rsid w:val="00F27DB0"/>
    <w:rsid w:val="00F3460E"/>
    <w:rsid w:val="00F36DB4"/>
    <w:rsid w:val="00F41B8B"/>
    <w:rsid w:val="00F44ECD"/>
    <w:rsid w:val="00F44F04"/>
    <w:rsid w:val="00F5244A"/>
    <w:rsid w:val="00F54563"/>
    <w:rsid w:val="00F560C3"/>
    <w:rsid w:val="00F64523"/>
    <w:rsid w:val="00F648E8"/>
    <w:rsid w:val="00F65920"/>
    <w:rsid w:val="00F67CEA"/>
    <w:rsid w:val="00F72E47"/>
    <w:rsid w:val="00F73041"/>
    <w:rsid w:val="00F73D5B"/>
    <w:rsid w:val="00F77899"/>
    <w:rsid w:val="00F87387"/>
    <w:rsid w:val="00F90C94"/>
    <w:rsid w:val="00FB1197"/>
    <w:rsid w:val="00FC1557"/>
    <w:rsid w:val="00FC5339"/>
    <w:rsid w:val="00FE2C1D"/>
    <w:rsid w:val="00FE2E2D"/>
    <w:rsid w:val="00FF4402"/>
    <w:rsid w:val="00FF483C"/>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DB79B8"/>
    <w:pPr>
      <w:spacing w:after="120"/>
    </w:pPr>
    <w:rPr>
      <w:rFonts w:ascii="Calibri" w:hAnsi="Calibri"/>
    </w:r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 w:type="paragraph" w:customStyle="1" w:styleId="DocumentTitle">
    <w:name w:val="Document Title"/>
    <w:basedOn w:val="Normal"/>
    <w:uiPriority w:val="99"/>
    <w:rsid w:val="00F67CEA"/>
    <w:pPr>
      <w:spacing w:before="120"/>
      <w:ind w:left="-86"/>
    </w:pPr>
    <w:rPr>
      <w:rFonts w:ascii="Tahoma" w:hAnsi="Tahoma"/>
      <w:b/>
      <w:bCs/>
      <w:color w:val="143970"/>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6237903">
      <w:bodyDiv w:val="1"/>
      <w:marLeft w:val="0"/>
      <w:marRight w:val="0"/>
      <w:marTop w:val="0"/>
      <w:marBottom w:val="0"/>
      <w:divBdr>
        <w:top w:val="none" w:sz="0" w:space="0" w:color="auto"/>
        <w:left w:val="none" w:sz="0" w:space="0" w:color="auto"/>
        <w:bottom w:val="none" w:sz="0" w:space="0" w:color="auto"/>
        <w:right w:val="none" w:sz="0" w:space="0" w:color="auto"/>
      </w:divBdr>
    </w:div>
    <w:div w:id="554901224">
      <w:bodyDiv w:val="1"/>
      <w:marLeft w:val="0"/>
      <w:marRight w:val="0"/>
      <w:marTop w:val="0"/>
      <w:marBottom w:val="0"/>
      <w:divBdr>
        <w:top w:val="none" w:sz="0" w:space="0" w:color="auto"/>
        <w:left w:val="none" w:sz="0" w:space="0" w:color="auto"/>
        <w:bottom w:val="none" w:sz="0" w:space="0" w:color="auto"/>
        <w:right w:val="none" w:sz="0" w:space="0" w:color="auto"/>
      </w:divBdr>
    </w:div>
    <w:div w:id="9169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e065f290b55045d7857e4358daf9a235"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rc.com/files/Guidelines_for_Interpretation_Drafting_Teams_Approved_April_201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nerc.com/docs/standards/sar/ITC_Transmission_CIP-007-3_Request_for_an_Interpretation_to_NERC.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ED110CC9B3845A20A46AD4B89D398" ma:contentTypeVersion="27" ma:contentTypeDescription="Create a new document." ma:contentTypeScope="" ma:versionID="5606cc0400c9d87a78240947cbe6980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NERCASSETID-668-1</_dlc_DocId>
    <_dlc_DocIdUrl xmlns="cbf880be-c7c2-4487-81cc-39803b2f2238">
      <Url>http://www.qa.nerc.com/pa/Stand/_layouts/DocIdRedir.aspx?ID=NERCASSETID-668-1</Url>
      <Description>NERCASSETID-668-1</Description>
    </_dlc_DocIdUrl>
  </documentManagement>
</p:properties>
</file>

<file path=customXml/itemProps1.xml><?xml version="1.0" encoding="utf-8"?>
<ds:datastoreItem xmlns:ds="http://schemas.openxmlformats.org/officeDocument/2006/customXml" ds:itemID="{7091A772-CD74-4DD9-9D00-C447CBBD81B2}"/>
</file>

<file path=customXml/itemProps2.xml><?xml version="1.0" encoding="utf-8"?>
<ds:datastoreItem xmlns:ds="http://schemas.openxmlformats.org/officeDocument/2006/customXml" ds:itemID="{3902B0A8-E92B-47D6-9F0A-98813D97A154}"/>
</file>

<file path=customXml/itemProps3.xml><?xml version="1.0" encoding="utf-8"?>
<ds:datastoreItem xmlns:ds="http://schemas.openxmlformats.org/officeDocument/2006/customXml" ds:itemID="{1B5006A5-1A72-4D75-BA38-E70D3D572967}"/>
</file>

<file path=customXml/itemProps4.xml><?xml version="1.0" encoding="utf-8"?>
<ds:datastoreItem xmlns:ds="http://schemas.openxmlformats.org/officeDocument/2006/customXml" ds:itemID="{3902B0A8-E92B-47D6-9F0A-98813D97A154}"/>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creator>Maureen E Long</dc:creator>
  <cp:lastModifiedBy>sandbergw</cp:lastModifiedBy>
  <cp:revision>2</cp:revision>
  <cp:lastPrinted>2009-09-15T19:46:00Z</cp:lastPrinted>
  <dcterms:created xsi:type="dcterms:W3CDTF">2012-11-09T11:58:00Z</dcterms:created>
  <dcterms:modified xsi:type="dcterms:W3CDTF">2012-11-09T11:58:00Z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0x010100B29ED110CC9B3845A20A46AD4B89D398</vt:lpwstr>
  </property>
  <property fmtid="{D5CDD505-2E9C-101B-9397-08002B2CF9AE}" pid="3" name="_dlc_DocIdItemGuid">
    <vt:lpwstr>378ce7d7-f216-4f70-b81c-f388627dca02</vt:lpwstr>
  </property>
</Properties>
</file>